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17)*</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$.05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420261109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98"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420261109</w:t>
            </w:r>
          </w:p>
        </w:tc>
        <w:tc>
          <w:tcPr>
            <w:tcW w:w="2160" w:type="dxa"/>
            <w:vAlign w:val="bottom"/>
          </w:tcPr>
          <w:p>
            <w:pPr>
              <w:spacing w:after="0"/>
              <w:rPr>
                <w:sz w:val="19"/>
                <w:szCs w:val="19"/>
                <w:color w:val="auto"/>
              </w:rPr>
            </w:pPr>
          </w:p>
        </w:tc>
        <w:tc>
          <w:tcPr>
            <w:tcW w:w="2600" w:type="dxa"/>
            <w:vAlign w:val="bottom"/>
          </w:tcPr>
          <w:p>
            <w:pPr>
              <w:ind w:left="260"/>
              <w:spacing w:after="0"/>
              <w:rPr>
                <w:sz w:val="20"/>
                <w:szCs w:val="20"/>
                <w:color w:val="auto"/>
              </w:rPr>
            </w:pPr>
            <w:r>
              <w:rPr>
                <w:rFonts w:ascii="Arial" w:cs="Arial" w:eastAsia="Arial" w:hAnsi="Arial"/>
                <w:sz w:val="18"/>
                <w:szCs w:val="18"/>
                <w:b w:val="1"/>
                <w:bCs w:val="1"/>
                <w:color w:val="auto"/>
              </w:rPr>
              <w:t>13G</w:t>
            </w:r>
          </w:p>
        </w:tc>
        <w:tc>
          <w:tcPr>
            <w:tcW w:w="86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9"/>
              </w:rPr>
              <w:t>Page</w:t>
            </w:r>
          </w:p>
        </w:tc>
        <w:tc>
          <w:tcPr>
            <w:tcW w:w="90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w w:val="90"/>
              </w:rPr>
              <w:t>Pages</w:t>
            </w: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3280" w:type="dxa"/>
            <w:vAlign w:val="bottom"/>
            <w:tcBorders>
              <w:bottom w:val="single" w:sz="8" w:color="auto"/>
            </w:tcBorders>
            <w:gridSpan w:val="3"/>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520" w:type="dxa"/>
            <w:vAlign w:val="bottom"/>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2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520" w:type="dxa"/>
            <w:vAlign w:val="bottom"/>
            <w:gridSpan w:val="8"/>
          </w:tcPr>
          <w:p>
            <w:pPr>
              <w:ind w:left="100"/>
              <w:spacing w:after="0"/>
              <w:rPr>
                <w:sz w:val="20"/>
                <w:szCs w:val="20"/>
                <w:color w:val="auto"/>
              </w:rPr>
            </w:pPr>
            <w:r>
              <w:rPr>
                <w:rFonts w:ascii="Arial" w:cs="Arial" w:eastAsia="Arial" w:hAnsi="Arial"/>
                <w:sz w:val="18"/>
                <w:szCs w:val="18"/>
                <w:color w:val="auto"/>
                <w:w w:val="97"/>
              </w:rPr>
              <w:t>I.R.S. Identification Nos. of above persons (entities only).</w:t>
            </w: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7120" w:type="dxa"/>
            <w:vAlign w:val="bottom"/>
            <w:gridSpan w:val="9"/>
          </w:tcPr>
          <w:p>
            <w:pPr>
              <w:ind w:left="100"/>
              <w:spacing w:after="0"/>
              <w:rPr>
                <w:sz w:val="20"/>
                <w:szCs w:val="20"/>
                <w:color w:val="auto"/>
              </w:rPr>
            </w:pPr>
            <w:r>
              <w:rPr>
                <w:rFonts w:ascii="Arial" w:cs="Arial" w:eastAsia="Arial" w:hAnsi="Arial"/>
                <w:sz w:val="18"/>
                <w:szCs w:val="18"/>
                <w:color w:val="auto"/>
              </w:rPr>
              <w:t>Hawkins, Inc. Employee Stock Ownership Plan and Trust (Tax ID: 41-0771293)</w:t>
            </w: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588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120" w:type="dxa"/>
            <w:vAlign w:val="bottom"/>
            <w:gridSpan w:val="9"/>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3280" w:type="dxa"/>
            <w:vAlign w:val="bottom"/>
            <w:tcBorders>
              <w:bottom w:val="single" w:sz="8" w:color="auto"/>
            </w:tcBorders>
            <w:gridSpan w:val="3"/>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52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Minnesota</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ind w:left="2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Borders>
              <w:right w:val="single" w:sz="8" w:color="auto"/>
            </w:tcBorders>
            <w:vMerge w:val="restart"/>
          </w:tcPr>
          <w:p>
            <w:pPr>
              <w:ind w:left="2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60" w:type="dxa"/>
            <w:vAlign w:val="bottom"/>
          </w:tcPr>
          <w:p>
            <w:pPr>
              <w:spacing w:after="0"/>
              <w:rPr>
                <w:sz w:val="22"/>
                <w:szCs w:val="22"/>
                <w:color w:val="auto"/>
              </w:rPr>
            </w:pPr>
          </w:p>
        </w:tc>
        <w:tc>
          <w:tcPr>
            <w:tcW w:w="38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1,436,110</w:t>
            </w:r>
          </w:p>
        </w:tc>
        <w:tc>
          <w:tcPr>
            <w:tcW w:w="2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Borders>
              <w:right w:val="single" w:sz="8" w:color="auto"/>
            </w:tcBorders>
            <w:vMerge w:val="restart"/>
          </w:tcPr>
          <w:p>
            <w:pPr>
              <w:ind w:left="20"/>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60" w:type="dxa"/>
            <w:vAlign w:val="bottom"/>
          </w:tcPr>
          <w:p>
            <w:pPr>
              <w:spacing w:after="0"/>
              <w:rPr>
                <w:sz w:val="22"/>
                <w:szCs w:val="22"/>
                <w:color w:val="auto"/>
              </w:rPr>
            </w:pPr>
          </w:p>
        </w:tc>
        <w:tc>
          <w:tcPr>
            <w:tcW w:w="38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ind w:left="20"/>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1,436,110</w:t>
            </w:r>
          </w:p>
        </w:tc>
        <w:tc>
          <w:tcPr>
            <w:tcW w:w="2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120" w:type="dxa"/>
            <w:vAlign w:val="bottom"/>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1,436,110</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120" w:type="dxa"/>
            <w:vAlign w:val="bottom"/>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120" w:type="dxa"/>
            <w:vAlign w:val="bottom"/>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52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w:t>
            </w: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EP</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Hawkins, Inc.</w:t>
      </w:r>
    </w:p>
    <w:p>
      <w:pPr>
        <w:spacing w:after="0" w:line="211" w:lineRule="exact"/>
        <w:rPr>
          <w:sz w:val="20"/>
          <w:szCs w:val="20"/>
          <w:color w:val="auto"/>
        </w:rPr>
      </w:pPr>
    </w:p>
    <w:p>
      <w:pPr>
        <w:ind w:left="1300" w:right="6640" w:hanging="583"/>
        <w:spacing w:after="0" w:line="264" w:lineRule="auto"/>
        <w:tabs>
          <w:tab w:leader="none" w:pos="11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East Hennepin Avenue Minneapolis, MN 55413</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Name of Person Filing: </w:t>
      </w:r>
      <w:r>
        <w:rPr>
          <w:rFonts w:ascii="Arial" w:cs="Arial" w:eastAsia="Arial" w:hAnsi="Arial"/>
          <w:sz w:val="13"/>
          <w:szCs w:val="13"/>
          <w:color w:val="auto"/>
        </w:rPr>
        <w:t>1</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Hawkins, Inc. Employee Stock Ownership Plan and Trust</w:t>
      </w:r>
    </w:p>
    <w:p>
      <w:pPr>
        <w:spacing w:after="0" w:line="211" w:lineRule="exact"/>
        <w:rPr>
          <w:sz w:val="20"/>
          <w:szCs w:val="20"/>
          <w:color w:val="auto"/>
        </w:rPr>
      </w:pPr>
    </w:p>
    <w:p>
      <w:pPr>
        <w:ind w:left="1300" w:right="5780" w:hanging="583"/>
        <w:spacing w:after="0" w:line="258" w:lineRule="auto"/>
        <w:tabs>
          <w:tab w:leader="none" w:pos="1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 Hawkins, Inc.</w:t>
      </w:r>
    </w:p>
    <w:p>
      <w:pPr>
        <w:spacing w:after="0" w:line="9" w:lineRule="exact"/>
        <w:rPr>
          <w:rFonts w:ascii="Arial" w:cs="Arial" w:eastAsia="Arial" w:hAnsi="Arial"/>
          <w:sz w:val="18"/>
          <w:szCs w:val="18"/>
          <w:color w:val="auto"/>
        </w:rPr>
      </w:pPr>
    </w:p>
    <w:p>
      <w:pPr>
        <w:ind w:left="1300" w:right="7920"/>
        <w:spacing w:after="0" w:line="323" w:lineRule="auto"/>
        <w:rPr>
          <w:rFonts w:ascii="Arial" w:cs="Arial" w:eastAsia="Arial" w:hAnsi="Arial"/>
          <w:sz w:val="18"/>
          <w:szCs w:val="18"/>
          <w:color w:val="auto"/>
        </w:rPr>
      </w:pPr>
      <w:r>
        <w:rPr>
          <w:rFonts w:ascii="Arial" w:cs="Arial" w:eastAsia="Arial" w:hAnsi="Arial"/>
          <w:sz w:val="16"/>
          <w:szCs w:val="16"/>
          <w:color w:val="auto"/>
        </w:rPr>
        <w:t>3100 East Hennepin Avenue Minneapolis, MN 55413</w:t>
      </w:r>
    </w:p>
    <w:p>
      <w:pPr>
        <w:spacing w:after="0" w:line="138" w:lineRule="exact"/>
        <w:rPr>
          <w:rFonts w:ascii="Arial" w:cs="Arial" w:eastAsia="Arial" w:hAnsi="Arial"/>
          <w:sz w:val="18"/>
          <w:szCs w:val="18"/>
          <w:color w:val="auto"/>
        </w:rPr>
      </w:pPr>
    </w:p>
    <w:p>
      <w:pPr>
        <w:ind w:left="1160" w:hanging="43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Minnesota</w:t>
      </w:r>
    </w:p>
    <w:p>
      <w:pPr>
        <w:spacing w:after="0" w:line="211" w:lineRule="exact"/>
        <w:rPr>
          <w:sz w:val="20"/>
          <w:szCs w:val="20"/>
          <w:color w:val="auto"/>
        </w:rPr>
      </w:pPr>
    </w:p>
    <w:p>
      <w:pPr>
        <w:ind w:left="1160" w:hanging="44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$.05 per share</w:t>
      </w:r>
    </w:p>
    <w:p>
      <w:pPr>
        <w:spacing w:after="0" w:line="211" w:lineRule="exact"/>
        <w:rPr>
          <w:sz w:val="20"/>
          <w:szCs w:val="20"/>
          <w:color w:val="auto"/>
        </w:rPr>
      </w:pPr>
    </w:p>
    <w:p>
      <w:pPr>
        <w:ind w:left="1300" w:right="8900" w:hanging="573"/>
        <w:spacing w:after="0" w:line="342" w:lineRule="auto"/>
        <w:tabs>
          <w:tab w:leader="none" w:pos="1165"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21" w:lineRule="exact"/>
        <w:rPr>
          <w:sz w:val="20"/>
          <w:szCs w:val="20"/>
          <w:color w:val="auto"/>
        </w:rPr>
      </w:pPr>
    </w:p>
    <w:p>
      <w:pPr>
        <w:ind w:left="1000" w:hanging="30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130" w:lineRule="exact"/>
        <w:rPr>
          <w:rFonts w:ascii="Arial" w:cs="Arial" w:eastAsia="Arial" w:hAnsi="Arial"/>
          <w:sz w:val="18"/>
          <w:szCs w:val="18"/>
          <w:color w:val="auto"/>
        </w:rPr>
      </w:pPr>
    </w:p>
    <w:p>
      <w:pPr>
        <w:ind w:left="1000" w:hanging="31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130" w:lineRule="exact"/>
        <w:rPr>
          <w:rFonts w:ascii="Arial" w:cs="Arial" w:eastAsia="Arial" w:hAnsi="Arial"/>
          <w:sz w:val="18"/>
          <w:szCs w:val="18"/>
          <w:color w:val="auto"/>
        </w:rPr>
      </w:pPr>
    </w:p>
    <w:p>
      <w:pPr>
        <w:ind w:left="1000" w:hanging="30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130" w:lineRule="exact"/>
        <w:rPr>
          <w:rFonts w:ascii="Arial" w:cs="Arial" w:eastAsia="Arial" w:hAnsi="Arial"/>
          <w:sz w:val="18"/>
          <w:szCs w:val="18"/>
          <w:color w:val="auto"/>
        </w:rPr>
      </w:pPr>
    </w:p>
    <w:p>
      <w:pPr>
        <w:ind w:left="1000" w:hanging="31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130" w:lineRule="exact"/>
        <w:rPr>
          <w:rFonts w:ascii="Arial" w:cs="Arial" w:eastAsia="Arial" w:hAnsi="Arial"/>
          <w:sz w:val="18"/>
          <w:szCs w:val="18"/>
          <w:color w:val="auto"/>
        </w:rPr>
      </w:pPr>
    </w:p>
    <w:p>
      <w:pPr>
        <w:ind w:left="1000" w:hanging="30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An investment adviser in accordance with § 240.13d-1(b)(1)(ii)(E);</w:t>
      </w:r>
    </w:p>
    <w:p>
      <w:pPr>
        <w:spacing w:after="0" w:line="97" w:lineRule="exact"/>
        <w:rPr>
          <w:rFonts w:ascii="Arial" w:cs="Arial" w:eastAsia="Arial" w:hAnsi="Arial"/>
          <w:sz w:val="18"/>
          <w:szCs w:val="18"/>
          <w:color w:val="auto"/>
        </w:rPr>
      </w:pPr>
    </w:p>
    <w:p>
      <w:pPr>
        <w:ind w:left="1000" w:hanging="280"/>
        <w:spacing w:after="0" w:line="207" w:lineRule="exact"/>
        <w:tabs>
          <w:tab w:leader="none" w:pos="100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63" w:lineRule="exact"/>
        <w:rPr>
          <w:rFonts w:ascii="Arial" w:cs="Arial" w:eastAsia="Arial" w:hAnsi="Arial"/>
          <w:sz w:val="18"/>
          <w:szCs w:val="18"/>
          <w:color w:val="auto"/>
        </w:rPr>
      </w:pPr>
    </w:p>
    <w:p>
      <w:pPr>
        <w:ind w:left="1000" w:hanging="31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240.13d-1(b)(1)(ii)(G);</w:t>
      </w:r>
    </w:p>
    <w:p>
      <w:pPr>
        <w:spacing w:after="0" w:line="130" w:lineRule="exact"/>
        <w:rPr>
          <w:rFonts w:ascii="Arial" w:cs="Arial" w:eastAsia="Arial" w:hAnsi="Arial"/>
          <w:sz w:val="18"/>
          <w:szCs w:val="18"/>
          <w:color w:val="auto"/>
        </w:rPr>
      </w:pPr>
    </w:p>
    <w:p>
      <w:pPr>
        <w:ind w:left="1000" w:hanging="31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130" w:lineRule="exact"/>
        <w:rPr>
          <w:rFonts w:ascii="Arial" w:cs="Arial" w:eastAsia="Arial" w:hAnsi="Arial"/>
          <w:sz w:val="18"/>
          <w:szCs w:val="18"/>
          <w:color w:val="auto"/>
        </w:rPr>
      </w:pPr>
    </w:p>
    <w:p>
      <w:pPr>
        <w:ind w:left="1000" w:hanging="270"/>
        <w:spacing w:after="0"/>
        <w:tabs>
          <w:tab w:leader="none" w:pos="1000" w:val="left"/>
        </w:tabs>
        <w:numPr>
          <w:ilvl w:val="1"/>
          <w:numId w:val="7"/>
        </w:numPr>
        <w:rPr>
          <w:rFonts w:ascii="Arial" w:cs="Arial" w:eastAsia="Arial" w:hAnsi="Arial"/>
          <w:sz w:val="17"/>
          <w:szCs w:val="17"/>
          <w:color w:val="auto"/>
        </w:rPr>
      </w:pPr>
      <w:r>
        <w:rPr>
          <w:rFonts w:ascii="Arial" w:cs="Arial" w:eastAsia="Arial" w:hAnsi="Arial"/>
          <w:sz w:val="17"/>
          <w:szCs w:val="17"/>
          <w:color w:val="auto"/>
        </w:rPr>
        <w:t>o A church plan that is excluded from the definition of an investment company under section 3(c)(14) of the Investment Company Act;</w:t>
      </w:r>
    </w:p>
    <w:p>
      <w:pPr>
        <w:spacing w:after="0" w:line="142" w:lineRule="exact"/>
        <w:rPr>
          <w:rFonts w:ascii="Arial" w:cs="Arial" w:eastAsia="Arial" w:hAnsi="Arial"/>
          <w:sz w:val="17"/>
          <w:szCs w:val="17"/>
          <w:color w:val="auto"/>
        </w:rPr>
      </w:pPr>
    </w:p>
    <w:p>
      <w:pPr>
        <w:ind w:left="1000" w:hanging="27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A non-U.S. institution in accordance with § 240.13d-1(b)(1)(ii)(J);</w:t>
      </w:r>
    </w:p>
    <w:p>
      <w:pPr>
        <w:spacing w:after="0" w:line="130" w:lineRule="exact"/>
        <w:rPr>
          <w:rFonts w:ascii="Arial" w:cs="Arial" w:eastAsia="Arial" w:hAnsi="Arial"/>
          <w:sz w:val="18"/>
          <w:szCs w:val="18"/>
          <w:color w:val="auto"/>
        </w:rPr>
      </w:pPr>
    </w:p>
    <w:p>
      <w:pPr>
        <w:ind w:left="1000" w:hanging="310"/>
        <w:spacing w:after="0"/>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Group, in accordance with § 240.13d-1(b)(1)(ii)(K).</w:t>
      </w:r>
    </w:p>
    <w:p>
      <w:pPr>
        <w:spacing w:after="0" w:line="387" w:lineRule="exact"/>
        <w:rPr>
          <w:rFonts w:ascii="Arial" w:cs="Arial" w:eastAsia="Arial" w:hAnsi="Arial"/>
          <w:sz w:val="18"/>
          <w:szCs w:val="18"/>
          <w:color w:val="auto"/>
        </w:rPr>
      </w:pPr>
    </w:p>
    <w:p>
      <w:pPr>
        <w:ind w:left="460" w:hanging="459"/>
        <w:spacing w:after="0" w:line="291"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6"/>
          <w:szCs w:val="16"/>
          <w:color w:val="auto"/>
        </w:rPr>
        <w:t>The Trustee of the Hawkins, Inc. Employee Stock Ownership Plan and Trust (the “ESOP”) is Charles Schwab Trust Company.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-1033145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48"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1120" w:hanging="437"/>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1,436,110.</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14.0%.</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1,436,110.</w:t>
      </w:r>
    </w:p>
    <w:p>
      <w:pPr>
        <w:spacing w:after="0" w:line="130" w:lineRule="exact"/>
        <w:rPr>
          <w:rFonts w:ascii="Arial" w:cs="Arial" w:eastAsia="Arial" w:hAnsi="Arial"/>
          <w:sz w:val="18"/>
          <w:szCs w:val="18"/>
          <w:color w:val="auto"/>
        </w:rPr>
      </w:pPr>
    </w:p>
    <w:p>
      <w:pPr>
        <w:ind w:left="1640" w:hanging="498"/>
        <w:spacing w:after="0"/>
        <w:tabs>
          <w:tab w:leader="none" w:pos="1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1,436,110.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166" w:lineRule="exact"/>
        <w:rPr>
          <w:sz w:val="20"/>
          <w:szCs w:val="20"/>
          <w:color w:val="auto"/>
        </w:rPr>
      </w:pPr>
    </w:p>
    <w:p>
      <w:pPr>
        <w:ind w:left="660" w:right="24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1"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1280"/>
          </w:cols>
          <w:pgMar w:left="240" w:top="931" w:right="3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2011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 EMPLOYEE STOCK OWNERSHIP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200" w:lineRule="exact"/>
        <w:rPr>
          <w:sz w:val="20"/>
          <w:szCs w:val="20"/>
          <w:color w:val="auto"/>
        </w:rPr>
      </w:pPr>
    </w:p>
    <w:p>
      <w:pPr>
        <w:sectPr>
          <w:pgSz w:w="11900" w:h="16838" w:orient="portrait"/>
          <w:cols w:equalWidth="0" w:num="2">
            <w:col w:w="4580" w:space="720"/>
            <w:col w:w="5980"/>
          </w:cols>
          <w:pgMar w:left="240" w:top="931" w:right="379" w:bottom="1440" w:gutter="0" w:footer="0" w:header="0"/>
          <w:type w:val="continuous"/>
        </w:sectPr>
      </w:pPr>
    </w:p>
    <w:p>
      <w:pPr>
        <w:spacing w:after="0" w:line="11"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HAWKINS, INC., AS ADMINISTRATOR</w:t>
      </w:r>
    </w:p>
    <w:p>
      <w:pPr>
        <w:spacing w:after="0" w:line="200" w:lineRule="exact"/>
        <w:rPr>
          <w:sz w:val="20"/>
          <w:szCs w:val="20"/>
          <w:color w:val="auto"/>
        </w:rPr>
      </w:pPr>
    </w:p>
    <w:p>
      <w:pPr>
        <w:sectPr>
          <w:pgSz w:w="11900" w:h="16838" w:orient="portrait"/>
          <w:cols w:equalWidth="0" w:num="2">
            <w:col w:w="5560" w:space="200"/>
            <w:col w:w="5520"/>
          </w:cols>
          <w:pgMar w:left="240" w:top="931" w:right="379" w:bottom="1440" w:gutter="0" w:footer="0" w:header="0"/>
          <w:type w:val="continuous"/>
        </w:sectPr>
      </w:pPr>
    </w:p>
    <w:p>
      <w:pPr>
        <w:spacing w:after="0" w:line="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Kathleen P. Pepski</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-130810</wp:posOffset>
            </wp:positionV>
            <wp:extent cx="25469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Vice President, Chief Financial Officer, and Treasurer</w:t>
      </w:r>
    </w:p>
    <w:sectPr>
      <w:pgSz w:w="11900" w:h="16838" w:orient="portrait"/>
      <w:cols w:equalWidth="0" w:num="1">
        <w:col w:w="11280"/>
      </w:cols>
      <w:pgMar w:left="240" w:top="93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5"/>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2019-12-10T01:08:46Z</dcterms:created>
  <dcterms:modified xsi:type="dcterms:W3CDTF">2019-12-10T01:08:46Z</dcterms:modified>
</cp:coreProperties>
</file>