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20" w:type="dxa"/>
        <w:tblCellMar>
          <w:top w:w="0" w:type="dxa"/>
          <w:left w:w="0" w:type="dxa"/>
          <w:bottom w:w="0" w:type="dxa"/>
          <w:right w:w="0" w:type="dxa"/>
        </w:tblCellMar>
      </w:tblPr>
      <w:tr>
        <w:trPr>
          <w:trHeight w:val="351"/>
        </w:trPr>
        <w:tc>
          <w:tcPr>
            <w:tcW w:w="11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780" w:type="dxa"/>
            <w:vAlign w:val="bottom"/>
          </w:tcPr>
          <w:p>
            <w:pPr>
              <w:jc w:val="center"/>
              <w:ind w:left="554"/>
              <w:spacing w:after="0"/>
              <w:rPr>
                <w:sz w:val="20"/>
                <w:szCs w:val="20"/>
                <w:color w:val="auto"/>
              </w:rPr>
            </w:pPr>
            <w:r>
              <w:rPr>
                <w:rFonts w:ascii="Arial" w:cs="Arial" w:eastAsia="Arial" w:hAnsi="Arial"/>
                <w:sz w:val="29"/>
                <w:szCs w:val="29"/>
                <w:b w:val="1"/>
                <w:bCs w:val="1"/>
                <w:color w:val="auto"/>
                <w:w w:val="97"/>
              </w:rPr>
              <w:t>UNITED STATES</w:t>
            </w:r>
          </w:p>
        </w:tc>
        <w:tc>
          <w:tcPr>
            <w:tcW w:w="68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355"/>
        </w:trPr>
        <w:tc>
          <w:tcPr>
            <w:tcW w:w="1140" w:type="dxa"/>
            <w:vAlign w:val="bottom"/>
          </w:tcPr>
          <w:p>
            <w:pPr>
              <w:spacing w:after="0"/>
              <w:rPr>
                <w:sz w:val="24"/>
                <w:szCs w:val="24"/>
                <w:color w:val="auto"/>
              </w:rPr>
            </w:pPr>
          </w:p>
        </w:tc>
        <w:tc>
          <w:tcPr>
            <w:tcW w:w="10060" w:type="dxa"/>
            <w:vAlign w:val="bottom"/>
            <w:gridSpan w:val="4"/>
          </w:tcPr>
          <w:p>
            <w:pPr>
              <w:jc w:val="center"/>
              <w:ind w:right="1140"/>
              <w:spacing w:after="0"/>
              <w:rPr>
                <w:sz w:val="20"/>
                <w:szCs w:val="20"/>
                <w:color w:val="auto"/>
              </w:rPr>
            </w:pPr>
            <w:r>
              <w:rPr>
                <w:rFonts w:ascii="Arial" w:cs="Arial" w:eastAsia="Arial" w:hAnsi="Arial"/>
                <w:sz w:val="29"/>
                <w:szCs w:val="29"/>
                <w:b w:val="1"/>
                <w:bCs w:val="1"/>
                <w:color w:val="auto"/>
                <w:w w:val="99"/>
              </w:rPr>
              <w:t>SECURITIES AND EXCHANGE COMMISSION</w:t>
            </w:r>
          </w:p>
        </w:tc>
      </w:tr>
      <w:tr>
        <w:trPr>
          <w:trHeight w:val="239"/>
        </w:trPr>
        <w:tc>
          <w:tcPr>
            <w:tcW w:w="11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780" w:type="dxa"/>
            <w:vAlign w:val="bottom"/>
          </w:tcPr>
          <w:p>
            <w:pPr>
              <w:jc w:val="center"/>
              <w:ind w:left="554"/>
              <w:spacing w:after="0"/>
              <w:rPr>
                <w:sz w:val="20"/>
                <w:szCs w:val="20"/>
                <w:color w:val="auto"/>
              </w:rPr>
            </w:pPr>
            <w:r>
              <w:rPr>
                <w:rFonts w:ascii="Arial" w:cs="Arial" w:eastAsia="Arial" w:hAnsi="Arial"/>
                <w:sz w:val="18"/>
                <w:szCs w:val="18"/>
                <w:b w:val="1"/>
                <w:bCs w:val="1"/>
                <w:color w:val="auto"/>
                <w:w w:val="99"/>
              </w:rPr>
              <w:t>WASHINGTON, D.C. 20549</w:t>
            </w:r>
          </w:p>
        </w:tc>
        <w:tc>
          <w:tcPr>
            <w:tcW w:w="680" w:type="dxa"/>
            <w:vAlign w:val="bottom"/>
          </w:tcPr>
          <w:p>
            <w:pPr>
              <w:spacing w:after="0"/>
              <w:rPr>
                <w:sz w:val="20"/>
                <w:szCs w:val="20"/>
                <w:color w:val="auto"/>
              </w:rPr>
            </w:pPr>
          </w:p>
        </w:tc>
        <w:tc>
          <w:tcPr>
            <w:tcW w:w="2860" w:type="dxa"/>
            <w:vAlign w:val="bottom"/>
          </w:tcPr>
          <w:p>
            <w:pPr>
              <w:spacing w:after="0"/>
              <w:rPr>
                <w:sz w:val="20"/>
                <w:szCs w:val="20"/>
                <w:color w:val="auto"/>
              </w:rPr>
            </w:pPr>
          </w:p>
        </w:tc>
      </w:tr>
      <w:tr>
        <w:trPr>
          <w:trHeight w:val="27"/>
        </w:trPr>
        <w:tc>
          <w:tcPr>
            <w:tcW w:w="1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860" w:type="dxa"/>
            <w:vAlign w:val="bottom"/>
          </w:tcPr>
          <w:p>
            <w:pPr>
              <w:spacing w:after="0"/>
              <w:rPr>
                <w:sz w:val="2"/>
                <w:szCs w:val="2"/>
                <w:color w:val="auto"/>
              </w:rPr>
            </w:pPr>
          </w:p>
        </w:tc>
      </w:tr>
      <w:tr>
        <w:trPr>
          <w:trHeight w:val="331"/>
        </w:trPr>
        <w:tc>
          <w:tcPr>
            <w:tcW w:w="11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780" w:type="dxa"/>
            <w:vAlign w:val="bottom"/>
            <w:tcBorders>
              <w:bottom w:val="single" w:sz="8" w:color="auto"/>
            </w:tcBorders>
          </w:tcPr>
          <w:p>
            <w:pPr>
              <w:jc w:val="center"/>
              <w:ind w:left="554"/>
              <w:spacing w:after="0" w:line="331" w:lineRule="exact"/>
              <w:rPr>
                <w:sz w:val="20"/>
                <w:szCs w:val="20"/>
                <w:color w:val="auto"/>
              </w:rPr>
            </w:pPr>
            <w:r>
              <w:rPr>
                <w:rFonts w:ascii="Arial" w:cs="Arial" w:eastAsia="Arial" w:hAnsi="Arial"/>
                <w:sz w:val="29"/>
                <w:szCs w:val="29"/>
                <w:b w:val="1"/>
                <w:bCs w:val="1"/>
                <w:color w:val="auto"/>
                <w:w w:val="98"/>
              </w:rPr>
              <w:t>FORM 10-Q</w:t>
            </w:r>
          </w:p>
        </w:tc>
        <w:tc>
          <w:tcPr>
            <w:tcW w:w="680" w:type="dxa"/>
            <w:vAlign w:val="bottom"/>
            <w:tcBorders>
              <w:bottom w:val="single" w:sz="8" w:color="auto"/>
            </w:tcBorders>
          </w:tcPr>
          <w:p>
            <w:pPr>
              <w:spacing w:after="0"/>
              <w:rPr>
                <w:sz w:val="24"/>
                <w:szCs w:val="24"/>
                <w:color w:val="auto"/>
              </w:rPr>
            </w:pPr>
          </w:p>
        </w:tc>
        <w:tc>
          <w:tcPr>
            <w:tcW w:w="2860" w:type="dxa"/>
            <w:vAlign w:val="bottom"/>
          </w:tcPr>
          <w:p>
            <w:pPr>
              <w:spacing w:after="0"/>
              <w:rPr>
                <w:sz w:val="24"/>
                <w:szCs w:val="24"/>
                <w:color w:val="auto"/>
              </w:rPr>
            </w:pPr>
          </w:p>
        </w:tc>
      </w:tr>
      <w:tr>
        <w:trPr>
          <w:trHeight w:val="357"/>
        </w:trPr>
        <w:tc>
          <w:tcPr>
            <w:tcW w:w="11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10060" w:type="dxa"/>
            <w:vAlign w:val="bottom"/>
            <w:gridSpan w:val="4"/>
          </w:tcPr>
          <w:p>
            <w:pPr>
              <w:jc w:val="center"/>
              <w:ind w:right="220"/>
              <w:spacing w:after="0"/>
              <w:rPr>
                <w:sz w:val="20"/>
                <w:szCs w:val="20"/>
                <w:color w:val="auto"/>
              </w:rPr>
            </w:pPr>
            <w:r>
              <w:rPr>
                <w:rFonts w:ascii="Arial" w:cs="Arial" w:eastAsia="Arial" w:hAnsi="Arial"/>
                <w:sz w:val="20"/>
                <w:szCs w:val="20"/>
                <w:b w:val="1"/>
                <w:bCs w:val="1"/>
                <w:color w:val="auto"/>
                <w:w w:val="98"/>
              </w:rPr>
              <w:t>QUARTERLY REPORT PURSUANT TO SECTION 13 OR 15(d) OF THE</w:t>
            </w:r>
          </w:p>
        </w:tc>
      </w:tr>
      <w:tr>
        <w:trPr>
          <w:trHeight w:val="261"/>
        </w:trPr>
        <w:tc>
          <w:tcPr>
            <w:tcW w:w="114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8320" w:type="dxa"/>
            <w:vAlign w:val="bottom"/>
            <w:gridSpan w:val="3"/>
          </w:tcPr>
          <w:p>
            <w:pPr>
              <w:jc w:val="center"/>
              <w:ind w:right="1960"/>
              <w:spacing w:after="0"/>
              <w:rPr>
                <w:sz w:val="20"/>
                <w:szCs w:val="20"/>
                <w:color w:val="auto"/>
              </w:rPr>
            </w:pPr>
            <w:r>
              <w:rPr>
                <w:rFonts w:ascii="Arial" w:cs="Arial" w:eastAsia="Arial" w:hAnsi="Arial"/>
                <w:sz w:val="20"/>
                <w:szCs w:val="20"/>
                <w:b w:val="1"/>
                <w:bCs w:val="1"/>
                <w:color w:val="auto"/>
                <w:w w:val="98"/>
              </w:rPr>
              <w:t>SECURITIES EXCHANGE ACT OF 1934</w:t>
            </w:r>
          </w:p>
        </w:tc>
      </w:tr>
      <w:tr>
        <w:trPr>
          <w:trHeight w:val="468"/>
        </w:trPr>
        <w:tc>
          <w:tcPr>
            <w:tcW w:w="11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780" w:type="dxa"/>
            <w:vAlign w:val="bottom"/>
          </w:tcPr>
          <w:p>
            <w:pPr>
              <w:jc w:val="center"/>
              <w:ind w:left="554"/>
              <w:spacing w:after="0"/>
              <w:rPr>
                <w:sz w:val="20"/>
                <w:szCs w:val="20"/>
                <w:color w:val="auto"/>
              </w:rPr>
            </w:pPr>
            <w:r>
              <w:rPr>
                <w:rFonts w:ascii="Arial" w:cs="Arial" w:eastAsia="Arial" w:hAnsi="Arial"/>
                <w:sz w:val="18"/>
                <w:szCs w:val="18"/>
                <w:b w:val="1"/>
                <w:bCs w:val="1"/>
                <w:color w:val="auto"/>
                <w:w w:val="99"/>
              </w:rPr>
              <w:t>For the quarterly period ended October 2, 2022</w:t>
            </w:r>
          </w:p>
        </w:tc>
        <w:tc>
          <w:tcPr>
            <w:tcW w:w="68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269"/>
        </w:trPr>
        <w:tc>
          <w:tcPr>
            <w:tcW w:w="11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10060" w:type="dxa"/>
            <w:vAlign w:val="bottom"/>
            <w:gridSpan w:val="4"/>
          </w:tcPr>
          <w:p>
            <w:pPr>
              <w:jc w:val="center"/>
              <w:ind w:right="220"/>
              <w:spacing w:after="0"/>
              <w:rPr>
                <w:sz w:val="20"/>
                <w:szCs w:val="20"/>
                <w:color w:val="auto"/>
              </w:rPr>
            </w:pPr>
            <w:r>
              <w:rPr>
                <w:rFonts w:ascii="Arial" w:cs="Arial" w:eastAsia="Arial" w:hAnsi="Arial"/>
                <w:sz w:val="20"/>
                <w:szCs w:val="20"/>
                <w:b w:val="1"/>
                <w:bCs w:val="1"/>
                <w:color w:val="auto"/>
                <w:w w:val="98"/>
              </w:rPr>
              <w:t>TRANSITION REPORT PURSUANT TO SECTION 13 OR 15(d) OF THE</w:t>
            </w:r>
          </w:p>
        </w:tc>
      </w:tr>
      <w:tr>
        <w:trPr>
          <w:trHeight w:val="261"/>
        </w:trPr>
        <w:tc>
          <w:tcPr>
            <w:tcW w:w="114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8320" w:type="dxa"/>
            <w:vAlign w:val="bottom"/>
            <w:gridSpan w:val="3"/>
          </w:tcPr>
          <w:p>
            <w:pPr>
              <w:jc w:val="center"/>
              <w:ind w:right="1960"/>
              <w:spacing w:after="0"/>
              <w:rPr>
                <w:sz w:val="20"/>
                <w:szCs w:val="20"/>
                <w:color w:val="auto"/>
              </w:rPr>
            </w:pPr>
            <w:r>
              <w:rPr>
                <w:rFonts w:ascii="Arial" w:cs="Arial" w:eastAsia="Arial" w:hAnsi="Arial"/>
                <w:sz w:val="20"/>
                <w:szCs w:val="20"/>
                <w:b w:val="1"/>
                <w:bCs w:val="1"/>
                <w:color w:val="auto"/>
                <w:w w:val="98"/>
              </w:rPr>
              <w:t>SECURITIES EXCHANGE ACT OF 1934</w:t>
            </w:r>
          </w:p>
        </w:tc>
      </w:tr>
      <w:tr>
        <w:trPr>
          <w:trHeight w:val="419"/>
        </w:trPr>
        <w:tc>
          <w:tcPr>
            <w:tcW w:w="11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780" w:type="dxa"/>
            <w:vAlign w:val="bottom"/>
          </w:tcPr>
          <w:p>
            <w:pPr>
              <w:jc w:val="center"/>
              <w:ind w:left="554"/>
              <w:spacing w:after="0"/>
              <w:rPr>
                <w:sz w:val="20"/>
                <w:szCs w:val="20"/>
                <w:color w:val="auto"/>
              </w:rPr>
            </w:pPr>
            <w:r>
              <w:rPr>
                <w:rFonts w:ascii="Arial" w:cs="Arial" w:eastAsia="Arial" w:hAnsi="Arial"/>
                <w:sz w:val="18"/>
                <w:szCs w:val="18"/>
                <w:b w:val="1"/>
                <w:bCs w:val="1"/>
                <w:color w:val="auto"/>
              </w:rPr>
              <w:t>Commission file number 0-7647</w:t>
            </w:r>
          </w:p>
        </w:tc>
        <w:tc>
          <w:tcPr>
            <w:tcW w:w="68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414"/>
        </w:trPr>
        <w:tc>
          <w:tcPr>
            <w:tcW w:w="11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780" w:type="dxa"/>
            <w:vAlign w:val="bottom"/>
          </w:tcPr>
          <w:p>
            <w:pPr>
              <w:jc w:val="center"/>
              <w:ind w:left="554"/>
              <w:spacing w:after="0"/>
              <w:rPr>
                <w:sz w:val="20"/>
                <w:szCs w:val="20"/>
                <w:color w:val="auto"/>
              </w:rPr>
            </w:pPr>
            <w:r>
              <w:rPr>
                <w:rFonts w:ascii="Arial" w:cs="Arial" w:eastAsia="Arial" w:hAnsi="Arial"/>
                <w:sz w:val="32"/>
                <w:szCs w:val="32"/>
                <w:b w:val="1"/>
                <w:bCs w:val="1"/>
                <w:color w:val="auto"/>
              </w:rPr>
              <w:t>HAWKINS, INC.</w:t>
            </w:r>
          </w:p>
        </w:tc>
        <w:tc>
          <w:tcPr>
            <w:tcW w:w="68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196"/>
        </w:trPr>
        <w:tc>
          <w:tcPr>
            <w:tcW w:w="11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spacing w:after="0"/>
              <w:rPr>
                <w:sz w:val="17"/>
                <w:szCs w:val="17"/>
                <w:color w:val="auto"/>
              </w:rPr>
            </w:pPr>
          </w:p>
        </w:tc>
        <w:tc>
          <w:tcPr>
            <w:tcW w:w="4780" w:type="dxa"/>
            <w:vAlign w:val="bottom"/>
            <w:tcBorders>
              <w:bottom w:val="single" w:sz="8" w:color="auto"/>
            </w:tcBorders>
          </w:tcPr>
          <w:p>
            <w:pPr>
              <w:jc w:val="center"/>
              <w:ind w:left="534"/>
              <w:spacing w:after="0"/>
              <w:rPr>
                <w:sz w:val="20"/>
                <w:szCs w:val="20"/>
                <w:color w:val="auto"/>
              </w:rPr>
            </w:pPr>
            <w:r>
              <w:rPr>
                <w:rFonts w:ascii="Arial" w:cs="Arial" w:eastAsia="Arial" w:hAnsi="Arial"/>
                <w:sz w:val="14"/>
                <w:szCs w:val="14"/>
                <w:b w:val="1"/>
                <w:bCs w:val="1"/>
                <w:color w:val="auto"/>
              </w:rPr>
              <w:t>(Exact name of registrant as specified in its charter)</w:t>
            </w:r>
          </w:p>
        </w:tc>
        <w:tc>
          <w:tcPr>
            <w:tcW w:w="68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tcPr>
          <w:p>
            <w:pPr>
              <w:spacing w:after="0"/>
              <w:rPr>
                <w:sz w:val="17"/>
                <w:szCs w:val="17"/>
                <w:color w:val="auto"/>
              </w:rPr>
            </w:pPr>
          </w:p>
        </w:tc>
      </w:tr>
      <w:tr>
        <w:trPr>
          <w:trHeight w:val="350"/>
        </w:trPr>
        <w:tc>
          <w:tcPr>
            <w:tcW w:w="1140" w:type="dxa"/>
            <w:vAlign w:val="bottom"/>
            <w:tcBorders>
              <w:bottom w:val="single" w:sz="8" w:color="auto"/>
            </w:tcBorders>
          </w:tcPr>
          <w:p>
            <w:pPr>
              <w:spacing w:after="0"/>
              <w:rPr>
                <w:sz w:val="24"/>
                <w:szCs w:val="24"/>
                <w:color w:val="auto"/>
              </w:rPr>
            </w:pPr>
          </w:p>
        </w:tc>
        <w:tc>
          <w:tcPr>
            <w:tcW w:w="6520" w:type="dxa"/>
            <w:vAlign w:val="bottom"/>
            <w:tcBorders>
              <w:bottom w:val="single" w:sz="8" w:color="auto"/>
            </w:tcBorders>
            <w:gridSpan w:val="2"/>
          </w:tcPr>
          <w:p>
            <w:pPr>
              <w:jc w:val="center"/>
              <w:ind w:right="3154"/>
              <w:spacing w:after="0"/>
              <w:rPr>
                <w:sz w:val="20"/>
                <w:szCs w:val="20"/>
                <w:color w:val="auto"/>
              </w:rPr>
            </w:pPr>
            <w:r>
              <w:rPr>
                <w:rFonts w:ascii="Arial" w:cs="Arial" w:eastAsia="Arial" w:hAnsi="Arial"/>
                <w:sz w:val="18"/>
                <w:szCs w:val="18"/>
                <w:b w:val="1"/>
                <w:bCs w:val="1"/>
                <w:color w:val="auto"/>
              </w:rPr>
              <w:t>Minnesota</w:t>
            </w:r>
          </w:p>
        </w:tc>
        <w:tc>
          <w:tcPr>
            <w:tcW w:w="3540" w:type="dxa"/>
            <w:vAlign w:val="bottom"/>
            <w:tcBorders>
              <w:bottom w:val="single" w:sz="8" w:color="auto"/>
            </w:tcBorders>
            <w:gridSpan w:val="2"/>
          </w:tcPr>
          <w:p>
            <w:pPr>
              <w:jc w:val="center"/>
              <w:ind w:right="1780"/>
              <w:spacing w:after="0"/>
              <w:rPr>
                <w:sz w:val="20"/>
                <w:szCs w:val="20"/>
                <w:color w:val="auto"/>
              </w:rPr>
            </w:pPr>
            <w:r>
              <w:rPr>
                <w:rFonts w:ascii="Arial" w:cs="Arial" w:eastAsia="Arial" w:hAnsi="Arial"/>
                <w:sz w:val="18"/>
                <w:szCs w:val="18"/>
                <w:b w:val="1"/>
                <w:bCs w:val="1"/>
                <w:color w:val="auto"/>
                <w:w w:val="99"/>
              </w:rPr>
              <w:t>41-0771293</w:t>
            </w:r>
          </w:p>
        </w:tc>
      </w:tr>
      <w:tr>
        <w:trPr>
          <w:trHeight w:val="142"/>
        </w:trPr>
        <w:tc>
          <w:tcPr>
            <w:tcW w:w="1140" w:type="dxa"/>
            <w:vAlign w:val="bottom"/>
          </w:tcPr>
          <w:p>
            <w:pPr>
              <w:spacing w:after="0"/>
              <w:rPr>
                <w:sz w:val="12"/>
                <w:szCs w:val="12"/>
                <w:color w:val="auto"/>
              </w:rPr>
            </w:pPr>
          </w:p>
        </w:tc>
        <w:tc>
          <w:tcPr>
            <w:tcW w:w="6520" w:type="dxa"/>
            <w:vAlign w:val="bottom"/>
            <w:gridSpan w:val="2"/>
          </w:tcPr>
          <w:p>
            <w:pPr>
              <w:jc w:val="center"/>
              <w:ind w:right="3154"/>
              <w:spacing w:after="0" w:line="142" w:lineRule="exact"/>
              <w:rPr>
                <w:sz w:val="20"/>
                <w:szCs w:val="20"/>
                <w:color w:val="auto"/>
              </w:rPr>
            </w:pPr>
            <w:r>
              <w:rPr>
                <w:rFonts w:ascii="Arial" w:cs="Arial" w:eastAsia="Arial" w:hAnsi="Arial"/>
                <w:sz w:val="14"/>
                <w:szCs w:val="14"/>
                <w:b w:val="1"/>
                <w:bCs w:val="1"/>
                <w:color w:val="auto"/>
              </w:rPr>
              <w:t>(State or other jurisdiction of</w:t>
            </w:r>
          </w:p>
        </w:tc>
        <w:tc>
          <w:tcPr>
            <w:tcW w:w="3540" w:type="dxa"/>
            <w:vAlign w:val="bottom"/>
            <w:gridSpan w:val="2"/>
          </w:tcPr>
          <w:p>
            <w:pPr>
              <w:jc w:val="center"/>
              <w:ind w:right="1780"/>
              <w:spacing w:after="0" w:line="142" w:lineRule="exact"/>
              <w:rPr>
                <w:sz w:val="20"/>
                <w:szCs w:val="20"/>
                <w:color w:val="auto"/>
              </w:rPr>
            </w:pPr>
            <w:r>
              <w:rPr>
                <w:rFonts w:ascii="Arial" w:cs="Arial" w:eastAsia="Arial" w:hAnsi="Arial"/>
                <w:sz w:val="14"/>
                <w:szCs w:val="14"/>
                <w:b w:val="1"/>
                <w:bCs w:val="1"/>
                <w:color w:val="auto"/>
              </w:rPr>
              <w:t>(I.R.S. Employer</w:t>
            </w:r>
          </w:p>
        </w:tc>
      </w:tr>
      <w:tr>
        <w:trPr>
          <w:trHeight w:val="190"/>
        </w:trPr>
        <w:tc>
          <w:tcPr>
            <w:tcW w:w="1140" w:type="dxa"/>
            <w:vAlign w:val="bottom"/>
          </w:tcPr>
          <w:p>
            <w:pPr>
              <w:spacing w:after="0"/>
              <w:rPr>
                <w:sz w:val="16"/>
                <w:szCs w:val="16"/>
                <w:color w:val="auto"/>
              </w:rPr>
            </w:pPr>
          </w:p>
        </w:tc>
        <w:tc>
          <w:tcPr>
            <w:tcW w:w="6520" w:type="dxa"/>
            <w:vAlign w:val="bottom"/>
            <w:gridSpan w:val="2"/>
          </w:tcPr>
          <w:p>
            <w:pPr>
              <w:jc w:val="center"/>
              <w:ind w:right="3154"/>
              <w:spacing w:after="0"/>
              <w:rPr>
                <w:sz w:val="20"/>
                <w:szCs w:val="20"/>
                <w:color w:val="auto"/>
              </w:rPr>
            </w:pPr>
            <w:r>
              <w:rPr>
                <w:rFonts w:ascii="Arial" w:cs="Arial" w:eastAsia="Arial" w:hAnsi="Arial"/>
                <w:sz w:val="14"/>
                <w:szCs w:val="14"/>
                <w:b w:val="1"/>
                <w:bCs w:val="1"/>
                <w:color w:val="auto"/>
              </w:rPr>
              <w:t>incorporation or organization)</w:t>
            </w:r>
          </w:p>
        </w:tc>
        <w:tc>
          <w:tcPr>
            <w:tcW w:w="3540" w:type="dxa"/>
            <w:vAlign w:val="bottom"/>
            <w:gridSpan w:val="2"/>
          </w:tcPr>
          <w:p>
            <w:pPr>
              <w:jc w:val="center"/>
              <w:ind w:right="1780"/>
              <w:spacing w:after="0"/>
              <w:rPr>
                <w:sz w:val="20"/>
                <w:szCs w:val="20"/>
                <w:color w:val="auto"/>
              </w:rPr>
            </w:pPr>
            <w:r>
              <w:rPr>
                <w:rFonts w:ascii="Arial" w:cs="Arial" w:eastAsia="Arial" w:hAnsi="Arial"/>
                <w:sz w:val="14"/>
                <w:szCs w:val="14"/>
                <w:b w:val="1"/>
                <w:bCs w:val="1"/>
                <w:color w:val="auto"/>
              </w:rPr>
              <w:t>Identification No.)</w:t>
            </w:r>
          </w:p>
        </w:tc>
      </w:tr>
      <w:tr>
        <w:trPr>
          <w:trHeight w:val="390"/>
        </w:trPr>
        <w:tc>
          <w:tcPr>
            <w:tcW w:w="1140" w:type="dxa"/>
            <w:vAlign w:val="bottom"/>
          </w:tcPr>
          <w:p>
            <w:pPr>
              <w:spacing w:after="0"/>
              <w:rPr>
                <w:sz w:val="24"/>
                <w:szCs w:val="24"/>
                <w:color w:val="auto"/>
              </w:rPr>
            </w:pPr>
          </w:p>
        </w:tc>
        <w:tc>
          <w:tcPr>
            <w:tcW w:w="6520" w:type="dxa"/>
            <w:vAlign w:val="bottom"/>
            <w:gridSpan w:val="2"/>
          </w:tcPr>
          <w:p>
            <w:pPr>
              <w:jc w:val="center"/>
              <w:ind w:right="1874"/>
              <w:spacing w:after="0"/>
              <w:rPr>
                <w:sz w:val="20"/>
                <w:szCs w:val="20"/>
                <w:color w:val="auto"/>
              </w:rPr>
            </w:pPr>
            <w:r>
              <w:rPr>
                <w:rFonts w:ascii="Arial" w:cs="Arial" w:eastAsia="Arial" w:hAnsi="Arial"/>
                <w:sz w:val="18"/>
                <w:szCs w:val="18"/>
                <w:b w:val="1"/>
                <w:bCs w:val="1"/>
                <w:color w:val="auto"/>
                <w:w w:val="99"/>
              </w:rPr>
              <w:t>2381 Rosegate, Roseville, Minnesota</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55113</w:t>
            </w:r>
          </w:p>
        </w:tc>
        <w:tc>
          <w:tcPr>
            <w:tcW w:w="2860" w:type="dxa"/>
            <w:vAlign w:val="bottom"/>
          </w:tcPr>
          <w:p>
            <w:pPr>
              <w:spacing w:after="0"/>
              <w:rPr>
                <w:sz w:val="24"/>
                <w:szCs w:val="24"/>
                <w:color w:val="auto"/>
              </w:rPr>
            </w:pPr>
          </w:p>
        </w:tc>
      </w:tr>
      <w:tr>
        <w:trPr>
          <w:trHeight w:val="244"/>
        </w:trPr>
        <w:tc>
          <w:tcPr>
            <w:tcW w:w="1140" w:type="dxa"/>
            <w:vAlign w:val="bottom"/>
          </w:tcPr>
          <w:p>
            <w:pPr>
              <w:spacing w:after="0"/>
              <w:rPr>
                <w:sz w:val="21"/>
                <w:szCs w:val="21"/>
                <w:color w:val="auto"/>
              </w:rPr>
            </w:pPr>
          </w:p>
        </w:tc>
        <w:tc>
          <w:tcPr>
            <w:tcW w:w="6520" w:type="dxa"/>
            <w:vAlign w:val="bottom"/>
            <w:gridSpan w:val="2"/>
          </w:tcPr>
          <w:p>
            <w:pPr>
              <w:jc w:val="center"/>
              <w:ind w:right="1854"/>
              <w:spacing w:after="0"/>
              <w:rPr>
                <w:sz w:val="20"/>
                <w:szCs w:val="20"/>
                <w:color w:val="auto"/>
              </w:rPr>
            </w:pPr>
            <w:r>
              <w:rPr>
                <w:rFonts w:ascii="Arial" w:cs="Arial" w:eastAsia="Arial" w:hAnsi="Arial"/>
                <w:sz w:val="14"/>
                <w:szCs w:val="14"/>
                <w:b w:val="1"/>
                <w:bCs w:val="1"/>
                <w:color w:val="auto"/>
              </w:rPr>
              <w:t>(Address of principal executive offices)</w:t>
            </w:r>
          </w:p>
        </w:tc>
        <w:tc>
          <w:tcPr>
            <w:tcW w:w="3540" w:type="dxa"/>
            <w:vAlign w:val="bottom"/>
            <w:gridSpan w:val="2"/>
          </w:tcPr>
          <w:p>
            <w:pPr>
              <w:jc w:val="center"/>
              <w:ind w:right="2720"/>
              <w:spacing w:after="0"/>
              <w:rPr>
                <w:sz w:val="20"/>
                <w:szCs w:val="20"/>
                <w:color w:val="auto"/>
              </w:rPr>
            </w:pPr>
            <w:r>
              <w:rPr>
                <w:rFonts w:ascii="Arial" w:cs="Arial" w:eastAsia="Arial" w:hAnsi="Arial"/>
                <w:sz w:val="14"/>
                <w:szCs w:val="14"/>
                <w:b w:val="1"/>
                <w:bCs w:val="1"/>
                <w:color w:val="auto"/>
              </w:rPr>
              <w:t>(Zip code)</w:t>
            </w:r>
          </w:p>
        </w:tc>
      </w:tr>
      <w:tr>
        <w:trPr>
          <w:trHeight w:val="431"/>
        </w:trPr>
        <w:tc>
          <w:tcPr>
            <w:tcW w:w="1140" w:type="dxa"/>
            <w:vAlign w:val="bottom"/>
          </w:tcPr>
          <w:p>
            <w:pPr>
              <w:spacing w:after="0"/>
              <w:rPr>
                <w:sz w:val="24"/>
                <w:szCs w:val="24"/>
                <w:color w:val="auto"/>
              </w:rPr>
            </w:pPr>
          </w:p>
        </w:tc>
        <w:tc>
          <w:tcPr>
            <w:tcW w:w="6520" w:type="dxa"/>
            <w:vAlign w:val="bottom"/>
            <w:gridSpan w:val="2"/>
          </w:tcPr>
          <w:p>
            <w:pPr>
              <w:jc w:val="center"/>
              <w:ind w:left="2308"/>
              <w:spacing w:after="0"/>
              <w:rPr>
                <w:sz w:val="20"/>
                <w:szCs w:val="20"/>
                <w:color w:val="auto"/>
              </w:rPr>
            </w:pPr>
            <w:r>
              <w:rPr>
                <w:rFonts w:ascii="Arial" w:cs="Arial" w:eastAsia="Arial" w:hAnsi="Arial"/>
                <w:sz w:val="18"/>
                <w:szCs w:val="18"/>
                <w:b w:val="1"/>
                <w:bCs w:val="1"/>
                <w:color w:val="auto"/>
              </w:rPr>
              <w:t>(612) 331-6910</w:t>
            </w:r>
          </w:p>
        </w:tc>
        <w:tc>
          <w:tcPr>
            <w:tcW w:w="68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210"/>
        </w:trPr>
        <w:tc>
          <w:tcPr>
            <w:tcW w:w="11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780" w:type="dxa"/>
            <w:vAlign w:val="bottom"/>
            <w:tcBorders>
              <w:bottom w:val="single" w:sz="8" w:color="auto"/>
            </w:tcBorders>
          </w:tcPr>
          <w:p>
            <w:pPr>
              <w:jc w:val="center"/>
              <w:ind w:left="554"/>
              <w:spacing w:after="0"/>
              <w:rPr>
                <w:sz w:val="20"/>
                <w:szCs w:val="20"/>
                <w:color w:val="auto"/>
              </w:rPr>
            </w:pPr>
            <w:r>
              <w:rPr>
                <w:rFonts w:ascii="Arial" w:cs="Arial" w:eastAsia="Arial" w:hAnsi="Arial"/>
                <w:sz w:val="14"/>
                <w:szCs w:val="14"/>
                <w:b w:val="1"/>
                <w:bCs w:val="1"/>
                <w:color w:val="auto"/>
              </w:rPr>
              <w:t>(Registrant’s telephone number, including area code)</w:t>
            </w:r>
          </w:p>
        </w:tc>
        <w:tc>
          <w:tcPr>
            <w:tcW w:w="680" w:type="dxa"/>
            <w:vAlign w:val="bottom"/>
            <w:tcBorders>
              <w:bottom w:val="single" w:sz="8" w:color="auto"/>
            </w:tcBorders>
          </w:tcPr>
          <w:p>
            <w:pPr>
              <w:spacing w:after="0"/>
              <w:rPr>
                <w:sz w:val="18"/>
                <w:szCs w:val="18"/>
                <w:color w:val="auto"/>
              </w:rPr>
            </w:pPr>
          </w:p>
        </w:tc>
        <w:tc>
          <w:tcPr>
            <w:tcW w:w="2860" w:type="dxa"/>
            <w:vAlign w:val="bottom"/>
          </w:tcPr>
          <w:p>
            <w:pPr>
              <w:spacing w:after="0"/>
              <w:rPr>
                <w:sz w:val="18"/>
                <w:szCs w:val="18"/>
                <w:color w:val="auto"/>
              </w:rPr>
            </w:pPr>
          </w:p>
        </w:tc>
      </w:tr>
    </w:tbl>
    <w:p>
      <w:pPr>
        <w:spacing w:after="0" w:line="31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414655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2"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3400" w:type="dxa"/>
            <w:vAlign w:val="bottom"/>
            <w:tcBorders>
              <w:bottom w:val="single" w:sz="8" w:color="auto"/>
            </w:tcBorders>
          </w:tcPr>
          <w:p>
            <w:pPr>
              <w:ind w:left="1080"/>
              <w:spacing w:after="0"/>
              <w:rPr>
                <w:sz w:val="20"/>
                <w:szCs w:val="20"/>
                <w:color w:val="auto"/>
              </w:rPr>
            </w:pPr>
            <w:r>
              <w:rPr>
                <w:rFonts w:ascii="Arial" w:cs="Arial" w:eastAsia="Arial" w:hAnsi="Arial"/>
                <w:sz w:val="16"/>
                <w:szCs w:val="16"/>
                <w:b w:val="1"/>
                <w:bCs w:val="1"/>
                <w:color w:val="auto"/>
              </w:rPr>
              <w:t>Title of each class</w:t>
            </w: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Trading Symbol(s)</w:t>
            </w:r>
          </w:p>
        </w:tc>
        <w:tc>
          <w:tcPr>
            <w:tcW w:w="45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06"/>
        </w:trPr>
        <w:tc>
          <w:tcPr>
            <w:tcW w:w="3400" w:type="dxa"/>
            <w:vAlign w:val="bottom"/>
          </w:tcPr>
          <w:p>
            <w:pPr>
              <w:ind w:left="20"/>
              <w:spacing w:after="0"/>
              <w:rPr>
                <w:sz w:val="20"/>
                <w:szCs w:val="20"/>
                <w:color w:val="auto"/>
              </w:rPr>
            </w:pPr>
            <w:r>
              <w:rPr>
                <w:rFonts w:ascii="Arial" w:cs="Arial" w:eastAsia="Arial" w:hAnsi="Arial"/>
                <w:sz w:val="16"/>
                <w:szCs w:val="16"/>
                <w:color w:val="auto"/>
              </w:rPr>
              <w:t>Common Stock, par value $.01 per share</w:t>
            </w:r>
          </w:p>
        </w:tc>
        <w:tc>
          <w:tcPr>
            <w:tcW w:w="2280" w:type="dxa"/>
            <w:vAlign w:val="bottom"/>
          </w:tcPr>
          <w:p>
            <w:pPr>
              <w:jc w:val="center"/>
              <w:spacing w:after="0"/>
              <w:rPr>
                <w:sz w:val="20"/>
                <w:szCs w:val="20"/>
                <w:color w:val="auto"/>
              </w:rPr>
            </w:pPr>
            <w:r>
              <w:rPr>
                <w:rFonts w:ascii="Arial" w:cs="Arial" w:eastAsia="Arial" w:hAnsi="Arial"/>
                <w:sz w:val="16"/>
                <w:szCs w:val="16"/>
                <w:color w:val="auto"/>
              </w:rPr>
              <w:t>HWKN</w:t>
            </w:r>
          </w:p>
        </w:tc>
        <w:tc>
          <w:tcPr>
            <w:tcW w:w="4540" w:type="dxa"/>
            <w:vAlign w:val="bottom"/>
          </w:tcPr>
          <w:p>
            <w:pPr>
              <w:jc w:val="center"/>
              <w:ind w:right="99"/>
              <w:spacing w:after="0"/>
              <w:rPr>
                <w:sz w:val="20"/>
                <w:szCs w:val="20"/>
                <w:color w:val="auto"/>
              </w:rPr>
            </w:pPr>
            <w:r>
              <w:rPr>
                <w:rFonts w:ascii="Arial" w:cs="Arial" w:eastAsia="Arial" w:hAnsi="Arial"/>
                <w:sz w:val="16"/>
                <w:szCs w:val="16"/>
                <w:color w:val="auto"/>
              </w:rPr>
              <w:t>Nasdaq Stock Market LLC</w:t>
            </w:r>
          </w:p>
        </w:tc>
      </w:tr>
    </w:tbl>
    <w:p>
      <w:pPr>
        <w:spacing w:after="0" w:line="248" w:lineRule="exact"/>
        <w:rPr>
          <w:sz w:val="24"/>
          <w:szCs w:val="24"/>
          <w:color w:val="auto"/>
        </w:rPr>
      </w:pPr>
    </w:p>
    <w:p>
      <w:pPr>
        <w:ind w:right="100"/>
        <w:spacing w:after="0" w:line="223"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2" w:lineRule="exact"/>
        <w:rPr>
          <w:sz w:val="24"/>
          <w:szCs w:val="24"/>
          <w:color w:val="auto"/>
        </w:rPr>
      </w:pPr>
    </w:p>
    <w:p>
      <w:pPr>
        <w:ind w:right="260"/>
        <w:spacing w:after="0" w:line="223"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2" w:lineRule="exact"/>
        <w:rPr>
          <w:sz w:val="24"/>
          <w:szCs w:val="24"/>
          <w:color w:val="auto"/>
        </w:rPr>
      </w:pPr>
    </w:p>
    <w:p>
      <w:pPr>
        <w:ind w:right="280"/>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8" w:lineRule="exact"/>
        <w:rPr>
          <w:sz w:val="24"/>
          <w:szCs w:val="24"/>
          <w:color w:val="auto"/>
        </w:rPr>
      </w:pPr>
    </w:p>
    <w:tbl>
      <w:tblPr>
        <w:tblLayout w:type="fixed"/>
        <w:tblInd w:w="20" w:type="dxa"/>
        <w:tblCellMar>
          <w:top w:w="0" w:type="dxa"/>
          <w:left w:w="0" w:type="dxa"/>
          <w:bottom w:w="0" w:type="dxa"/>
          <w:right w:w="0" w:type="dxa"/>
        </w:tblCellMar>
      </w:tblPr>
      <w:tr>
        <w:trPr>
          <w:trHeight w:val="310"/>
        </w:trPr>
        <w:tc>
          <w:tcPr>
            <w:tcW w:w="20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06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160" w:type="dxa"/>
            <w:vAlign w:val="bottom"/>
          </w:tcPr>
          <w:p>
            <w:pPr>
              <w:ind w:left="2640"/>
              <w:spacing w:after="0"/>
              <w:rPr>
                <w:sz w:val="20"/>
                <w:szCs w:val="20"/>
                <w:color w:val="auto"/>
              </w:rPr>
            </w:pPr>
            <w:r>
              <w:rPr>
                <w:rFonts w:ascii="Arial" w:cs="Arial" w:eastAsia="Arial" w:hAnsi="Arial"/>
                <w:sz w:val="18"/>
                <w:szCs w:val="18"/>
                <w:color w:val="auto"/>
              </w:rPr>
              <w:t>Accelerated filer</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59"/>
        </w:trPr>
        <w:tc>
          <w:tcPr>
            <w:tcW w:w="2040" w:type="dxa"/>
            <w:vAlign w:val="bottom"/>
          </w:tcPr>
          <w:p>
            <w:pPr>
              <w:spacing w:after="0"/>
              <w:rPr>
                <w:sz w:val="20"/>
                <w:szCs w:val="20"/>
                <w:color w:val="auto"/>
              </w:rPr>
            </w:pPr>
            <w:r>
              <w:rPr>
                <w:rFonts w:ascii="Arial" w:cs="Arial" w:eastAsia="Arial" w:hAnsi="Arial"/>
                <w:sz w:val="18"/>
                <w:szCs w:val="18"/>
                <w:color w:val="auto"/>
              </w:rPr>
              <w:t>Non-accelerated filer</w:t>
            </w:r>
          </w:p>
        </w:tc>
        <w:tc>
          <w:tcPr>
            <w:tcW w:w="306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160" w:type="dxa"/>
            <w:vAlign w:val="bottom"/>
          </w:tcPr>
          <w:p>
            <w:pPr>
              <w:ind w:left="2640"/>
              <w:spacing w:after="0"/>
              <w:rPr>
                <w:sz w:val="20"/>
                <w:szCs w:val="20"/>
                <w:color w:val="auto"/>
              </w:rPr>
            </w:pPr>
            <w:r>
              <w:rPr>
                <w:rFonts w:ascii="Arial" w:cs="Arial" w:eastAsia="Arial" w:hAnsi="Arial"/>
                <w:sz w:val="18"/>
                <w:szCs w:val="18"/>
                <w:color w:val="auto"/>
              </w:rPr>
              <w:t>Smaller reporting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9"/>
        </w:trPr>
        <w:tc>
          <w:tcPr>
            <w:tcW w:w="20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5160" w:type="dxa"/>
            <w:vAlign w:val="bottom"/>
          </w:tcPr>
          <w:p>
            <w:pPr>
              <w:ind w:left="2640"/>
              <w:spacing w:after="0"/>
              <w:rPr>
                <w:sz w:val="20"/>
                <w:szCs w:val="20"/>
                <w:color w:val="auto"/>
              </w:rPr>
            </w:pPr>
            <w:r>
              <w:rPr>
                <w:rFonts w:ascii="Arial" w:cs="Arial" w:eastAsia="Arial" w:hAnsi="Arial"/>
                <w:sz w:val="18"/>
                <w:szCs w:val="18"/>
                <w:color w:val="auto"/>
              </w:rPr>
              <w:t>Emerging growth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2" w:lineRule="exact"/>
        <w:rPr>
          <w:sz w:val="24"/>
          <w:szCs w:val="24"/>
          <w:color w:val="auto"/>
        </w:rPr>
      </w:pPr>
    </w:p>
    <w:p>
      <w:pPr>
        <w:ind w:right="200"/>
        <w:spacing w:after="0" w:line="21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660" w:right="2240" w:hanging="647"/>
        <w:spacing w:after="0" w:line="216"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55" w:lineRule="exact"/>
        <w:rPr>
          <w:sz w:val="24"/>
          <w:szCs w:val="24"/>
          <w:color w:val="auto"/>
        </w:rPr>
      </w:pPr>
    </w:p>
    <w:tbl>
      <w:tblPr>
        <w:tblLayout w:type="fixed"/>
        <w:tblInd w:w="0" w:type="dxa"/>
        <w:tblCellMar>
          <w:top w:w="0" w:type="dxa"/>
          <w:left w:w="0" w:type="dxa"/>
          <w:bottom w:w="0" w:type="dxa"/>
          <w:right w:w="0" w:type="dxa"/>
        </w:tblCellMar>
      </w:tblPr>
      <w:tr>
        <w:trPr>
          <w:trHeight w:val="178"/>
        </w:trPr>
        <w:tc>
          <w:tcPr>
            <w:tcW w:w="40" w:type="dxa"/>
            <w:vAlign w:val="bottom"/>
          </w:tcPr>
          <w:p>
            <w:pPr>
              <w:spacing w:after="0"/>
              <w:rPr>
                <w:sz w:val="15"/>
                <w:szCs w:val="15"/>
                <w:color w:val="auto"/>
              </w:rPr>
            </w:pPr>
          </w:p>
        </w:tc>
        <w:tc>
          <w:tcPr>
            <w:tcW w:w="48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CLASS</w:t>
            </w:r>
          </w:p>
        </w:tc>
        <w:tc>
          <w:tcPr>
            <w:tcW w:w="300" w:type="dxa"/>
            <w:vAlign w:val="bottom"/>
          </w:tcPr>
          <w:p>
            <w:pPr>
              <w:spacing w:after="0"/>
              <w:rPr>
                <w:sz w:val="15"/>
                <w:szCs w:val="15"/>
                <w:color w:val="auto"/>
              </w:rPr>
            </w:pPr>
          </w:p>
        </w:tc>
        <w:tc>
          <w:tcPr>
            <w:tcW w:w="48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Shares Outstanding at October 28, 2022</w:t>
            </w:r>
          </w:p>
        </w:tc>
        <w:tc>
          <w:tcPr>
            <w:tcW w:w="1260" w:type="dxa"/>
            <w:vAlign w:val="bottom"/>
          </w:tcPr>
          <w:p>
            <w:pPr>
              <w:spacing w:after="0"/>
              <w:rPr>
                <w:sz w:val="15"/>
                <w:szCs w:val="15"/>
                <w:color w:val="auto"/>
              </w:rPr>
            </w:pPr>
          </w:p>
        </w:tc>
      </w:tr>
      <w:tr>
        <w:trPr>
          <w:trHeight w:val="229"/>
        </w:trPr>
        <w:tc>
          <w:tcPr>
            <w:tcW w:w="40" w:type="dxa"/>
            <w:vAlign w:val="bottom"/>
          </w:tcPr>
          <w:p>
            <w:pPr>
              <w:spacing w:after="0"/>
              <w:rPr>
                <w:sz w:val="19"/>
                <w:szCs w:val="19"/>
                <w:color w:val="auto"/>
              </w:rPr>
            </w:pPr>
          </w:p>
        </w:tc>
        <w:tc>
          <w:tcPr>
            <w:tcW w:w="512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Common Stock, par value $.01 per share</w:t>
            </w:r>
          </w:p>
        </w:tc>
        <w:tc>
          <w:tcPr>
            <w:tcW w:w="4820" w:type="dxa"/>
            <w:vAlign w:val="bottom"/>
          </w:tcPr>
          <w:p>
            <w:pPr>
              <w:jc w:val="right"/>
              <w:ind w:right="1879"/>
              <w:spacing w:after="0"/>
              <w:rPr>
                <w:sz w:val="20"/>
                <w:szCs w:val="20"/>
                <w:color w:val="auto"/>
              </w:rPr>
            </w:pPr>
            <w:r>
              <w:rPr>
                <w:rFonts w:ascii="Arial" w:cs="Arial" w:eastAsia="Arial" w:hAnsi="Arial"/>
                <w:sz w:val="18"/>
                <w:szCs w:val="18"/>
                <w:color w:val="auto"/>
              </w:rPr>
              <w:t>21,019,448</w:t>
            </w:r>
          </w:p>
        </w:tc>
        <w:tc>
          <w:tcPr>
            <w:tcW w:w="1260" w:type="dxa"/>
            <w:vAlign w:val="bottom"/>
          </w:tcPr>
          <w:p>
            <w:pPr>
              <w:spacing w:after="0"/>
              <w:rPr>
                <w:sz w:val="19"/>
                <w:szCs w:val="19"/>
                <w:color w:val="auto"/>
              </w:rPr>
            </w:pPr>
          </w:p>
        </w:tc>
      </w:tr>
      <w:tr>
        <w:trPr>
          <w:trHeight w:val="122"/>
        </w:trPr>
        <w:tc>
          <w:tcPr>
            <w:tcW w:w="40" w:type="dxa"/>
            <w:vAlign w:val="bottom"/>
            <w:tcBorders>
              <w:bottom w:val="single" w:sz="8" w:color="auto"/>
            </w:tcBorders>
          </w:tcPr>
          <w:p>
            <w:pPr>
              <w:spacing w:after="0"/>
              <w:rPr>
                <w:sz w:val="10"/>
                <w:szCs w:val="10"/>
                <w:color w:val="auto"/>
              </w:rPr>
            </w:pPr>
          </w:p>
        </w:tc>
        <w:tc>
          <w:tcPr>
            <w:tcW w:w="48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48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r>
      <w:tr>
        <w:trPr>
          <w:trHeight w:val="68"/>
        </w:trPr>
        <w:tc>
          <w:tcPr>
            <w:tcW w:w="40" w:type="dxa"/>
            <w:vAlign w:val="bottom"/>
            <w:tcBorders>
              <w:bottom w:val="single" w:sz="8" w:color="auto"/>
            </w:tcBorders>
          </w:tcPr>
          <w:p>
            <w:pPr>
              <w:spacing w:after="0"/>
              <w:rPr>
                <w:sz w:val="5"/>
                <w:szCs w:val="5"/>
                <w:color w:val="auto"/>
              </w:rPr>
            </w:pPr>
          </w:p>
        </w:tc>
        <w:tc>
          <w:tcPr>
            <w:tcW w:w="48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48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r>
      <w:tr>
        <w:trPr>
          <w:trHeight w:val="831"/>
        </w:trPr>
        <w:tc>
          <w:tcPr>
            <w:tcW w:w="4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1" w:name="page2"/>
    <w:bookmarkEnd w:id="1"/>
    <w:p>
      <w:pPr>
        <w:jc w:val="center"/>
        <w:ind w:right="-879"/>
        <w:spacing w:after="0"/>
        <w:rPr>
          <w:sz w:val="20"/>
          <w:szCs w:val="20"/>
          <w:color w:val="auto"/>
        </w:rPr>
      </w:pPr>
      <w:r>
        <w:rPr>
          <w:rFonts w:ascii="Arial" w:cs="Arial" w:eastAsia="Arial" w:hAnsi="Arial"/>
          <w:sz w:val="18"/>
          <w:szCs w:val="18"/>
          <w:b w:val="1"/>
          <w:bCs w:val="1"/>
          <w:color w:val="auto"/>
        </w:rPr>
        <w:t>HAWKINS, INC.</w:t>
      </w:r>
    </w:p>
    <w:p>
      <w:pPr>
        <w:spacing w:after="0" w:line="31" w:lineRule="exact"/>
        <w:rPr>
          <w:sz w:val="20"/>
          <w:szCs w:val="20"/>
          <w:color w:val="auto"/>
        </w:rPr>
      </w:pPr>
    </w:p>
    <w:p>
      <w:pPr>
        <w:jc w:val="center"/>
        <w:ind w:right="-879"/>
        <w:spacing w:after="0"/>
        <w:rPr>
          <w:sz w:val="20"/>
          <w:szCs w:val="20"/>
          <w:color w:val="auto"/>
        </w:rPr>
      </w:pPr>
      <w:r>
        <w:rPr>
          <w:rFonts w:ascii="Arial" w:cs="Arial" w:eastAsia="Arial" w:hAnsi="Arial"/>
          <w:sz w:val="18"/>
          <w:szCs w:val="18"/>
          <w:b w:val="1"/>
          <w:bCs w:val="1"/>
          <w:color w:val="auto"/>
        </w:rPr>
        <w:t>INDEX TO FORM 10-Q</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80" w:type="dxa"/>
            <w:vAlign w:val="bottom"/>
            <w:gridSpan w:val="3"/>
          </w:tcPr>
          <w:p>
            <w:pPr>
              <w:jc w:val="right"/>
              <w:spacing w:after="0"/>
              <w:rPr>
                <w:sz w:val="20"/>
                <w:szCs w:val="20"/>
                <w:color w:val="auto"/>
              </w:rPr>
            </w:pPr>
            <w:r>
              <w:rPr>
                <w:rFonts w:ascii="Arial" w:cs="Arial" w:eastAsia="Arial" w:hAnsi="Arial"/>
                <w:sz w:val="14"/>
                <w:szCs w:val="14"/>
                <w:b w:val="1"/>
                <w:bCs w:val="1"/>
                <w:color w:val="auto"/>
              </w:rPr>
              <w:t>Page</w:t>
            </w:r>
          </w:p>
        </w:tc>
      </w:tr>
      <w:tr>
        <w:trPr>
          <w:trHeight w:val="255"/>
        </w:trPr>
        <w:tc>
          <w:tcPr>
            <w:tcW w:w="112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8180" w:type="dxa"/>
            <w:vAlign w:val="bottom"/>
            <w:gridSpan w:val="24"/>
          </w:tcPr>
          <w:p>
            <w:pPr>
              <w:spacing w:after="0"/>
              <w:rPr>
                <w:sz w:val="20"/>
                <w:szCs w:val="20"/>
                <w:color w:val="auto"/>
              </w:rPr>
            </w:pPr>
            <w:r>
              <w:rPr>
                <w:rFonts w:ascii="Arial" w:cs="Arial" w:eastAsia="Arial" w:hAnsi="Arial"/>
                <w:sz w:val="18"/>
                <w:szCs w:val="18"/>
                <w:b w:val="1"/>
                <w:bCs w:val="1"/>
                <w:color w:val="0000FF"/>
              </w:rPr>
              <w:t>FINANCIAL INFORMATION</w:t>
            </w: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0"/>
        </w:trPr>
        <w:tc>
          <w:tcPr>
            <w:tcW w:w="11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1120" w:type="dxa"/>
            <w:vAlign w:val="bottom"/>
          </w:tcPr>
          <w:p>
            <w:pPr>
              <w:spacing w:after="0"/>
              <w:rPr>
                <w:sz w:val="20"/>
                <w:szCs w:val="20"/>
                <w:color w:val="auto"/>
              </w:rPr>
            </w:pPr>
            <w:r>
              <w:rPr>
                <w:rFonts w:ascii="Arial" w:cs="Arial" w:eastAsia="Arial" w:hAnsi="Arial"/>
                <w:sz w:val="18"/>
                <w:szCs w:val="18"/>
                <w:color w:val="auto"/>
              </w:rPr>
              <w:t>Item 1.</w:t>
            </w:r>
          </w:p>
        </w:tc>
        <w:tc>
          <w:tcPr>
            <w:tcW w:w="270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99"/>
              </w:rPr>
              <w:t>Financial Statements (unaudited):</w:t>
            </w:r>
          </w:p>
        </w:tc>
        <w:tc>
          <w:tcPr>
            <w:tcW w:w="5480" w:type="dxa"/>
            <w:vAlign w:val="bottom"/>
            <w:gridSpan w:val="12"/>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64"/>
        </w:trPr>
        <w:tc>
          <w:tcPr>
            <w:tcW w:w="1120" w:type="dxa"/>
            <w:vAlign w:val="bottom"/>
          </w:tcPr>
          <w:p>
            <w:pPr>
              <w:spacing w:after="0"/>
              <w:rPr>
                <w:sz w:val="22"/>
                <w:szCs w:val="22"/>
                <w:color w:val="auto"/>
              </w:rPr>
            </w:pPr>
          </w:p>
        </w:tc>
        <w:tc>
          <w:tcPr>
            <w:tcW w:w="6140" w:type="dxa"/>
            <w:vAlign w:val="bottom"/>
            <w:tcBorders>
              <w:bottom w:val="single" w:sz="8" w:color="0000FF"/>
            </w:tcBorders>
            <w:gridSpan w:val="18"/>
          </w:tcPr>
          <w:p>
            <w:pPr>
              <w:spacing w:after="0"/>
              <w:rPr>
                <w:sz w:val="20"/>
                <w:szCs w:val="20"/>
                <w:color w:val="auto"/>
              </w:rPr>
            </w:pPr>
            <w:r>
              <w:rPr>
                <w:rFonts w:ascii="Arial" w:cs="Arial" w:eastAsia="Arial" w:hAnsi="Arial"/>
                <w:sz w:val="18"/>
                <w:szCs w:val="18"/>
                <w:color w:val="0000FF"/>
                <w:w w:val="99"/>
              </w:rPr>
              <w:t>Condensed Consolidated Balance Sheets –October 2, 2022 and April 3,2022</w:t>
            </w:r>
          </w:p>
        </w:tc>
        <w:tc>
          <w:tcPr>
            <w:tcW w:w="2040" w:type="dxa"/>
            <w:vAlign w:val="bottom"/>
            <w:gridSpan w:val="6"/>
          </w:tcPr>
          <w:p>
            <w:pPr>
              <w:spacing w:after="0"/>
              <w:rPr>
                <w:sz w:val="22"/>
                <w:szCs w:val="22"/>
                <w:color w:val="auto"/>
              </w:rPr>
            </w:pPr>
          </w:p>
        </w:tc>
        <w:tc>
          <w:tcPr>
            <w:tcW w:w="880" w:type="dxa"/>
            <w:vAlign w:val="bottom"/>
            <w:gridSpan w:val="2"/>
          </w:tcPr>
          <w:p>
            <w:pPr>
              <w:spacing w:after="0"/>
              <w:rPr>
                <w:sz w:val="22"/>
                <w:szCs w:val="22"/>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1</w:t>
            </w:r>
          </w:p>
        </w:tc>
      </w:tr>
      <w:tr>
        <w:trPr>
          <w:trHeight w:val="264"/>
        </w:trPr>
        <w:tc>
          <w:tcPr>
            <w:tcW w:w="1120" w:type="dxa"/>
            <w:vAlign w:val="bottom"/>
          </w:tcPr>
          <w:p>
            <w:pPr>
              <w:spacing w:after="0"/>
              <w:rPr>
                <w:sz w:val="22"/>
                <w:szCs w:val="22"/>
                <w:color w:val="auto"/>
              </w:rPr>
            </w:pPr>
          </w:p>
        </w:tc>
        <w:tc>
          <w:tcPr>
            <w:tcW w:w="8180" w:type="dxa"/>
            <w:vAlign w:val="bottom"/>
            <w:gridSpan w:val="24"/>
          </w:tcPr>
          <w:p>
            <w:pPr>
              <w:spacing w:after="0"/>
              <w:rPr>
                <w:sz w:val="20"/>
                <w:szCs w:val="20"/>
                <w:color w:val="auto"/>
              </w:rPr>
            </w:pPr>
            <w:r>
              <w:rPr>
                <w:rFonts w:ascii="Arial" w:cs="Arial" w:eastAsia="Arial" w:hAnsi="Arial"/>
                <w:sz w:val="18"/>
                <w:szCs w:val="18"/>
                <w:color w:val="0000FF"/>
              </w:rPr>
              <w:t>Condensed Consolidated Statements of Income – Three and Six Months Ended October 2,</w:t>
            </w:r>
          </w:p>
        </w:tc>
        <w:tc>
          <w:tcPr>
            <w:tcW w:w="980" w:type="dxa"/>
            <w:vAlign w:val="bottom"/>
            <w:gridSpan w:val="3"/>
          </w:tcPr>
          <w:p>
            <w:pPr>
              <w:jc w:val="right"/>
              <w:spacing w:after="0"/>
              <w:rPr>
                <w:sz w:val="20"/>
                <w:szCs w:val="20"/>
                <w:color w:val="auto"/>
              </w:rPr>
            </w:pPr>
            <w:r>
              <w:rPr>
                <w:rFonts w:ascii="Arial" w:cs="Arial" w:eastAsia="Arial" w:hAnsi="Arial"/>
                <w:sz w:val="18"/>
                <w:szCs w:val="18"/>
                <w:color w:val="0000FF"/>
              </w:rPr>
              <w:t>2</w:t>
            </w:r>
          </w:p>
        </w:tc>
      </w:tr>
      <w:tr>
        <w:trPr>
          <w:trHeight w:val="155"/>
        </w:trPr>
        <w:tc>
          <w:tcPr>
            <w:tcW w:w="1120" w:type="dxa"/>
            <w:vAlign w:val="bottom"/>
          </w:tcPr>
          <w:p>
            <w:pPr>
              <w:spacing w:after="0"/>
              <w:rPr>
                <w:sz w:val="13"/>
                <w:szCs w:val="13"/>
                <w:color w:val="auto"/>
              </w:rPr>
            </w:pPr>
          </w:p>
        </w:tc>
        <w:tc>
          <w:tcPr>
            <w:tcW w:w="2440" w:type="dxa"/>
            <w:vAlign w:val="bottom"/>
            <w:tcBorders>
              <w:top w:val="single" w:sz="8" w:color="0000FF"/>
              <w:bottom w:val="single" w:sz="8" w:color="0000FF"/>
            </w:tcBorders>
            <w:gridSpan w:val="10"/>
          </w:tcPr>
          <w:p>
            <w:pPr>
              <w:spacing w:after="0" w:line="156" w:lineRule="exact"/>
              <w:rPr>
                <w:sz w:val="20"/>
                <w:szCs w:val="20"/>
                <w:color w:val="auto"/>
              </w:rPr>
            </w:pPr>
            <w:r>
              <w:rPr>
                <w:rFonts w:ascii="Arial" w:cs="Arial" w:eastAsia="Arial" w:hAnsi="Arial"/>
                <w:sz w:val="18"/>
                <w:szCs w:val="18"/>
                <w:color w:val="0000FF"/>
                <w:w w:val="99"/>
              </w:rPr>
              <w:t>2022 and September 26, 2021</w:t>
            </w:r>
          </w:p>
        </w:tc>
        <w:tc>
          <w:tcPr>
            <w:tcW w:w="4800" w:type="dxa"/>
            <w:vAlign w:val="bottom"/>
            <w:tcBorders>
              <w:top w:val="single" w:sz="8" w:color="0000FF"/>
            </w:tcBorders>
            <w:gridSpan w:val="11"/>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r>
      <w:tr>
        <w:trPr>
          <w:trHeight w:val="277"/>
        </w:trPr>
        <w:tc>
          <w:tcPr>
            <w:tcW w:w="1120" w:type="dxa"/>
            <w:vAlign w:val="bottom"/>
          </w:tcPr>
          <w:p>
            <w:pPr>
              <w:spacing w:after="0"/>
              <w:rPr>
                <w:sz w:val="24"/>
                <w:szCs w:val="24"/>
                <w:color w:val="auto"/>
              </w:rPr>
            </w:pPr>
          </w:p>
        </w:tc>
        <w:tc>
          <w:tcPr>
            <w:tcW w:w="8180" w:type="dxa"/>
            <w:vAlign w:val="bottom"/>
            <w:gridSpan w:val="24"/>
          </w:tcPr>
          <w:p>
            <w:pPr>
              <w:spacing w:after="0"/>
              <w:rPr>
                <w:sz w:val="20"/>
                <w:szCs w:val="20"/>
                <w:color w:val="auto"/>
              </w:rPr>
            </w:pPr>
            <w:r>
              <w:rPr>
                <w:rFonts w:ascii="Arial" w:cs="Arial" w:eastAsia="Arial" w:hAnsi="Arial"/>
                <w:sz w:val="18"/>
                <w:szCs w:val="18"/>
                <w:color w:val="0000FF"/>
              </w:rPr>
              <w:t>Condensed Consolidated Statements of Comprehensive Income – Three and Six Months</w:t>
            </w:r>
          </w:p>
        </w:tc>
        <w:tc>
          <w:tcPr>
            <w:tcW w:w="980" w:type="dxa"/>
            <w:vAlign w:val="bottom"/>
            <w:gridSpan w:val="3"/>
          </w:tcPr>
          <w:p>
            <w:pPr>
              <w:jc w:val="right"/>
              <w:spacing w:after="0"/>
              <w:rPr>
                <w:sz w:val="20"/>
                <w:szCs w:val="20"/>
                <w:color w:val="auto"/>
              </w:rPr>
            </w:pPr>
            <w:r>
              <w:rPr>
                <w:rFonts w:ascii="Arial" w:cs="Arial" w:eastAsia="Arial" w:hAnsi="Arial"/>
                <w:sz w:val="18"/>
                <w:szCs w:val="18"/>
                <w:color w:val="0000FF"/>
              </w:rPr>
              <w:t>3</w:t>
            </w:r>
          </w:p>
        </w:tc>
      </w:tr>
      <w:tr>
        <w:trPr>
          <w:trHeight w:val="155"/>
        </w:trPr>
        <w:tc>
          <w:tcPr>
            <w:tcW w:w="1120" w:type="dxa"/>
            <w:vAlign w:val="bottom"/>
          </w:tcPr>
          <w:p>
            <w:pPr>
              <w:spacing w:after="0"/>
              <w:rPr>
                <w:sz w:val="13"/>
                <w:szCs w:val="13"/>
                <w:color w:val="auto"/>
              </w:rPr>
            </w:pPr>
          </w:p>
        </w:tc>
        <w:tc>
          <w:tcPr>
            <w:tcW w:w="3900" w:type="dxa"/>
            <w:vAlign w:val="bottom"/>
            <w:tcBorders>
              <w:top w:val="single" w:sz="8" w:color="0000FF"/>
              <w:bottom w:val="single" w:sz="8" w:color="0000FF"/>
            </w:tcBorders>
            <w:gridSpan w:val="14"/>
          </w:tcPr>
          <w:p>
            <w:pPr>
              <w:spacing w:after="0" w:line="156" w:lineRule="exact"/>
              <w:rPr>
                <w:sz w:val="20"/>
                <w:szCs w:val="20"/>
                <w:color w:val="auto"/>
              </w:rPr>
            </w:pPr>
            <w:r>
              <w:rPr>
                <w:rFonts w:ascii="Arial" w:cs="Arial" w:eastAsia="Arial" w:hAnsi="Arial"/>
                <w:sz w:val="18"/>
                <w:szCs w:val="18"/>
                <w:color w:val="0000FF"/>
                <w:w w:val="99"/>
              </w:rPr>
              <w:t>Ended October 2, 2022 and September 26, 2021</w:t>
            </w:r>
          </w:p>
        </w:tc>
        <w:tc>
          <w:tcPr>
            <w:tcW w:w="3200" w:type="dxa"/>
            <w:vAlign w:val="bottom"/>
            <w:tcBorders>
              <w:top w:val="single" w:sz="8" w:color="0000FF"/>
            </w:tcBorders>
            <w:gridSpan w:val="6"/>
          </w:tcPr>
          <w:p>
            <w:pPr>
              <w:spacing w:after="0"/>
              <w:rPr>
                <w:sz w:val="13"/>
                <w:szCs w:val="13"/>
                <w:color w:val="auto"/>
              </w:rPr>
            </w:pPr>
          </w:p>
        </w:tc>
        <w:tc>
          <w:tcPr>
            <w:tcW w:w="34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r>
      <w:tr>
        <w:trPr>
          <w:trHeight w:val="277"/>
        </w:trPr>
        <w:tc>
          <w:tcPr>
            <w:tcW w:w="1120" w:type="dxa"/>
            <w:vAlign w:val="bottom"/>
          </w:tcPr>
          <w:p>
            <w:pPr>
              <w:spacing w:after="0"/>
              <w:rPr>
                <w:sz w:val="24"/>
                <w:szCs w:val="24"/>
                <w:color w:val="auto"/>
              </w:rPr>
            </w:pPr>
          </w:p>
        </w:tc>
        <w:tc>
          <w:tcPr>
            <w:tcW w:w="8180" w:type="dxa"/>
            <w:vAlign w:val="bottom"/>
            <w:gridSpan w:val="24"/>
          </w:tcPr>
          <w:p>
            <w:pPr>
              <w:spacing w:after="0"/>
              <w:rPr>
                <w:sz w:val="20"/>
                <w:szCs w:val="20"/>
                <w:color w:val="auto"/>
              </w:rPr>
            </w:pPr>
            <w:r>
              <w:rPr>
                <w:rFonts w:ascii="Arial" w:cs="Arial" w:eastAsia="Arial" w:hAnsi="Arial"/>
                <w:sz w:val="18"/>
                <w:szCs w:val="18"/>
                <w:color w:val="0000FF"/>
              </w:rPr>
              <w:t>Condensed Consolidated Statements of Shareholder’s Equity – Three and Six Months Ended</w:t>
            </w:r>
          </w:p>
        </w:tc>
        <w:tc>
          <w:tcPr>
            <w:tcW w:w="980" w:type="dxa"/>
            <w:vAlign w:val="bottom"/>
            <w:gridSpan w:val="3"/>
          </w:tcPr>
          <w:p>
            <w:pPr>
              <w:jc w:val="right"/>
              <w:spacing w:after="0"/>
              <w:rPr>
                <w:sz w:val="20"/>
                <w:szCs w:val="20"/>
                <w:color w:val="auto"/>
              </w:rPr>
            </w:pPr>
            <w:r>
              <w:rPr>
                <w:rFonts w:ascii="Arial" w:cs="Arial" w:eastAsia="Arial" w:hAnsi="Arial"/>
                <w:sz w:val="18"/>
                <w:szCs w:val="18"/>
                <w:color w:val="0000FF"/>
              </w:rPr>
              <w:t>4</w:t>
            </w:r>
          </w:p>
        </w:tc>
      </w:tr>
      <w:tr>
        <w:trPr>
          <w:trHeight w:val="155"/>
        </w:trPr>
        <w:tc>
          <w:tcPr>
            <w:tcW w:w="1120" w:type="dxa"/>
            <w:vAlign w:val="bottom"/>
          </w:tcPr>
          <w:p>
            <w:pPr>
              <w:spacing w:after="0"/>
              <w:rPr>
                <w:sz w:val="13"/>
                <w:szCs w:val="13"/>
                <w:color w:val="auto"/>
              </w:rPr>
            </w:pPr>
          </w:p>
        </w:tc>
        <w:tc>
          <w:tcPr>
            <w:tcW w:w="7440" w:type="dxa"/>
            <w:vAlign w:val="bottom"/>
            <w:tcBorders>
              <w:top w:val="single" w:sz="8" w:color="0000FF"/>
            </w:tcBorders>
            <w:gridSpan w:val="22"/>
          </w:tcPr>
          <w:p>
            <w:pPr>
              <w:spacing w:after="0" w:line="156" w:lineRule="exact"/>
              <w:rPr>
                <w:sz w:val="20"/>
                <w:szCs w:val="20"/>
                <w:color w:val="auto"/>
              </w:rPr>
            </w:pPr>
            <w:r>
              <w:rPr>
                <w:rFonts w:ascii="Arial" w:cs="Arial" w:eastAsia="Arial" w:hAnsi="Arial"/>
                <w:sz w:val="18"/>
                <w:szCs w:val="18"/>
                <w:color w:val="0000FF"/>
              </w:rPr>
              <w:t>October 2, 2022 and September 26, 2021</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r>
      <w:tr>
        <w:trPr>
          <w:trHeight w:val="20"/>
        </w:trPr>
        <w:tc>
          <w:tcPr>
            <w:tcW w:w="11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277"/>
        </w:trPr>
        <w:tc>
          <w:tcPr>
            <w:tcW w:w="1120" w:type="dxa"/>
            <w:vAlign w:val="bottom"/>
          </w:tcPr>
          <w:p>
            <w:pPr>
              <w:spacing w:after="0"/>
              <w:rPr>
                <w:sz w:val="24"/>
                <w:szCs w:val="24"/>
                <w:color w:val="auto"/>
              </w:rPr>
            </w:pPr>
          </w:p>
        </w:tc>
        <w:tc>
          <w:tcPr>
            <w:tcW w:w="8180" w:type="dxa"/>
            <w:vAlign w:val="bottom"/>
            <w:gridSpan w:val="24"/>
          </w:tcPr>
          <w:p>
            <w:pPr>
              <w:spacing w:after="0"/>
              <w:rPr>
                <w:sz w:val="20"/>
                <w:szCs w:val="20"/>
                <w:color w:val="auto"/>
              </w:rPr>
            </w:pPr>
            <w:r>
              <w:rPr>
                <w:rFonts w:ascii="Arial" w:cs="Arial" w:eastAsia="Arial" w:hAnsi="Arial"/>
                <w:sz w:val="18"/>
                <w:szCs w:val="18"/>
                <w:color w:val="0000FF"/>
              </w:rPr>
              <w:t>Condensed Consolidated Statements of Cash Flows – Six Months Ended October 2, 2022 and</w:t>
            </w:r>
          </w:p>
        </w:tc>
        <w:tc>
          <w:tcPr>
            <w:tcW w:w="980" w:type="dxa"/>
            <w:vAlign w:val="bottom"/>
            <w:gridSpan w:val="3"/>
          </w:tcPr>
          <w:p>
            <w:pPr>
              <w:jc w:val="right"/>
              <w:spacing w:after="0"/>
              <w:rPr>
                <w:sz w:val="20"/>
                <w:szCs w:val="20"/>
                <w:color w:val="auto"/>
              </w:rPr>
            </w:pPr>
            <w:r>
              <w:rPr>
                <w:rFonts w:ascii="Arial" w:cs="Arial" w:eastAsia="Arial" w:hAnsi="Arial"/>
                <w:sz w:val="18"/>
                <w:szCs w:val="18"/>
                <w:color w:val="0000FF"/>
              </w:rPr>
              <w:t>5</w:t>
            </w:r>
          </w:p>
        </w:tc>
      </w:tr>
      <w:tr>
        <w:trPr>
          <w:trHeight w:val="155"/>
        </w:trPr>
        <w:tc>
          <w:tcPr>
            <w:tcW w:w="1120" w:type="dxa"/>
            <w:vAlign w:val="bottom"/>
          </w:tcPr>
          <w:p>
            <w:pPr>
              <w:spacing w:after="0"/>
              <w:rPr>
                <w:sz w:val="13"/>
                <w:szCs w:val="13"/>
                <w:color w:val="auto"/>
              </w:rPr>
            </w:pPr>
          </w:p>
        </w:tc>
        <w:tc>
          <w:tcPr>
            <w:tcW w:w="1640" w:type="dxa"/>
            <w:vAlign w:val="bottom"/>
            <w:tcBorders>
              <w:top w:val="single" w:sz="8" w:color="0000FF"/>
              <w:bottom w:val="single" w:sz="8" w:color="0000FF"/>
            </w:tcBorders>
            <w:gridSpan w:val="5"/>
          </w:tcPr>
          <w:p>
            <w:pPr>
              <w:spacing w:after="0" w:line="156" w:lineRule="exact"/>
              <w:rPr>
                <w:sz w:val="20"/>
                <w:szCs w:val="20"/>
                <w:color w:val="auto"/>
              </w:rPr>
            </w:pPr>
            <w:r>
              <w:rPr>
                <w:rFonts w:ascii="Arial" w:cs="Arial" w:eastAsia="Arial" w:hAnsi="Arial"/>
                <w:sz w:val="18"/>
                <w:szCs w:val="18"/>
                <w:color w:val="0000FF"/>
                <w:w w:val="99"/>
              </w:rPr>
              <w:t>September 26, 2021</w:t>
            </w:r>
          </w:p>
        </w:tc>
        <w:tc>
          <w:tcPr>
            <w:tcW w:w="5880" w:type="dxa"/>
            <w:vAlign w:val="bottom"/>
            <w:tcBorders>
              <w:top w:val="single" w:sz="8" w:color="0000FF"/>
            </w:tcBorders>
            <w:gridSpan w:val="18"/>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r>
      <w:tr>
        <w:trPr>
          <w:trHeight w:val="277"/>
        </w:trPr>
        <w:tc>
          <w:tcPr>
            <w:tcW w:w="1120" w:type="dxa"/>
            <w:vAlign w:val="bottom"/>
          </w:tcPr>
          <w:p>
            <w:pPr>
              <w:spacing w:after="0"/>
              <w:rPr>
                <w:sz w:val="24"/>
                <w:szCs w:val="24"/>
                <w:color w:val="auto"/>
              </w:rPr>
            </w:pPr>
          </w:p>
        </w:tc>
        <w:tc>
          <w:tcPr>
            <w:tcW w:w="448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99"/>
              </w:rPr>
              <w:t>Notes to Condensed Consolidated Financial Statements</w:t>
            </w:r>
          </w:p>
        </w:tc>
        <w:tc>
          <w:tcPr>
            <w:tcW w:w="3700" w:type="dxa"/>
            <w:vAlign w:val="bottom"/>
            <w:gridSpan w:val="9"/>
          </w:tcPr>
          <w:p>
            <w:pPr>
              <w:spacing w:after="0"/>
              <w:rPr>
                <w:sz w:val="24"/>
                <w:szCs w:val="24"/>
                <w:color w:val="auto"/>
              </w:rPr>
            </w:pPr>
          </w:p>
        </w:tc>
        <w:tc>
          <w:tcPr>
            <w:tcW w:w="88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6</w:t>
            </w:r>
          </w:p>
        </w:tc>
      </w:tr>
      <w:tr>
        <w:trPr>
          <w:trHeight w:val="263"/>
        </w:trPr>
        <w:tc>
          <w:tcPr>
            <w:tcW w:w="1120" w:type="dxa"/>
            <w:vAlign w:val="bottom"/>
          </w:tcPr>
          <w:p>
            <w:pPr>
              <w:spacing w:after="0"/>
              <w:rPr>
                <w:sz w:val="20"/>
                <w:szCs w:val="20"/>
                <w:color w:val="auto"/>
              </w:rPr>
            </w:pPr>
            <w:r>
              <w:rPr>
                <w:rFonts w:ascii="Arial" w:cs="Arial" w:eastAsia="Arial" w:hAnsi="Arial"/>
                <w:sz w:val="18"/>
                <w:szCs w:val="18"/>
                <w:color w:val="auto"/>
              </w:rPr>
              <w:t>Item 2.</w:t>
            </w:r>
          </w:p>
        </w:tc>
        <w:tc>
          <w:tcPr>
            <w:tcW w:w="8180" w:type="dxa"/>
            <w:vAlign w:val="bottom"/>
            <w:gridSpan w:val="24"/>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980" w:type="dxa"/>
            <w:vAlign w:val="bottom"/>
            <w:gridSpan w:val="3"/>
          </w:tcPr>
          <w:p>
            <w:pPr>
              <w:jc w:val="right"/>
              <w:spacing w:after="0"/>
              <w:rPr>
                <w:sz w:val="20"/>
                <w:szCs w:val="20"/>
                <w:color w:val="auto"/>
              </w:rPr>
            </w:pPr>
            <w:r>
              <w:rPr>
                <w:rFonts w:ascii="Arial" w:cs="Arial" w:eastAsia="Arial" w:hAnsi="Arial"/>
                <w:sz w:val="18"/>
                <w:szCs w:val="18"/>
                <w:color w:val="0000FF"/>
              </w:rPr>
              <w:t>13</w:t>
            </w:r>
          </w:p>
        </w:tc>
      </w:tr>
      <w:tr>
        <w:trPr>
          <w:trHeight w:val="264"/>
        </w:trPr>
        <w:tc>
          <w:tcPr>
            <w:tcW w:w="1120" w:type="dxa"/>
            <w:vAlign w:val="bottom"/>
          </w:tcPr>
          <w:p>
            <w:pPr>
              <w:spacing w:after="0"/>
              <w:rPr>
                <w:sz w:val="20"/>
                <w:szCs w:val="20"/>
                <w:color w:val="auto"/>
              </w:rPr>
            </w:pPr>
            <w:r>
              <w:rPr>
                <w:rFonts w:ascii="Arial" w:cs="Arial" w:eastAsia="Arial" w:hAnsi="Arial"/>
                <w:sz w:val="18"/>
                <w:szCs w:val="18"/>
                <w:color w:val="auto"/>
              </w:rPr>
              <w:t>Item 3.</w:t>
            </w:r>
          </w:p>
        </w:tc>
        <w:tc>
          <w:tcPr>
            <w:tcW w:w="4700" w:type="dxa"/>
            <w:vAlign w:val="bottom"/>
            <w:tcBorders>
              <w:top w:val="single" w:sz="8" w:color="0000FF"/>
              <w:bottom w:val="single" w:sz="8" w:color="0000FF"/>
            </w:tcBorders>
            <w:gridSpan w:val="16"/>
          </w:tcPr>
          <w:p>
            <w:pPr>
              <w:spacing w:after="0"/>
              <w:rPr>
                <w:sz w:val="20"/>
                <w:szCs w:val="20"/>
                <w:color w:val="auto"/>
              </w:rPr>
            </w:pPr>
            <w:r>
              <w:rPr>
                <w:rFonts w:ascii="Arial" w:cs="Arial" w:eastAsia="Arial" w:hAnsi="Arial"/>
                <w:sz w:val="18"/>
                <w:szCs w:val="18"/>
                <w:color w:val="0000FF"/>
                <w:w w:val="99"/>
              </w:rPr>
              <w:t>Quantitative and Qualitative Disclosures about Market Risk</w:t>
            </w:r>
          </w:p>
        </w:tc>
        <w:tc>
          <w:tcPr>
            <w:tcW w:w="2380" w:type="dxa"/>
            <w:vAlign w:val="bottom"/>
            <w:tcBorders>
              <w:top w:val="single" w:sz="8" w:color="0000FF"/>
            </w:tcBorders>
            <w:gridSpan w:val="3"/>
          </w:tcPr>
          <w:p>
            <w:pPr>
              <w:spacing w:after="0"/>
              <w:rPr>
                <w:sz w:val="22"/>
                <w:szCs w:val="22"/>
                <w:color w:val="auto"/>
              </w:rPr>
            </w:pPr>
          </w:p>
        </w:tc>
        <w:tc>
          <w:tcPr>
            <w:tcW w:w="1100" w:type="dxa"/>
            <w:vAlign w:val="bottom"/>
            <w:gridSpan w:val="5"/>
          </w:tcPr>
          <w:p>
            <w:pPr>
              <w:spacing w:after="0"/>
              <w:rPr>
                <w:sz w:val="22"/>
                <w:szCs w:val="22"/>
                <w:color w:val="auto"/>
              </w:rPr>
            </w:pPr>
          </w:p>
        </w:tc>
        <w:tc>
          <w:tcPr>
            <w:tcW w:w="780" w:type="dxa"/>
            <w:vAlign w:val="bottom"/>
          </w:tcPr>
          <w:p>
            <w:pPr>
              <w:spacing w:after="0"/>
              <w:rPr>
                <w:sz w:val="22"/>
                <w:szCs w:val="22"/>
                <w:color w:val="auto"/>
              </w:rPr>
            </w:pPr>
          </w:p>
        </w:tc>
        <w:tc>
          <w:tcPr>
            <w:tcW w:w="20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14</w:t>
            </w:r>
          </w:p>
        </w:tc>
      </w:tr>
      <w:tr>
        <w:trPr>
          <w:trHeight w:val="263"/>
        </w:trPr>
        <w:tc>
          <w:tcPr>
            <w:tcW w:w="1120" w:type="dxa"/>
            <w:vAlign w:val="bottom"/>
          </w:tcPr>
          <w:p>
            <w:pPr>
              <w:spacing w:after="0"/>
              <w:rPr>
                <w:sz w:val="20"/>
                <w:szCs w:val="20"/>
                <w:color w:val="auto"/>
              </w:rPr>
            </w:pPr>
            <w:r>
              <w:rPr>
                <w:rFonts w:ascii="Arial" w:cs="Arial" w:eastAsia="Arial" w:hAnsi="Arial"/>
                <w:sz w:val="18"/>
                <w:szCs w:val="18"/>
                <w:color w:val="auto"/>
              </w:rPr>
              <w:t>Item 4.</w:t>
            </w:r>
          </w:p>
        </w:tc>
        <w:tc>
          <w:tcPr>
            <w:tcW w:w="200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9"/>
              </w:rPr>
              <w:t>Controls and Procedures</w:t>
            </w:r>
          </w:p>
        </w:tc>
        <w:tc>
          <w:tcPr>
            <w:tcW w:w="6180" w:type="dxa"/>
            <w:vAlign w:val="bottom"/>
            <w:gridSpan w:val="16"/>
          </w:tcPr>
          <w:p>
            <w:pPr>
              <w:spacing w:after="0"/>
              <w:rPr>
                <w:sz w:val="22"/>
                <w:szCs w:val="22"/>
                <w:color w:val="auto"/>
              </w:rPr>
            </w:pPr>
          </w:p>
        </w:tc>
        <w:tc>
          <w:tcPr>
            <w:tcW w:w="780" w:type="dxa"/>
            <w:vAlign w:val="bottom"/>
          </w:tcPr>
          <w:p>
            <w:pPr>
              <w:spacing w:after="0"/>
              <w:rPr>
                <w:sz w:val="22"/>
                <w:szCs w:val="22"/>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14</w:t>
            </w:r>
          </w:p>
        </w:tc>
      </w:tr>
      <w:tr>
        <w:trPr>
          <w:trHeight w:val="263"/>
        </w:trPr>
        <w:tc>
          <w:tcPr>
            <w:tcW w:w="112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196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b w:val="1"/>
                <w:bCs w:val="1"/>
                <w:color w:val="0000FF"/>
                <w:w w:val="99"/>
              </w:rPr>
              <w:t>OTHER INFORMATION</w:t>
            </w:r>
          </w:p>
        </w:tc>
        <w:tc>
          <w:tcPr>
            <w:tcW w:w="6220" w:type="dxa"/>
            <w:vAlign w:val="bottom"/>
            <w:gridSpan w:val="17"/>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63"/>
        </w:trPr>
        <w:tc>
          <w:tcPr>
            <w:tcW w:w="1120" w:type="dxa"/>
            <w:vAlign w:val="bottom"/>
          </w:tcPr>
          <w:p>
            <w:pPr>
              <w:spacing w:after="0"/>
              <w:rPr>
                <w:sz w:val="20"/>
                <w:szCs w:val="20"/>
                <w:color w:val="auto"/>
              </w:rPr>
            </w:pPr>
            <w:r>
              <w:rPr>
                <w:rFonts w:ascii="Arial" w:cs="Arial" w:eastAsia="Arial" w:hAnsi="Arial"/>
                <w:sz w:val="18"/>
                <w:szCs w:val="18"/>
                <w:color w:val="auto"/>
              </w:rPr>
              <w:t>Item 1.</w:t>
            </w:r>
          </w:p>
        </w:tc>
        <w:tc>
          <w:tcPr>
            <w:tcW w:w="150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9"/>
              </w:rPr>
              <w:t>Legal Proceedings</w:t>
            </w:r>
          </w:p>
        </w:tc>
        <w:tc>
          <w:tcPr>
            <w:tcW w:w="6680" w:type="dxa"/>
            <w:vAlign w:val="bottom"/>
            <w:gridSpan w:val="20"/>
          </w:tcPr>
          <w:p>
            <w:pPr>
              <w:spacing w:after="0"/>
              <w:rPr>
                <w:sz w:val="22"/>
                <w:szCs w:val="22"/>
                <w:color w:val="auto"/>
              </w:rPr>
            </w:pPr>
          </w:p>
        </w:tc>
        <w:tc>
          <w:tcPr>
            <w:tcW w:w="780" w:type="dxa"/>
            <w:vAlign w:val="bottom"/>
          </w:tcPr>
          <w:p>
            <w:pPr>
              <w:spacing w:after="0"/>
              <w:rPr>
                <w:sz w:val="22"/>
                <w:szCs w:val="22"/>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15</w:t>
            </w:r>
          </w:p>
        </w:tc>
      </w:tr>
      <w:tr>
        <w:trPr>
          <w:trHeight w:val="264"/>
        </w:trPr>
        <w:tc>
          <w:tcPr>
            <w:tcW w:w="1120" w:type="dxa"/>
            <w:vAlign w:val="bottom"/>
          </w:tcPr>
          <w:p>
            <w:pPr>
              <w:spacing w:after="0"/>
              <w:rPr>
                <w:sz w:val="20"/>
                <w:szCs w:val="20"/>
                <w:color w:val="auto"/>
              </w:rPr>
            </w:pPr>
            <w:r>
              <w:rPr>
                <w:rFonts w:ascii="Arial" w:cs="Arial" w:eastAsia="Arial" w:hAnsi="Arial"/>
                <w:sz w:val="18"/>
                <w:szCs w:val="18"/>
                <w:color w:val="auto"/>
              </w:rPr>
              <w:t>Item 1A.</w:t>
            </w:r>
          </w:p>
        </w:tc>
        <w:tc>
          <w:tcPr>
            <w:tcW w:w="8180" w:type="dxa"/>
            <w:vAlign w:val="bottom"/>
            <w:gridSpan w:val="24"/>
          </w:tcPr>
          <w:p>
            <w:pPr>
              <w:spacing w:after="0"/>
              <w:rPr>
                <w:sz w:val="20"/>
                <w:szCs w:val="20"/>
                <w:color w:val="auto"/>
              </w:rPr>
            </w:pPr>
            <w:r>
              <w:rPr>
                <w:rFonts w:ascii="Arial" w:cs="Arial" w:eastAsia="Arial" w:hAnsi="Arial"/>
                <w:sz w:val="18"/>
                <w:szCs w:val="18"/>
                <w:color w:val="0000FF"/>
              </w:rPr>
              <w:t>Risk Factors</w:t>
            </w:r>
          </w:p>
        </w:tc>
        <w:tc>
          <w:tcPr>
            <w:tcW w:w="980" w:type="dxa"/>
            <w:vAlign w:val="bottom"/>
            <w:gridSpan w:val="3"/>
          </w:tcPr>
          <w:p>
            <w:pPr>
              <w:jc w:val="right"/>
              <w:spacing w:after="0"/>
              <w:rPr>
                <w:sz w:val="20"/>
                <w:szCs w:val="20"/>
                <w:color w:val="auto"/>
              </w:rPr>
            </w:pPr>
            <w:r>
              <w:rPr>
                <w:rFonts w:ascii="Arial" w:cs="Arial" w:eastAsia="Arial" w:hAnsi="Arial"/>
                <w:sz w:val="18"/>
                <w:szCs w:val="18"/>
                <w:color w:val="0000FF"/>
              </w:rPr>
              <w:t>15</w:t>
            </w:r>
          </w:p>
        </w:tc>
      </w:tr>
      <w:tr>
        <w:trPr>
          <w:trHeight w:val="20"/>
        </w:trPr>
        <w:tc>
          <w:tcPr>
            <w:tcW w:w="11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3320" w:type="dxa"/>
            <w:vAlign w:val="bottom"/>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264"/>
        </w:trPr>
        <w:tc>
          <w:tcPr>
            <w:tcW w:w="1120" w:type="dxa"/>
            <w:vAlign w:val="bottom"/>
          </w:tcPr>
          <w:p>
            <w:pPr>
              <w:spacing w:after="0"/>
              <w:rPr>
                <w:sz w:val="20"/>
                <w:szCs w:val="20"/>
                <w:color w:val="auto"/>
              </w:rPr>
            </w:pPr>
            <w:r>
              <w:rPr>
                <w:rFonts w:ascii="Arial" w:cs="Arial" w:eastAsia="Arial" w:hAnsi="Arial"/>
                <w:sz w:val="18"/>
                <w:szCs w:val="18"/>
                <w:color w:val="auto"/>
              </w:rPr>
              <w:t>Item 2.</w:t>
            </w:r>
          </w:p>
        </w:tc>
        <w:tc>
          <w:tcPr>
            <w:tcW w:w="486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99"/>
              </w:rPr>
              <w:t>Unregistered Sales of Equity Securities and Use of Proceeds</w:t>
            </w:r>
          </w:p>
        </w:tc>
        <w:tc>
          <w:tcPr>
            <w:tcW w:w="3320" w:type="dxa"/>
            <w:vAlign w:val="bottom"/>
            <w:gridSpan w:val="7"/>
          </w:tcPr>
          <w:p>
            <w:pPr>
              <w:spacing w:after="0"/>
              <w:rPr>
                <w:sz w:val="22"/>
                <w:szCs w:val="22"/>
                <w:color w:val="auto"/>
              </w:rPr>
            </w:pPr>
          </w:p>
        </w:tc>
        <w:tc>
          <w:tcPr>
            <w:tcW w:w="780" w:type="dxa"/>
            <w:vAlign w:val="bottom"/>
          </w:tcPr>
          <w:p>
            <w:pPr>
              <w:spacing w:after="0"/>
              <w:rPr>
                <w:sz w:val="22"/>
                <w:szCs w:val="22"/>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15</w:t>
            </w:r>
          </w:p>
        </w:tc>
      </w:tr>
      <w:tr>
        <w:trPr>
          <w:trHeight w:val="263"/>
        </w:trPr>
        <w:tc>
          <w:tcPr>
            <w:tcW w:w="1120" w:type="dxa"/>
            <w:vAlign w:val="bottom"/>
          </w:tcPr>
          <w:p>
            <w:pPr>
              <w:spacing w:after="0"/>
              <w:rPr>
                <w:sz w:val="20"/>
                <w:szCs w:val="20"/>
                <w:color w:val="auto"/>
              </w:rPr>
            </w:pPr>
            <w:r>
              <w:rPr>
                <w:rFonts w:ascii="Arial" w:cs="Arial" w:eastAsia="Arial" w:hAnsi="Arial"/>
                <w:sz w:val="18"/>
                <w:szCs w:val="18"/>
                <w:color w:val="auto"/>
              </w:rPr>
              <w:t>Item 3.</w:t>
            </w:r>
          </w:p>
        </w:tc>
        <w:tc>
          <w:tcPr>
            <w:tcW w:w="256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99"/>
              </w:rPr>
              <w:t>Defaults Upon Senior Securities</w:t>
            </w:r>
          </w:p>
        </w:tc>
        <w:tc>
          <w:tcPr>
            <w:tcW w:w="5620" w:type="dxa"/>
            <w:vAlign w:val="bottom"/>
            <w:gridSpan w:val="13"/>
          </w:tcPr>
          <w:p>
            <w:pPr>
              <w:spacing w:after="0"/>
              <w:rPr>
                <w:sz w:val="22"/>
                <w:szCs w:val="22"/>
                <w:color w:val="auto"/>
              </w:rPr>
            </w:pPr>
          </w:p>
        </w:tc>
        <w:tc>
          <w:tcPr>
            <w:tcW w:w="780" w:type="dxa"/>
            <w:vAlign w:val="bottom"/>
          </w:tcPr>
          <w:p>
            <w:pPr>
              <w:spacing w:after="0"/>
              <w:rPr>
                <w:sz w:val="22"/>
                <w:szCs w:val="22"/>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15</w:t>
            </w:r>
          </w:p>
        </w:tc>
      </w:tr>
      <w:tr>
        <w:trPr>
          <w:trHeight w:val="263"/>
        </w:trPr>
        <w:tc>
          <w:tcPr>
            <w:tcW w:w="1120" w:type="dxa"/>
            <w:vAlign w:val="bottom"/>
          </w:tcPr>
          <w:p>
            <w:pPr>
              <w:spacing w:after="0"/>
              <w:rPr>
                <w:sz w:val="20"/>
                <w:szCs w:val="20"/>
                <w:color w:val="auto"/>
              </w:rPr>
            </w:pPr>
            <w:r>
              <w:rPr>
                <w:rFonts w:ascii="Arial" w:cs="Arial" w:eastAsia="Arial" w:hAnsi="Arial"/>
                <w:sz w:val="18"/>
                <w:szCs w:val="18"/>
                <w:color w:val="auto"/>
              </w:rPr>
              <w:t>Item 4.</w:t>
            </w:r>
          </w:p>
        </w:tc>
        <w:tc>
          <w:tcPr>
            <w:tcW w:w="194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9"/>
              </w:rPr>
              <w:t>Mine Safety Disclosures</w:t>
            </w:r>
          </w:p>
        </w:tc>
        <w:tc>
          <w:tcPr>
            <w:tcW w:w="6240" w:type="dxa"/>
            <w:vAlign w:val="bottom"/>
            <w:gridSpan w:val="18"/>
          </w:tcPr>
          <w:p>
            <w:pPr>
              <w:spacing w:after="0"/>
              <w:rPr>
                <w:sz w:val="22"/>
                <w:szCs w:val="22"/>
                <w:color w:val="auto"/>
              </w:rPr>
            </w:pPr>
          </w:p>
        </w:tc>
        <w:tc>
          <w:tcPr>
            <w:tcW w:w="780" w:type="dxa"/>
            <w:vAlign w:val="bottom"/>
          </w:tcPr>
          <w:p>
            <w:pPr>
              <w:spacing w:after="0"/>
              <w:rPr>
                <w:sz w:val="22"/>
                <w:szCs w:val="22"/>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15</w:t>
            </w:r>
          </w:p>
        </w:tc>
      </w:tr>
      <w:tr>
        <w:trPr>
          <w:trHeight w:val="263"/>
        </w:trPr>
        <w:tc>
          <w:tcPr>
            <w:tcW w:w="1120" w:type="dxa"/>
            <w:vAlign w:val="bottom"/>
          </w:tcPr>
          <w:p>
            <w:pPr>
              <w:spacing w:after="0"/>
              <w:rPr>
                <w:sz w:val="20"/>
                <w:szCs w:val="20"/>
                <w:color w:val="auto"/>
              </w:rPr>
            </w:pPr>
            <w:r>
              <w:rPr>
                <w:rFonts w:ascii="Arial" w:cs="Arial" w:eastAsia="Arial" w:hAnsi="Arial"/>
                <w:sz w:val="18"/>
                <w:szCs w:val="18"/>
                <w:color w:val="auto"/>
              </w:rPr>
              <w:t>Item 5.</w:t>
            </w:r>
          </w:p>
        </w:tc>
        <w:tc>
          <w:tcPr>
            <w:tcW w:w="8180" w:type="dxa"/>
            <w:vAlign w:val="bottom"/>
            <w:gridSpan w:val="24"/>
          </w:tcPr>
          <w:p>
            <w:pPr>
              <w:spacing w:after="0"/>
              <w:rPr>
                <w:sz w:val="20"/>
                <w:szCs w:val="20"/>
                <w:color w:val="auto"/>
              </w:rPr>
            </w:pPr>
            <w:r>
              <w:rPr>
                <w:rFonts w:ascii="Arial" w:cs="Arial" w:eastAsia="Arial" w:hAnsi="Arial"/>
                <w:sz w:val="18"/>
                <w:szCs w:val="18"/>
                <w:color w:val="0000FF"/>
              </w:rPr>
              <w:t>Other Information</w:t>
            </w:r>
          </w:p>
        </w:tc>
        <w:tc>
          <w:tcPr>
            <w:tcW w:w="980" w:type="dxa"/>
            <w:vAlign w:val="bottom"/>
            <w:gridSpan w:val="3"/>
          </w:tcPr>
          <w:p>
            <w:pPr>
              <w:jc w:val="right"/>
              <w:spacing w:after="0"/>
              <w:rPr>
                <w:sz w:val="20"/>
                <w:szCs w:val="20"/>
                <w:color w:val="auto"/>
              </w:rPr>
            </w:pPr>
            <w:r>
              <w:rPr>
                <w:rFonts w:ascii="Arial" w:cs="Arial" w:eastAsia="Arial" w:hAnsi="Arial"/>
                <w:sz w:val="18"/>
                <w:szCs w:val="18"/>
                <w:color w:val="0000FF"/>
              </w:rPr>
              <w:t>15</w:t>
            </w:r>
          </w:p>
        </w:tc>
      </w:tr>
      <w:tr>
        <w:trPr>
          <w:trHeight w:val="264"/>
        </w:trPr>
        <w:tc>
          <w:tcPr>
            <w:tcW w:w="1120" w:type="dxa"/>
            <w:vAlign w:val="bottom"/>
          </w:tcPr>
          <w:p>
            <w:pPr>
              <w:spacing w:after="0"/>
              <w:rPr>
                <w:sz w:val="20"/>
                <w:szCs w:val="20"/>
                <w:color w:val="auto"/>
              </w:rPr>
            </w:pPr>
            <w:r>
              <w:rPr>
                <w:rFonts w:ascii="Arial" w:cs="Arial" w:eastAsia="Arial" w:hAnsi="Arial"/>
                <w:sz w:val="18"/>
                <w:szCs w:val="18"/>
                <w:color w:val="auto"/>
              </w:rPr>
              <w:t>Item 6.</w:t>
            </w:r>
          </w:p>
        </w:tc>
        <w:tc>
          <w:tcPr>
            <w:tcW w:w="64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8"/>
                <w:szCs w:val="18"/>
                <w:color w:val="0000FF"/>
                <w:w w:val="98"/>
              </w:rPr>
              <w:t>Exhibits</w:t>
            </w:r>
          </w:p>
        </w:tc>
        <w:tc>
          <w:tcPr>
            <w:tcW w:w="760" w:type="dxa"/>
            <w:vAlign w:val="bottom"/>
            <w:tcBorders>
              <w:top w:val="single" w:sz="8" w:color="0000FF"/>
            </w:tcBorders>
            <w:gridSpan w:val="2"/>
          </w:tcPr>
          <w:p>
            <w:pPr>
              <w:spacing w:after="0"/>
              <w:rPr>
                <w:sz w:val="22"/>
                <w:szCs w:val="22"/>
                <w:color w:val="auto"/>
              </w:rPr>
            </w:pPr>
          </w:p>
        </w:tc>
        <w:tc>
          <w:tcPr>
            <w:tcW w:w="6780" w:type="dxa"/>
            <w:vAlign w:val="bottom"/>
            <w:gridSpan w:val="21"/>
          </w:tcPr>
          <w:p>
            <w:pPr>
              <w:spacing w:after="0"/>
              <w:rPr>
                <w:sz w:val="22"/>
                <w:szCs w:val="22"/>
                <w:color w:val="auto"/>
              </w:rPr>
            </w:pPr>
          </w:p>
        </w:tc>
        <w:tc>
          <w:tcPr>
            <w:tcW w:w="780" w:type="dxa"/>
            <w:vAlign w:val="bottom"/>
          </w:tcPr>
          <w:p>
            <w:pPr>
              <w:spacing w:after="0"/>
              <w:rPr>
                <w:sz w:val="22"/>
                <w:szCs w:val="22"/>
                <w:color w:val="auto"/>
              </w:rPr>
            </w:pPr>
          </w:p>
        </w:tc>
        <w:tc>
          <w:tcPr>
            <w:tcW w:w="20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16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62230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80"/>
          </w:cols>
          <w:pgMar w:left="360" w:top="886" w:right="12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PART I. FINANCIAL INFORMATION</w:t>
      </w:r>
    </w:p>
    <w:p>
      <w:pPr>
        <w:spacing w:after="0" w:line="282" w:lineRule="exact"/>
        <w:rPr>
          <w:sz w:val="20"/>
          <w:szCs w:val="20"/>
          <w:color w:val="auto"/>
        </w:rPr>
      </w:pPr>
    </w:p>
    <w:p>
      <w:pPr>
        <w:spacing w:after="0"/>
        <w:rPr>
          <w:sz w:val="20"/>
          <w:szCs w:val="20"/>
          <w:color w:val="auto"/>
        </w:rPr>
      </w:pPr>
      <w:r>
        <w:rPr>
          <w:rFonts w:ascii="Arial" w:cs="Arial" w:eastAsia="Arial" w:hAnsi="Arial"/>
          <w:sz w:val="22"/>
          <w:szCs w:val="22"/>
          <w:color w:val="auto"/>
        </w:rPr>
        <w:t>ITEM 1. FINANCIAL STATEMENTS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 except share data)</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ind w:left="100"/>
              <w:spacing w:after="0"/>
              <w:rPr>
                <w:sz w:val="20"/>
                <w:szCs w:val="20"/>
                <w:color w:val="auto"/>
              </w:rPr>
            </w:pPr>
            <w:r>
              <w:rPr>
                <w:rFonts w:ascii="Arial" w:cs="Arial" w:eastAsia="Arial" w:hAnsi="Arial"/>
                <w:sz w:val="16"/>
                <w:szCs w:val="16"/>
                <w:b w:val="1"/>
                <w:bCs w:val="1"/>
                <w:color w:val="auto"/>
              </w:rPr>
              <w:t>October 2,</w:t>
            </w:r>
          </w:p>
        </w:tc>
        <w:tc>
          <w:tcPr>
            <w:tcW w:w="280" w:type="dxa"/>
            <w:vAlign w:val="bottom"/>
          </w:tcPr>
          <w:p>
            <w:pPr>
              <w:spacing w:after="0"/>
              <w:rPr>
                <w:sz w:val="16"/>
                <w:szCs w:val="16"/>
                <w:color w:val="auto"/>
              </w:rPr>
            </w:pPr>
          </w:p>
        </w:tc>
        <w:tc>
          <w:tcPr>
            <w:tcW w:w="1180" w:type="dxa"/>
            <w:vAlign w:val="bottom"/>
          </w:tcPr>
          <w:p>
            <w:pPr>
              <w:jc w:val="right"/>
              <w:ind w:right="379"/>
              <w:spacing w:after="0"/>
              <w:rPr>
                <w:sz w:val="20"/>
                <w:szCs w:val="20"/>
                <w:color w:val="auto"/>
              </w:rPr>
            </w:pPr>
            <w:r>
              <w:rPr>
                <w:rFonts w:ascii="Arial" w:cs="Arial" w:eastAsia="Arial" w:hAnsi="Arial"/>
                <w:sz w:val="16"/>
                <w:szCs w:val="16"/>
                <w:b w:val="1"/>
                <w:bCs w:val="1"/>
                <w:color w:val="auto"/>
              </w:rPr>
              <w:t>April 3,</w:t>
            </w:r>
          </w:p>
        </w:tc>
      </w:tr>
      <w:tr>
        <w:trPr>
          <w:trHeight w:val="215"/>
        </w:trPr>
        <w:tc>
          <w:tcPr>
            <w:tcW w:w="8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r>
      <w:tr>
        <w:trPr>
          <w:trHeight w:val="197"/>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and cash equivalents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3,496</w:t>
            </w:r>
          </w:p>
        </w:tc>
      </w:tr>
      <w:tr>
        <w:trPr>
          <w:trHeight w:val="213"/>
        </w:trPr>
        <w:tc>
          <w:tcPr>
            <w:tcW w:w="8220" w:type="dxa"/>
            <w:vAlign w:val="bottom"/>
          </w:tcPr>
          <w:p>
            <w:pPr>
              <w:ind w:left="360"/>
              <w:spacing w:after="0"/>
              <w:rPr>
                <w:sz w:val="20"/>
                <w:szCs w:val="20"/>
                <w:color w:val="auto"/>
              </w:rPr>
            </w:pPr>
            <w:r>
              <w:rPr>
                <w:rFonts w:ascii="Arial" w:cs="Arial" w:eastAsia="Arial" w:hAnsi="Arial"/>
                <w:sz w:val="16"/>
                <w:szCs w:val="16"/>
                <w:color w:val="auto"/>
              </w:rPr>
              <w:t>Trade accounts receivables, net</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131,392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122,826</w:t>
            </w: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Inventories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113,062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94,985</w:t>
            </w:r>
          </w:p>
        </w:tc>
      </w:tr>
      <w:tr>
        <w:trPr>
          <w:trHeight w:val="213"/>
        </w:trPr>
        <w:tc>
          <w:tcPr>
            <w:tcW w:w="82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Prepaid expenses and other current assets</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3,197</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6,431</w:t>
            </w:r>
          </w:p>
        </w:tc>
      </w:tr>
      <w:tr>
        <w:trPr>
          <w:trHeight w:val="213"/>
        </w:trPr>
        <w:tc>
          <w:tcPr>
            <w:tcW w:w="8220" w:type="dxa"/>
            <w:vAlign w:val="bottom"/>
            <w:shd w:val="clear" w:color="auto" w:fill="CCEEFF"/>
          </w:tcPr>
          <w:p>
            <w:pPr>
              <w:ind w:left="800"/>
              <w:spacing w:after="0"/>
              <w:rPr>
                <w:sz w:val="20"/>
                <w:szCs w:val="20"/>
                <w:color w:val="auto"/>
              </w:rPr>
            </w:pPr>
            <w:r>
              <w:rPr>
                <w:rFonts w:ascii="Arial" w:cs="Arial" w:eastAsia="Arial" w:hAnsi="Arial"/>
                <w:sz w:val="16"/>
                <w:szCs w:val="16"/>
                <w:color w:val="auto"/>
              </w:rPr>
              <w:t>Total current assets</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251,575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227,738</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PROPERTY, PLANT, AND EQUIPMENT:</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321,453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304,055</w:t>
            </w: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Less accumulated depreciation</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150,442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142,209</w:t>
            </w:r>
          </w:p>
        </w:tc>
      </w:tr>
      <w:tr>
        <w:trPr>
          <w:trHeight w:val="207"/>
        </w:trPr>
        <w:tc>
          <w:tcPr>
            <w:tcW w:w="8220" w:type="dxa"/>
            <w:vAlign w:val="bottom"/>
          </w:tcPr>
          <w:p>
            <w:pPr>
              <w:ind w:left="800"/>
              <w:spacing w:after="0"/>
              <w:rPr>
                <w:sz w:val="20"/>
                <w:szCs w:val="20"/>
                <w:color w:val="auto"/>
              </w:rPr>
            </w:pPr>
            <w:r>
              <w:rPr>
                <w:rFonts w:ascii="Arial" w:cs="Arial" w:eastAsia="Arial" w:hAnsi="Arial"/>
                <w:sz w:val="16"/>
                <w:szCs w:val="16"/>
                <w:color w:val="auto"/>
              </w:rPr>
              <w:t>Net property, plant, and equipment</w:t>
            </w: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171,011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161,846</w:t>
            </w: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3"/>
        </w:trPr>
        <w:tc>
          <w:tcPr>
            <w:tcW w:w="8220" w:type="dxa"/>
            <w:vAlign w:val="bottom"/>
          </w:tcPr>
          <w:p>
            <w:pPr>
              <w:ind w:left="360"/>
              <w:spacing w:after="0"/>
              <w:rPr>
                <w:sz w:val="20"/>
                <w:szCs w:val="20"/>
                <w:color w:val="auto"/>
              </w:rPr>
            </w:pPr>
            <w:r>
              <w:rPr>
                <w:rFonts w:ascii="Arial" w:cs="Arial" w:eastAsia="Arial" w:hAnsi="Arial"/>
                <w:sz w:val="16"/>
                <w:szCs w:val="16"/>
                <w:color w:val="auto"/>
              </w:rPr>
              <w:t>Right-of-use assets</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10,019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10,606</w:t>
            </w: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Goodwill</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77,401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77,401</w:t>
            </w:r>
          </w:p>
        </w:tc>
      </w:tr>
      <w:tr>
        <w:trPr>
          <w:trHeight w:val="213"/>
        </w:trPr>
        <w:tc>
          <w:tcPr>
            <w:tcW w:w="8220" w:type="dxa"/>
            <w:vAlign w:val="bottom"/>
          </w:tcPr>
          <w:p>
            <w:pPr>
              <w:ind w:left="360"/>
              <w:spacing w:after="0"/>
              <w:rPr>
                <w:sz w:val="20"/>
                <w:szCs w:val="20"/>
                <w:color w:val="auto"/>
              </w:rPr>
            </w:pPr>
            <w:r>
              <w:rPr>
                <w:rFonts w:ascii="Arial" w:cs="Arial" w:eastAsia="Arial" w:hAnsi="Arial"/>
                <w:sz w:val="16"/>
                <w:szCs w:val="16"/>
                <w:color w:val="auto"/>
              </w:rPr>
              <w:t>Intangible assets, net of accumulated amortization</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76,687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80,193</w:t>
            </w: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Deferred compensation plan asset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6,752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6,783</w:t>
            </w:r>
          </w:p>
        </w:tc>
      </w:tr>
      <w:tr>
        <w:trPr>
          <w:trHeight w:val="213"/>
        </w:trPr>
        <w:tc>
          <w:tcPr>
            <w:tcW w:w="82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5,838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2,761</w:t>
            </w:r>
          </w:p>
        </w:tc>
      </w:tr>
      <w:tr>
        <w:trPr>
          <w:trHeight w:val="209"/>
        </w:trPr>
        <w:tc>
          <w:tcPr>
            <w:tcW w:w="8220" w:type="dxa"/>
            <w:vAlign w:val="bottom"/>
            <w:shd w:val="clear" w:color="auto" w:fill="CCEEFF"/>
          </w:tcPr>
          <w:p>
            <w:pPr>
              <w:ind w:left="800"/>
              <w:spacing w:after="0"/>
              <w:rPr>
                <w:sz w:val="20"/>
                <w:szCs w:val="20"/>
                <w:color w:val="auto"/>
              </w:rPr>
            </w:pPr>
            <w:r>
              <w:rPr>
                <w:rFonts w:ascii="Arial" w:cs="Arial" w:eastAsia="Arial" w:hAnsi="Arial"/>
                <w:sz w:val="16"/>
                <w:szCs w:val="16"/>
                <w:color w:val="auto"/>
              </w:rPr>
              <w:t>Total other assets</w:t>
            </w: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176,697</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177,744</w:t>
            </w:r>
          </w:p>
        </w:tc>
      </w:tr>
      <w:tr>
        <w:trPr>
          <w:trHeight w:val="210"/>
        </w:trPr>
        <w:tc>
          <w:tcPr>
            <w:tcW w:w="8220" w:type="dxa"/>
            <w:vAlign w:val="bottom"/>
          </w:tcPr>
          <w:p>
            <w:pPr>
              <w:ind w:left="800"/>
              <w:spacing w:after="0"/>
              <w:rPr>
                <w:sz w:val="20"/>
                <w:szCs w:val="20"/>
                <w:color w:val="auto"/>
              </w:rPr>
            </w:pPr>
            <w:r>
              <w:rPr>
                <w:rFonts w:ascii="Arial" w:cs="Arial" w:eastAsia="Arial" w:hAnsi="Arial"/>
                <w:sz w:val="16"/>
                <w:szCs w:val="16"/>
                <w:color w:val="auto"/>
              </w:rPr>
              <w:t>Total assets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599,283</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567,328</w:t>
            </w: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86"/>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SHAREHOLDERS’ EQUITY</w:t>
            </w: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payable — trade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60,887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66,693</w:t>
            </w:r>
          </w:p>
        </w:tc>
      </w:tr>
      <w:tr>
        <w:trPr>
          <w:trHeight w:val="213"/>
        </w:trPr>
        <w:tc>
          <w:tcPr>
            <w:tcW w:w="8220" w:type="dxa"/>
            <w:vAlign w:val="bottom"/>
          </w:tcPr>
          <w:p>
            <w:pPr>
              <w:ind w:left="360"/>
              <w:spacing w:after="0"/>
              <w:rPr>
                <w:sz w:val="20"/>
                <w:szCs w:val="20"/>
                <w:color w:val="auto"/>
              </w:rPr>
            </w:pPr>
            <w:r>
              <w:rPr>
                <w:rFonts w:ascii="Arial" w:cs="Arial" w:eastAsia="Arial" w:hAnsi="Arial"/>
                <w:sz w:val="16"/>
                <w:szCs w:val="16"/>
                <w:color w:val="auto"/>
              </w:rPr>
              <w:t>Accrued payroll and employee benefits</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12,059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19,034</w:t>
            </w: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Income tax payable</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r>
      <w:tr>
        <w:trPr>
          <w:trHeight w:val="213"/>
        </w:trPr>
        <w:tc>
          <w:tcPr>
            <w:tcW w:w="8220" w:type="dxa"/>
            <w:vAlign w:val="bottom"/>
          </w:tcPr>
          <w:p>
            <w:pPr>
              <w:ind w:left="360"/>
              <w:spacing w:after="0"/>
              <w:rPr>
                <w:sz w:val="20"/>
                <w:szCs w:val="20"/>
                <w:color w:val="auto"/>
              </w:rPr>
            </w:pPr>
            <w:r>
              <w:rPr>
                <w:rFonts w:ascii="Arial" w:cs="Arial" w:eastAsia="Arial" w:hAnsi="Arial"/>
                <w:sz w:val="16"/>
                <w:szCs w:val="16"/>
                <w:color w:val="auto"/>
              </w:rPr>
              <w:t>Current portion of long-term debt</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9,913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9,913</w:t>
            </w: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Short-term lease liability</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1,657</w:t>
            </w:r>
          </w:p>
        </w:tc>
      </w:tr>
      <w:tr>
        <w:trPr>
          <w:trHeight w:val="213"/>
        </w:trPr>
        <w:tc>
          <w:tcPr>
            <w:tcW w:w="82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 current liabilities</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4,490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4,130</w:t>
            </w:r>
          </w:p>
        </w:tc>
      </w:tr>
      <w:tr>
        <w:trPr>
          <w:trHeight w:val="213"/>
        </w:trPr>
        <w:tc>
          <w:tcPr>
            <w:tcW w:w="8220" w:type="dxa"/>
            <w:vAlign w:val="bottom"/>
            <w:shd w:val="clear" w:color="auto" w:fill="CCEEFF"/>
          </w:tcPr>
          <w:p>
            <w:pPr>
              <w:ind w:left="800"/>
              <w:spacing w:after="0"/>
              <w:rPr>
                <w:sz w:val="20"/>
                <w:szCs w:val="20"/>
                <w:color w:val="auto"/>
              </w:rPr>
            </w:pPr>
            <w:r>
              <w:rPr>
                <w:rFonts w:ascii="Arial" w:cs="Arial" w:eastAsia="Arial" w:hAnsi="Arial"/>
                <w:sz w:val="16"/>
                <w:szCs w:val="16"/>
                <w:color w:val="auto"/>
              </w:rPr>
              <w:t>Total current liabilities</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90,851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101,466</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LONG-TERM DEBT, LESS CURRENT PORTION</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130,688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115,644</w:t>
            </w: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LEASE LIABILITY</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8,758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9,143</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PENSION WITHDRAWAL LIABILITY</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4,095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4,276</w:t>
            </w: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INCOME TAXES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23,422</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DEFERRED COMPENSATION LIABILITY</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7,899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8,402</w:t>
            </w: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LONG-TERM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2,374</w:t>
            </w:r>
          </w:p>
        </w:tc>
      </w:tr>
      <w:tr>
        <w:trPr>
          <w:trHeight w:val="207"/>
        </w:trPr>
        <w:tc>
          <w:tcPr>
            <w:tcW w:w="8220" w:type="dxa"/>
            <w:vAlign w:val="bottom"/>
          </w:tcPr>
          <w:p>
            <w:pPr>
              <w:ind w:left="800"/>
              <w:spacing w:after="0"/>
              <w:rPr>
                <w:sz w:val="20"/>
                <w:szCs w:val="20"/>
                <w:color w:val="auto"/>
              </w:rPr>
            </w:pPr>
            <w:r>
              <w:rPr>
                <w:rFonts w:ascii="Arial" w:cs="Arial" w:eastAsia="Arial" w:hAnsi="Arial"/>
                <w:sz w:val="16"/>
                <w:szCs w:val="16"/>
                <w:color w:val="auto"/>
              </w:rPr>
              <w:t>Total liabilities</w:t>
            </w: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267,869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264,727</w:t>
            </w: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SHAREHOLDERS’ EQUITY:</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180"/>
        </w:trPr>
        <w:tc>
          <w:tcPr>
            <w:tcW w:w="8220" w:type="dxa"/>
            <w:vAlign w:val="bottom"/>
            <w:shd w:val="clear" w:color="auto" w:fill="CCEEFF"/>
          </w:tcPr>
          <w:p>
            <w:pPr>
              <w:ind w:left="360"/>
              <w:spacing w:after="0" w:line="181" w:lineRule="exact"/>
              <w:rPr>
                <w:sz w:val="20"/>
                <w:szCs w:val="20"/>
                <w:color w:val="auto"/>
              </w:rPr>
            </w:pPr>
            <w:r>
              <w:rPr>
                <w:rFonts w:ascii="Arial" w:cs="Arial" w:eastAsia="Arial" w:hAnsi="Arial"/>
                <w:sz w:val="16"/>
                <w:szCs w:val="16"/>
                <w:color w:val="auto"/>
              </w:rPr>
              <w:t>Common stock; authorized: 60,000,000 shares of $0.01 par value; 20,817,625 and 20,889,777 shares</w:t>
            </w: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01"/>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issued and outstanding as of October 2, 2022 and April 3, 2022, respectively</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w:t>
            </w:r>
          </w:p>
        </w:tc>
      </w:tr>
      <w:tr>
        <w:trPr>
          <w:trHeight w:val="213"/>
        </w:trPr>
        <w:tc>
          <w:tcPr>
            <w:tcW w:w="8220" w:type="dxa"/>
            <w:vAlign w:val="bottom"/>
          </w:tcPr>
          <w:p>
            <w:pPr>
              <w:ind w:left="360"/>
              <w:spacing w:after="0"/>
              <w:rPr>
                <w:sz w:val="20"/>
                <w:szCs w:val="20"/>
                <w:color w:val="auto"/>
              </w:rPr>
            </w:pPr>
            <w:r>
              <w:rPr>
                <w:rFonts w:ascii="Arial" w:cs="Arial" w:eastAsia="Arial" w:hAnsi="Arial"/>
                <w:sz w:val="16"/>
                <w:szCs w:val="16"/>
                <w:color w:val="auto"/>
              </w:rPr>
              <w:t>Additional paid-in capital</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41,294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46,717</w:t>
            </w: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Retained earnings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286,179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254,384</w:t>
            </w:r>
          </w:p>
        </w:tc>
      </w:tr>
      <w:tr>
        <w:trPr>
          <w:trHeight w:val="213"/>
        </w:trPr>
        <w:tc>
          <w:tcPr>
            <w:tcW w:w="82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Accumulated other comprehensive income</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3,733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1,291</w:t>
            </w:r>
          </w:p>
        </w:tc>
      </w:tr>
      <w:tr>
        <w:trPr>
          <w:trHeight w:val="210"/>
        </w:trPr>
        <w:tc>
          <w:tcPr>
            <w:tcW w:w="8220" w:type="dxa"/>
            <w:vAlign w:val="bottom"/>
            <w:shd w:val="clear" w:color="auto" w:fill="CCEEFF"/>
          </w:tcPr>
          <w:p>
            <w:pPr>
              <w:ind w:left="800"/>
              <w:spacing w:after="0"/>
              <w:rPr>
                <w:sz w:val="20"/>
                <w:szCs w:val="20"/>
                <w:color w:val="auto"/>
              </w:rPr>
            </w:pPr>
            <w:r>
              <w:rPr>
                <w:rFonts w:ascii="Arial" w:cs="Arial" w:eastAsia="Arial" w:hAnsi="Arial"/>
                <w:sz w:val="16"/>
                <w:szCs w:val="16"/>
                <w:color w:val="auto"/>
              </w:rPr>
              <w:t>Total shareholders’ equity</w:t>
            </w: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331,414</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302,601</w:t>
            </w:r>
          </w:p>
        </w:tc>
      </w:tr>
      <w:tr>
        <w:trPr>
          <w:trHeight w:val="210"/>
        </w:trPr>
        <w:tc>
          <w:tcPr>
            <w:tcW w:w="8220" w:type="dxa"/>
            <w:vAlign w:val="bottom"/>
          </w:tcPr>
          <w:p>
            <w:pPr>
              <w:ind w:left="800"/>
              <w:spacing w:after="0"/>
              <w:rPr>
                <w:sz w:val="20"/>
                <w:szCs w:val="20"/>
                <w:color w:val="auto"/>
              </w:rPr>
            </w:pPr>
            <w:r>
              <w:rPr>
                <w:rFonts w:ascii="Arial" w:cs="Arial" w:eastAsia="Arial" w:hAnsi="Arial"/>
                <w:sz w:val="16"/>
                <w:szCs w:val="16"/>
                <w:color w:val="auto"/>
              </w:rPr>
              <w:t>Total liabilities and shareholders’ equity</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599,283</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567,328</w:t>
            </w:r>
          </w:p>
        </w:tc>
      </w:tr>
      <w:tr>
        <w:trPr>
          <w:trHeight w:val="23"/>
        </w:trPr>
        <w:tc>
          <w:tcPr>
            <w:tcW w:w="8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6"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HAWKINS,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INCOME (UNAUDITED)</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60" w:type="dxa"/>
            <w:vAlign w:val="bottom"/>
            <w:gridSpan w:val="2"/>
          </w:tcPr>
          <w:p>
            <w:pPr>
              <w:spacing w:after="0"/>
              <w:rPr>
                <w:sz w:val="20"/>
                <w:szCs w:val="20"/>
                <w:color w:val="auto"/>
              </w:rPr>
            </w:pPr>
            <w:r>
              <w:rPr>
                <w:rFonts w:ascii="Arial" w:cs="Arial" w:eastAsia="Arial" w:hAnsi="Arial"/>
                <w:sz w:val="14"/>
                <w:szCs w:val="14"/>
                <w:b w:val="1"/>
                <w:bCs w:val="1"/>
                <w:color w:val="auto"/>
              </w:rPr>
              <w:t>(In thousands, except share and per-share data)</w:t>
            </w: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38"/>
        </w:trPr>
        <w:tc>
          <w:tcPr>
            <w:tcW w:w="4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4"/>
          </w:tcPr>
          <w:p>
            <w:pPr>
              <w:jc w:val="right"/>
              <w:ind w:right="472"/>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4"/>
          </w:tcPr>
          <w:p>
            <w:pPr>
              <w:jc w:val="right"/>
              <w:ind w:right="592"/>
              <w:spacing w:after="0"/>
              <w:rPr>
                <w:sz w:val="20"/>
                <w:szCs w:val="20"/>
                <w:color w:val="auto"/>
              </w:rPr>
            </w:pPr>
            <w:r>
              <w:rPr>
                <w:rFonts w:ascii="Arial" w:cs="Arial" w:eastAsia="Arial" w:hAnsi="Arial"/>
                <w:sz w:val="16"/>
                <w:szCs w:val="16"/>
                <w:b w:val="1"/>
                <w:bCs w:val="1"/>
                <w:color w:val="auto"/>
              </w:rPr>
              <w:t>Six Months Ended</w:t>
            </w:r>
          </w:p>
        </w:tc>
      </w:tr>
      <w:tr>
        <w:trPr>
          <w:trHeight w:val="145"/>
        </w:trPr>
        <w:tc>
          <w:tcPr>
            <w:tcW w:w="4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ind w:left="80"/>
              <w:spacing w:after="0" w:line="145" w:lineRule="exact"/>
              <w:rPr>
                <w:sz w:val="20"/>
                <w:szCs w:val="20"/>
                <w:color w:val="auto"/>
              </w:rPr>
            </w:pPr>
            <w:r>
              <w:rPr>
                <w:rFonts w:ascii="Arial" w:cs="Arial" w:eastAsia="Arial" w:hAnsi="Arial"/>
                <w:sz w:val="14"/>
                <w:szCs w:val="14"/>
                <w:b w:val="1"/>
                <w:bCs w:val="1"/>
                <w:color w:val="auto"/>
              </w:rPr>
              <w:t>October 2,</w:t>
            </w:r>
          </w:p>
        </w:tc>
        <w:tc>
          <w:tcPr>
            <w:tcW w:w="140" w:type="dxa"/>
            <w:vAlign w:val="bottom"/>
          </w:tcPr>
          <w:p>
            <w:pPr>
              <w:spacing w:after="0"/>
              <w:rPr>
                <w:sz w:val="12"/>
                <w:szCs w:val="12"/>
                <w:color w:val="auto"/>
              </w:rPr>
            </w:pPr>
          </w:p>
        </w:tc>
        <w:tc>
          <w:tcPr>
            <w:tcW w:w="1280" w:type="dxa"/>
            <w:vAlign w:val="bottom"/>
            <w:gridSpan w:val="2"/>
          </w:tcPr>
          <w:p>
            <w:pPr>
              <w:ind w:left="20"/>
              <w:spacing w:after="0" w:line="145" w:lineRule="exact"/>
              <w:rPr>
                <w:sz w:val="20"/>
                <w:szCs w:val="20"/>
                <w:color w:val="auto"/>
              </w:rPr>
            </w:pPr>
            <w:r>
              <w:rPr>
                <w:rFonts w:ascii="Arial" w:cs="Arial" w:eastAsia="Arial" w:hAnsi="Arial"/>
                <w:sz w:val="14"/>
                <w:szCs w:val="14"/>
                <w:b w:val="1"/>
                <w:bCs w:val="1"/>
                <w:color w:val="auto"/>
              </w:rPr>
              <w:t>September 26,</w:t>
            </w:r>
          </w:p>
        </w:tc>
        <w:tc>
          <w:tcPr>
            <w:tcW w:w="220" w:type="dxa"/>
            <w:vAlign w:val="bottom"/>
          </w:tcPr>
          <w:p>
            <w:pPr>
              <w:spacing w:after="0"/>
              <w:rPr>
                <w:sz w:val="12"/>
                <w:szCs w:val="12"/>
                <w:color w:val="auto"/>
              </w:rPr>
            </w:pPr>
          </w:p>
        </w:tc>
        <w:tc>
          <w:tcPr>
            <w:tcW w:w="1200" w:type="dxa"/>
            <w:vAlign w:val="bottom"/>
            <w:gridSpan w:val="2"/>
          </w:tcPr>
          <w:p>
            <w:pPr>
              <w:ind w:left="80"/>
              <w:spacing w:after="0" w:line="145" w:lineRule="exact"/>
              <w:rPr>
                <w:sz w:val="20"/>
                <w:szCs w:val="20"/>
                <w:color w:val="auto"/>
              </w:rPr>
            </w:pPr>
            <w:r>
              <w:rPr>
                <w:rFonts w:ascii="Arial" w:cs="Arial" w:eastAsia="Arial" w:hAnsi="Arial"/>
                <w:sz w:val="14"/>
                <w:szCs w:val="14"/>
                <w:b w:val="1"/>
                <w:bCs w:val="1"/>
                <w:color w:val="auto"/>
              </w:rPr>
              <w:t>October 2,</w:t>
            </w:r>
          </w:p>
        </w:tc>
        <w:tc>
          <w:tcPr>
            <w:tcW w:w="160" w:type="dxa"/>
            <w:vAlign w:val="bottom"/>
          </w:tcPr>
          <w:p>
            <w:pPr>
              <w:spacing w:after="0"/>
              <w:rPr>
                <w:sz w:val="12"/>
                <w:szCs w:val="12"/>
                <w:color w:val="auto"/>
              </w:rPr>
            </w:pPr>
          </w:p>
        </w:tc>
        <w:tc>
          <w:tcPr>
            <w:tcW w:w="1180" w:type="dxa"/>
            <w:vAlign w:val="bottom"/>
          </w:tcPr>
          <w:p>
            <w:pPr>
              <w:jc w:val="right"/>
              <w:ind w:right="72"/>
              <w:spacing w:after="0" w:line="145" w:lineRule="exact"/>
              <w:rPr>
                <w:sz w:val="20"/>
                <w:szCs w:val="20"/>
                <w:color w:val="auto"/>
              </w:rPr>
            </w:pPr>
            <w:r>
              <w:rPr>
                <w:rFonts w:ascii="Arial" w:cs="Arial" w:eastAsia="Arial" w:hAnsi="Arial"/>
                <w:sz w:val="14"/>
                <w:szCs w:val="14"/>
                <w:b w:val="1"/>
                <w:bCs w:val="1"/>
                <w:color w:val="auto"/>
              </w:rPr>
              <w:t>September 26,</w:t>
            </w:r>
          </w:p>
        </w:tc>
      </w:tr>
      <w:tr>
        <w:trPr>
          <w:trHeight w:val="189"/>
        </w:trPr>
        <w:tc>
          <w:tcPr>
            <w:tcW w:w="40" w:type="dxa"/>
            <w:vAlign w:val="bottom"/>
          </w:tcPr>
          <w:p>
            <w:pPr>
              <w:spacing w:after="0"/>
              <w:rPr>
                <w:sz w:val="16"/>
                <w:szCs w:val="16"/>
                <w:color w:val="auto"/>
              </w:rPr>
            </w:pPr>
          </w:p>
        </w:tc>
        <w:tc>
          <w:tcPr>
            <w:tcW w:w="52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2021</w:t>
            </w:r>
          </w:p>
        </w:tc>
      </w:tr>
      <w:tr>
        <w:trPr>
          <w:trHeight w:val="223"/>
        </w:trPr>
        <w:tc>
          <w:tcPr>
            <w:tcW w:w="40" w:type="dxa"/>
            <w:vAlign w:val="bottom"/>
          </w:tcPr>
          <w:p>
            <w:pPr>
              <w:spacing w:after="0"/>
              <w:rPr>
                <w:sz w:val="19"/>
                <w:szCs w:val="19"/>
                <w:color w:val="auto"/>
              </w:rPr>
            </w:pPr>
          </w:p>
        </w:tc>
        <w:tc>
          <w:tcPr>
            <w:tcW w:w="5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241,192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183,277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487,735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364,518</w:t>
            </w:r>
          </w:p>
        </w:tc>
      </w:tr>
      <w:tr>
        <w:trPr>
          <w:trHeight w:val="229"/>
        </w:trPr>
        <w:tc>
          <w:tcPr>
            <w:tcW w:w="40" w:type="dxa"/>
            <w:vAlign w:val="bottom"/>
          </w:tcPr>
          <w:p>
            <w:pPr>
              <w:spacing w:after="0"/>
              <w:rPr>
                <w:sz w:val="19"/>
                <w:szCs w:val="19"/>
                <w:color w:val="auto"/>
              </w:rPr>
            </w:pPr>
          </w:p>
        </w:tc>
        <w:tc>
          <w:tcPr>
            <w:tcW w:w="52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Cost of sales</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(194,818)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(145,990)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(394,612)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(288,257)</w:t>
            </w:r>
          </w:p>
        </w:tc>
      </w:tr>
      <w:tr>
        <w:trPr>
          <w:trHeight w:val="223"/>
        </w:trPr>
        <w:tc>
          <w:tcPr>
            <w:tcW w:w="40" w:type="dxa"/>
            <w:vAlign w:val="bottom"/>
          </w:tcPr>
          <w:p>
            <w:pPr>
              <w:spacing w:after="0"/>
              <w:rPr>
                <w:sz w:val="19"/>
                <w:szCs w:val="19"/>
                <w:color w:val="auto"/>
              </w:rPr>
            </w:pPr>
          </w:p>
        </w:tc>
        <w:tc>
          <w:tcPr>
            <w:tcW w:w="5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46,374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37,287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76,261</w:t>
            </w:r>
          </w:p>
        </w:tc>
      </w:tr>
      <w:tr>
        <w:trPr>
          <w:trHeight w:val="229"/>
        </w:trPr>
        <w:tc>
          <w:tcPr>
            <w:tcW w:w="40" w:type="dxa"/>
            <w:vAlign w:val="bottom"/>
          </w:tcPr>
          <w:p>
            <w:pPr>
              <w:spacing w:after="0"/>
              <w:rPr>
                <w:sz w:val="19"/>
                <w:szCs w:val="19"/>
                <w:color w:val="auto"/>
              </w:rPr>
            </w:pPr>
          </w:p>
        </w:tc>
        <w:tc>
          <w:tcPr>
            <w:tcW w:w="52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(19,838)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(17,679)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(38,723)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(34,535)</w:t>
            </w:r>
          </w:p>
        </w:tc>
      </w:tr>
      <w:tr>
        <w:trPr>
          <w:trHeight w:val="223"/>
        </w:trPr>
        <w:tc>
          <w:tcPr>
            <w:tcW w:w="40" w:type="dxa"/>
            <w:vAlign w:val="bottom"/>
          </w:tcPr>
          <w:p>
            <w:pPr>
              <w:spacing w:after="0"/>
              <w:rPr>
                <w:sz w:val="19"/>
                <w:szCs w:val="19"/>
                <w:color w:val="auto"/>
              </w:rPr>
            </w:pPr>
          </w:p>
        </w:tc>
        <w:tc>
          <w:tcPr>
            <w:tcW w:w="5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26,536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41,726</w:t>
            </w:r>
          </w:p>
        </w:tc>
      </w:tr>
      <w:tr>
        <w:trPr>
          <w:trHeight w:val="229"/>
        </w:trPr>
        <w:tc>
          <w:tcPr>
            <w:tcW w:w="40" w:type="dxa"/>
            <w:vAlign w:val="bottom"/>
          </w:tcPr>
          <w:p>
            <w:pPr>
              <w:spacing w:after="0"/>
              <w:rPr>
                <w:sz w:val="19"/>
                <w:szCs w:val="19"/>
                <w:color w:val="auto"/>
              </w:rPr>
            </w:pPr>
          </w:p>
        </w:tc>
        <w:tc>
          <w:tcPr>
            <w:tcW w:w="522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(1,383)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(678)</w:t>
            </w:r>
          </w:p>
        </w:tc>
      </w:tr>
      <w:tr>
        <w:trPr>
          <w:trHeight w:val="229"/>
        </w:trPr>
        <w:tc>
          <w:tcPr>
            <w:tcW w:w="40" w:type="dxa"/>
            <w:vAlign w:val="bottom"/>
          </w:tcPr>
          <w:p>
            <w:pPr>
              <w:spacing w:after="0"/>
              <w:rPr>
                <w:sz w:val="19"/>
                <w:szCs w:val="19"/>
                <w:color w:val="auto"/>
              </w:rPr>
            </w:pPr>
          </w:p>
        </w:tc>
        <w:tc>
          <w:tcPr>
            <w:tcW w:w="5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(expense) income</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w:t>
            </w:r>
          </w:p>
        </w:tc>
      </w:tr>
      <w:tr>
        <w:trPr>
          <w:trHeight w:val="223"/>
        </w:trPr>
        <w:tc>
          <w:tcPr>
            <w:tcW w:w="40" w:type="dxa"/>
            <w:vAlign w:val="bottom"/>
          </w:tcPr>
          <w:p>
            <w:pPr>
              <w:spacing w:after="0"/>
              <w:rPr>
                <w:sz w:val="19"/>
                <w:szCs w:val="19"/>
                <w:color w:val="auto"/>
              </w:rPr>
            </w:pPr>
          </w:p>
        </w:tc>
        <w:tc>
          <w:tcPr>
            <w:tcW w:w="522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24,707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19,463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50,879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41,464</w:t>
            </w:r>
          </w:p>
        </w:tc>
      </w:tr>
      <w:tr>
        <w:trPr>
          <w:trHeight w:val="229"/>
        </w:trPr>
        <w:tc>
          <w:tcPr>
            <w:tcW w:w="40" w:type="dxa"/>
            <w:vAlign w:val="bottom"/>
          </w:tcPr>
          <w:p>
            <w:pPr>
              <w:spacing w:after="0"/>
              <w:rPr>
                <w:sz w:val="19"/>
                <w:szCs w:val="19"/>
                <w:color w:val="auto"/>
              </w:rPr>
            </w:pPr>
          </w:p>
        </w:tc>
        <w:tc>
          <w:tcPr>
            <w:tcW w:w="5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(13,184)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(10,703)</w:t>
            </w:r>
          </w:p>
        </w:tc>
      </w:tr>
      <w:tr>
        <w:trPr>
          <w:trHeight w:val="223"/>
        </w:trPr>
        <w:tc>
          <w:tcPr>
            <w:tcW w:w="40" w:type="dxa"/>
            <w:vAlign w:val="bottom"/>
          </w:tcPr>
          <w:p>
            <w:pPr>
              <w:spacing w:after="0"/>
              <w:rPr>
                <w:sz w:val="19"/>
                <w:szCs w:val="19"/>
                <w:color w:val="auto"/>
              </w:rPr>
            </w:pPr>
          </w:p>
        </w:tc>
        <w:tc>
          <w:tcPr>
            <w:tcW w:w="52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18,000</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14,133</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37,695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30,761</w:t>
            </w:r>
          </w:p>
        </w:tc>
      </w:tr>
      <w:tr>
        <w:trPr>
          <w:trHeight w:val="20"/>
        </w:trPr>
        <w:tc>
          <w:tcPr>
            <w:tcW w:w="40" w:type="dxa"/>
            <w:vAlign w:val="bottom"/>
          </w:tcPr>
          <w:p>
            <w:pPr>
              <w:spacing w:after="0" w:line="20" w:lineRule="exact"/>
              <w:rPr>
                <w:sz w:val="1"/>
                <w:szCs w:val="1"/>
                <w:color w:val="auto"/>
              </w:rPr>
            </w:pPr>
          </w:p>
        </w:tc>
        <w:tc>
          <w:tcPr>
            <w:tcW w:w="52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5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30"/>
        </w:trPr>
        <w:tc>
          <w:tcPr>
            <w:tcW w:w="40" w:type="dxa"/>
            <w:vAlign w:val="bottom"/>
          </w:tcPr>
          <w:p>
            <w:pPr>
              <w:spacing w:after="0"/>
              <w:rPr>
                <w:sz w:val="19"/>
                <w:szCs w:val="19"/>
                <w:color w:val="auto"/>
              </w:rPr>
            </w:pPr>
          </w:p>
        </w:tc>
        <w:tc>
          <w:tcPr>
            <w:tcW w:w="5220" w:type="dxa"/>
            <w:vAlign w:val="bottom"/>
          </w:tcPr>
          <w:p>
            <w:pPr>
              <w:ind w:left="40"/>
              <w:spacing w:after="0"/>
              <w:rPr>
                <w:sz w:val="20"/>
                <w:szCs w:val="20"/>
                <w:color w:val="auto"/>
              </w:rPr>
            </w:pPr>
            <w:r>
              <w:rPr>
                <w:rFonts w:ascii="Arial" w:cs="Arial" w:eastAsia="Arial" w:hAnsi="Arial"/>
                <w:sz w:val="18"/>
                <w:szCs w:val="18"/>
                <w:color w:val="auto"/>
              </w:rPr>
              <w:t>Weighted average number of shares outstanding - basic</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20,814,686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20,986,542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20,861,754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21,010,422</w:t>
            </w:r>
          </w:p>
        </w:tc>
      </w:tr>
      <w:tr>
        <w:trPr>
          <w:trHeight w:val="229"/>
        </w:trPr>
        <w:tc>
          <w:tcPr>
            <w:tcW w:w="40" w:type="dxa"/>
            <w:vAlign w:val="bottom"/>
          </w:tcPr>
          <w:p>
            <w:pPr>
              <w:spacing w:after="0"/>
              <w:rPr>
                <w:sz w:val="19"/>
                <w:szCs w:val="19"/>
                <w:color w:val="auto"/>
              </w:rPr>
            </w:pPr>
          </w:p>
        </w:tc>
        <w:tc>
          <w:tcPr>
            <w:tcW w:w="5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number of shares outstanding - diluted</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20,956,897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21,140,087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21,004,454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21,168,809</w:t>
            </w:r>
          </w:p>
        </w:tc>
      </w:tr>
      <w:tr>
        <w:trPr>
          <w:trHeight w:val="270"/>
        </w:trPr>
        <w:tc>
          <w:tcPr>
            <w:tcW w:w="40" w:type="dxa"/>
            <w:vAlign w:val="bottom"/>
          </w:tcPr>
          <w:p>
            <w:pPr>
              <w:spacing w:after="0"/>
              <w:rPr>
                <w:sz w:val="23"/>
                <w:szCs w:val="23"/>
                <w:color w:val="auto"/>
              </w:rPr>
            </w:pPr>
          </w:p>
        </w:tc>
        <w:tc>
          <w:tcPr>
            <w:tcW w:w="5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29"/>
        </w:trPr>
        <w:tc>
          <w:tcPr>
            <w:tcW w:w="40" w:type="dxa"/>
            <w:vAlign w:val="bottom"/>
          </w:tcPr>
          <w:p>
            <w:pPr>
              <w:spacing w:after="0"/>
              <w:rPr>
                <w:sz w:val="19"/>
                <w:szCs w:val="19"/>
                <w:color w:val="auto"/>
              </w:rPr>
            </w:pPr>
          </w:p>
        </w:tc>
        <w:tc>
          <w:tcPr>
            <w:tcW w:w="5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r>
      <w:tr>
        <w:trPr>
          <w:trHeight w:val="230"/>
        </w:trPr>
        <w:tc>
          <w:tcPr>
            <w:tcW w:w="40" w:type="dxa"/>
            <w:vAlign w:val="bottom"/>
          </w:tcPr>
          <w:p>
            <w:pPr>
              <w:spacing w:after="0"/>
              <w:rPr>
                <w:sz w:val="19"/>
                <w:szCs w:val="19"/>
                <w:color w:val="auto"/>
              </w:rPr>
            </w:pPr>
          </w:p>
        </w:tc>
        <w:tc>
          <w:tcPr>
            <w:tcW w:w="5220" w:type="dxa"/>
            <w:vAlign w:val="bottom"/>
          </w:tcPr>
          <w:p>
            <w:pPr>
              <w:ind w:left="40"/>
              <w:spacing w:after="0"/>
              <w:rPr>
                <w:sz w:val="20"/>
                <w:szCs w:val="20"/>
                <w:color w:val="auto"/>
              </w:rPr>
            </w:pPr>
            <w:r>
              <w:rPr>
                <w:rFonts w:ascii="Arial" w:cs="Arial" w:eastAsia="Arial" w:hAnsi="Arial"/>
                <w:sz w:val="18"/>
                <w:szCs w:val="18"/>
                <w:color w:val="auto"/>
              </w:rPr>
              <w:t>Diluted earnings per share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0.86</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0.67</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270"/>
        </w:trPr>
        <w:tc>
          <w:tcPr>
            <w:tcW w:w="40" w:type="dxa"/>
            <w:vAlign w:val="bottom"/>
          </w:tcPr>
          <w:p>
            <w:pPr>
              <w:spacing w:after="0"/>
              <w:rPr>
                <w:sz w:val="23"/>
                <w:szCs w:val="23"/>
                <w:color w:val="auto"/>
              </w:rPr>
            </w:pPr>
          </w:p>
        </w:tc>
        <w:tc>
          <w:tcPr>
            <w:tcW w:w="52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r>
      <w:tr>
        <w:trPr>
          <w:trHeight w:val="229"/>
        </w:trPr>
        <w:tc>
          <w:tcPr>
            <w:tcW w:w="40" w:type="dxa"/>
            <w:vAlign w:val="bottom"/>
          </w:tcPr>
          <w:p>
            <w:pPr>
              <w:spacing w:after="0"/>
              <w:rPr>
                <w:sz w:val="19"/>
                <w:szCs w:val="19"/>
                <w:color w:val="auto"/>
              </w:rPr>
            </w:pPr>
          </w:p>
        </w:tc>
        <w:tc>
          <w:tcPr>
            <w:tcW w:w="5220" w:type="dxa"/>
            <w:vAlign w:val="bottom"/>
          </w:tcPr>
          <w:p>
            <w:pPr>
              <w:ind w:left="40"/>
              <w:spacing w:after="0"/>
              <w:rPr>
                <w:sz w:val="20"/>
                <w:szCs w:val="20"/>
                <w:color w:val="auto"/>
              </w:rPr>
            </w:pPr>
            <w:r>
              <w:rPr>
                <w:rFonts w:ascii="Arial" w:cs="Arial" w:eastAsia="Arial" w:hAnsi="Arial"/>
                <w:sz w:val="18"/>
                <w:szCs w:val="18"/>
                <w:color w:val="auto"/>
              </w:rPr>
              <w:t>Cash dividends declared per common share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0.1400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0.1300</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0.2800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0.2525</w:t>
            </w:r>
          </w:p>
        </w:tc>
      </w:tr>
    </w:tbl>
    <w:p>
      <w:pPr>
        <w:spacing w:after="0" w:line="256"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886" w:right="71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HAWKINS,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4"/>
          </w:tcPr>
          <w:p>
            <w:pPr>
              <w:jc w:val="right"/>
              <w:ind w:right="577"/>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4"/>
          </w:tcPr>
          <w:p>
            <w:pPr>
              <w:jc w:val="right"/>
              <w:ind w:right="677"/>
              <w:spacing w:after="0"/>
              <w:rPr>
                <w:sz w:val="20"/>
                <w:szCs w:val="20"/>
                <w:color w:val="auto"/>
              </w:rPr>
            </w:pPr>
            <w:r>
              <w:rPr>
                <w:rFonts w:ascii="Arial" w:cs="Arial" w:eastAsia="Arial" w:hAnsi="Arial"/>
                <w:sz w:val="14"/>
                <w:szCs w:val="14"/>
                <w:b w:val="1"/>
                <w:bCs w:val="1"/>
                <w:color w:val="auto"/>
              </w:rPr>
              <w:t>Six Months Ended</w:t>
            </w:r>
          </w:p>
        </w:tc>
      </w:tr>
      <w:tr>
        <w:trPr>
          <w:trHeight w:val="148"/>
        </w:trPr>
        <w:tc>
          <w:tcPr>
            <w:tcW w:w="5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October 2,</w:t>
            </w:r>
          </w:p>
        </w:tc>
        <w:tc>
          <w:tcPr>
            <w:tcW w:w="140" w:type="dxa"/>
            <w:vAlign w:val="bottom"/>
          </w:tcPr>
          <w:p>
            <w:pPr>
              <w:spacing w:after="0"/>
              <w:rPr>
                <w:sz w:val="12"/>
                <w:szCs w:val="12"/>
                <w:color w:val="auto"/>
              </w:rPr>
            </w:pPr>
          </w:p>
        </w:tc>
        <w:tc>
          <w:tcPr>
            <w:tcW w:w="12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September 26,</w:t>
            </w:r>
          </w:p>
        </w:tc>
        <w:tc>
          <w:tcPr>
            <w:tcW w:w="220" w:type="dxa"/>
            <w:vAlign w:val="bottom"/>
          </w:tcPr>
          <w:p>
            <w:pPr>
              <w:spacing w:after="0"/>
              <w:rPr>
                <w:sz w:val="12"/>
                <w:szCs w:val="12"/>
                <w:color w:val="auto"/>
              </w:rPr>
            </w:pPr>
          </w:p>
        </w:tc>
        <w:tc>
          <w:tcPr>
            <w:tcW w:w="12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October 2,</w:t>
            </w:r>
          </w:p>
        </w:tc>
        <w:tc>
          <w:tcPr>
            <w:tcW w:w="140" w:type="dxa"/>
            <w:vAlign w:val="bottom"/>
          </w:tcPr>
          <w:p>
            <w:pPr>
              <w:spacing w:after="0"/>
              <w:rPr>
                <w:sz w:val="12"/>
                <w:szCs w:val="12"/>
                <w:color w:val="auto"/>
              </w:rPr>
            </w:pPr>
          </w:p>
        </w:tc>
        <w:tc>
          <w:tcPr>
            <w:tcW w:w="1180" w:type="dxa"/>
            <w:vAlign w:val="bottom"/>
          </w:tcPr>
          <w:p>
            <w:pPr>
              <w:jc w:val="right"/>
              <w:ind w:right="77"/>
              <w:spacing w:after="0" w:line="149" w:lineRule="exact"/>
              <w:rPr>
                <w:sz w:val="20"/>
                <w:szCs w:val="20"/>
                <w:color w:val="auto"/>
              </w:rPr>
            </w:pPr>
            <w:r>
              <w:rPr>
                <w:rFonts w:ascii="Arial" w:cs="Arial" w:eastAsia="Arial" w:hAnsi="Arial"/>
                <w:sz w:val="14"/>
                <w:szCs w:val="14"/>
                <w:b w:val="1"/>
                <w:bCs w:val="1"/>
                <w:color w:val="auto"/>
              </w:rPr>
              <w:t>September 26,</w:t>
            </w:r>
          </w:p>
        </w:tc>
      </w:tr>
      <w:tr>
        <w:trPr>
          <w:trHeight w:val="189"/>
        </w:trPr>
        <w:tc>
          <w:tcPr>
            <w:tcW w:w="56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2021</w:t>
            </w:r>
          </w:p>
        </w:tc>
      </w:tr>
      <w:tr>
        <w:trPr>
          <w:trHeight w:val="223"/>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37,695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30,761</w:t>
            </w:r>
          </w:p>
        </w:tc>
      </w:tr>
      <w:tr>
        <w:trPr>
          <w:trHeight w:val="229"/>
        </w:trPr>
        <w:tc>
          <w:tcPr>
            <w:tcW w:w="5620" w:type="dxa"/>
            <w:vAlign w:val="bottom"/>
          </w:tcPr>
          <w:p>
            <w:pPr>
              <w:ind w:left="20"/>
              <w:spacing w:after="0"/>
              <w:rPr>
                <w:sz w:val="20"/>
                <w:szCs w:val="20"/>
                <w:color w:val="auto"/>
              </w:rPr>
            </w:pPr>
            <w:r>
              <w:rPr>
                <w:rFonts w:ascii="Arial" w:cs="Arial" w:eastAsia="Arial" w:hAnsi="Arial"/>
                <w:sz w:val="18"/>
                <w:szCs w:val="18"/>
                <w:color w:val="auto"/>
              </w:rPr>
              <w:t>Other comprehensive income, net of tax:</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Unrealized gain on interest rate swap</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620" w:type="dxa"/>
            <w:vAlign w:val="bottom"/>
          </w:tcPr>
          <w:p>
            <w:pPr>
              <w:ind w:left="20"/>
              <w:spacing w:after="0"/>
              <w:rPr>
                <w:sz w:val="20"/>
                <w:szCs w:val="20"/>
                <w:color w:val="auto"/>
              </w:rPr>
            </w:pPr>
            <w:r>
              <w:rPr>
                <w:rFonts w:ascii="Arial" w:cs="Arial" w:eastAsia="Arial" w:hAnsi="Arial"/>
                <w:sz w:val="18"/>
                <w:szCs w:val="18"/>
                <w:color w:val="auto"/>
              </w:rPr>
              <w:t>Total comprehensive income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19,977</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14,133</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40,137</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30,761</w:t>
            </w:r>
          </w:p>
        </w:tc>
      </w:tr>
      <w:tr>
        <w:trPr>
          <w:trHeight w:val="21"/>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HAWKINS,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SHAREHOLDERS’ EQUITY (UNAUDITED)</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 except share data)</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2300" w:type="dxa"/>
            <w:vAlign w:val="bottom"/>
            <w:gridSpan w:val="4"/>
            <w:vMerge w:val="restart"/>
          </w:tcPr>
          <w:p>
            <w:pPr>
              <w:jc w:val="right"/>
              <w:ind w:right="54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Additional</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4"/>
                <w:szCs w:val="14"/>
                <w:color w:val="auto"/>
              </w:rPr>
            </w:pPr>
          </w:p>
        </w:tc>
        <w:tc>
          <w:tcPr>
            <w:tcW w:w="1080" w:type="dxa"/>
            <w:vAlign w:val="bottom"/>
            <w:vMerge w:val="restart"/>
          </w:tcPr>
          <w:p>
            <w:pPr>
              <w:jc w:val="center"/>
              <w:ind w:right="2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0"/>
        </w:trPr>
        <w:tc>
          <w:tcPr>
            <w:tcW w:w="3740" w:type="dxa"/>
            <w:vAlign w:val="bottom"/>
          </w:tcPr>
          <w:p>
            <w:pPr>
              <w:spacing w:after="0"/>
              <w:rPr>
                <w:sz w:val="13"/>
                <w:szCs w:val="13"/>
                <w:color w:val="auto"/>
              </w:rPr>
            </w:pPr>
          </w:p>
        </w:tc>
        <w:tc>
          <w:tcPr>
            <w:tcW w:w="2300" w:type="dxa"/>
            <w:vAlign w:val="bottom"/>
            <w:tcBorders>
              <w:bottom w:val="single" w:sz="8" w:color="auto"/>
            </w:tcBorders>
            <w:gridSpan w:val="4"/>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740" w:type="dxa"/>
            <w:vAlign w:val="bottom"/>
          </w:tcPr>
          <w:p>
            <w:pPr>
              <w:spacing w:after="0"/>
              <w:rPr>
                <w:sz w:val="10"/>
                <w:szCs w:val="10"/>
                <w:color w:val="auto"/>
              </w:rPr>
            </w:pPr>
          </w:p>
        </w:tc>
        <w:tc>
          <w:tcPr>
            <w:tcW w:w="120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0"/>
                <w:szCs w:val="10"/>
                <w:color w:val="auto"/>
              </w:rPr>
            </w:pPr>
          </w:p>
        </w:tc>
        <w:tc>
          <w:tcPr>
            <w:tcW w:w="10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0"/>
                <w:szCs w:val="10"/>
                <w:color w:val="auto"/>
              </w:rPr>
            </w:pPr>
          </w:p>
        </w:tc>
        <w:tc>
          <w:tcPr>
            <w:tcW w:w="1080" w:type="dxa"/>
            <w:vAlign w:val="bottom"/>
            <w:gridSpan w:val="2"/>
          </w:tcPr>
          <w:p>
            <w:pPr>
              <w:jc w:val="center"/>
              <w:ind w:right="280"/>
              <w:spacing w:after="0" w:line="122" w:lineRule="exact"/>
              <w:rPr>
                <w:sz w:val="20"/>
                <w:szCs w:val="20"/>
                <w:color w:val="auto"/>
              </w:rPr>
            </w:pPr>
            <w:r>
              <w:rPr>
                <w:rFonts w:ascii="Arial" w:cs="Arial" w:eastAsia="Arial" w:hAnsi="Arial"/>
                <w:sz w:val="14"/>
                <w:szCs w:val="14"/>
                <w:b w:val="1"/>
                <w:bCs w:val="1"/>
                <w:color w:val="auto"/>
              </w:rPr>
              <w:t>Paid-in</w:t>
            </w:r>
          </w:p>
        </w:tc>
        <w:tc>
          <w:tcPr>
            <w:tcW w:w="220" w:type="dxa"/>
            <w:vAlign w:val="bottom"/>
          </w:tcPr>
          <w:p>
            <w:pPr>
              <w:spacing w:after="0"/>
              <w:rPr>
                <w:sz w:val="10"/>
                <w:szCs w:val="10"/>
                <w:color w:val="auto"/>
              </w:rPr>
            </w:pPr>
          </w:p>
        </w:tc>
        <w:tc>
          <w:tcPr>
            <w:tcW w:w="1020" w:type="dxa"/>
            <w:vAlign w:val="bottom"/>
            <w:gridSpan w:val="2"/>
          </w:tcPr>
          <w:p>
            <w:pPr>
              <w:ind w:left="40"/>
              <w:spacing w:after="0" w:line="122" w:lineRule="exact"/>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0"/>
                <w:szCs w:val="10"/>
                <w:color w:val="auto"/>
              </w:rPr>
            </w:pPr>
          </w:p>
        </w:tc>
        <w:tc>
          <w:tcPr>
            <w:tcW w:w="1320" w:type="dxa"/>
            <w:vAlign w:val="bottom"/>
            <w:gridSpan w:val="2"/>
          </w:tcPr>
          <w:p>
            <w:pPr>
              <w:jc w:val="center"/>
              <w:ind w:right="240"/>
              <w:spacing w:after="0" w:line="122" w:lineRule="exact"/>
              <w:rPr>
                <w:sz w:val="20"/>
                <w:szCs w:val="20"/>
                <w:color w:val="auto"/>
              </w:rPr>
            </w:pPr>
            <w:r>
              <w:rPr>
                <w:rFonts w:ascii="Arial" w:cs="Arial" w:eastAsia="Arial" w:hAnsi="Arial"/>
                <w:sz w:val="14"/>
                <w:szCs w:val="14"/>
                <w:b w:val="1"/>
                <w:bCs w:val="1"/>
                <w:color w:val="auto"/>
              </w:rPr>
              <w:t>Comprehensive</w:t>
            </w:r>
          </w:p>
        </w:tc>
        <w:tc>
          <w:tcPr>
            <w:tcW w:w="100" w:type="dxa"/>
            <w:vAlign w:val="bottom"/>
          </w:tcPr>
          <w:p>
            <w:pPr>
              <w:spacing w:after="0"/>
              <w:rPr>
                <w:sz w:val="10"/>
                <w:szCs w:val="10"/>
                <w:color w:val="auto"/>
              </w:rPr>
            </w:pPr>
          </w:p>
        </w:tc>
        <w:tc>
          <w:tcPr>
            <w:tcW w:w="1080" w:type="dxa"/>
            <w:vAlign w:val="bottom"/>
          </w:tcPr>
          <w:p>
            <w:pPr>
              <w:jc w:val="center"/>
              <w:ind w:right="41"/>
              <w:spacing w:after="0" w:line="122" w:lineRule="exact"/>
              <w:rPr>
                <w:sz w:val="20"/>
                <w:szCs w:val="20"/>
                <w:color w:val="auto"/>
              </w:rPr>
            </w:pPr>
            <w:r>
              <w:rPr>
                <w:rFonts w:ascii="Arial" w:cs="Arial" w:eastAsia="Arial" w:hAnsi="Arial"/>
                <w:sz w:val="14"/>
                <w:szCs w:val="14"/>
                <w:b w:val="1"/>
                <w:bCs w:val="1"/>
                <w:color w:val="auto"/>
              </w:rPr>
              <w:t>Shareholders’</w:t>
            </w:r>
          </w:p>
        </w:tc>
        <w:tc>
          <w:tcPr>
            <w:tcW w:w="0" w:type="dxa"/>
            <w:vAlign w:val="bottom"/>
          </w:tcPr>
          <w:p>
            <w:pPr>
              <w:spacing w:after="0"/>
              <w:rPr>
                <w:sz w:val="1"/>
                <w:szCs w:val="1"/>
                <w:color w:val="auto"/>
              </w:rPr>
            </w:pPr>
          </w:p>
        </w:tc>
      </w:tr>
      <w:tr>
        <w:trPr>
          <w:trHeight w:val="189"/>
        </w:trPr>
        <w:tc>
          <w:tcPr>
            <w:tcW w:w="374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Capital</w:t>
            </w:r>
          </w:p>
        </w:tc>
        <w:tc>
          <w:tcPr>
            <w:tcW w:w="220" w:type="dxa"/>
            <w:vAlign w:val="bottom"/>
          </w:tcPr>
          <w:p>
            <w:pPr>
              <w:spacing w:after="0"/>
              <w:rPr>
                <w:sz w:val="16"/>
                <w:szCs w:val="16"/>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Income (Loss)</w:t>
            </w:r>
          </w:p>
        </w:tc>
        <w:tc>
          <w:tcPr>
            <w:tcW w:w="100" w:type="dxa"/>
            <w:vAlign w:val="bottom"/>
          </w:tcPr>
          <w:p>
            <w:pPr>
              <w:spacing w:after="0"/>
              <w:rPr>
                <w:sz w:val="16"/>
                <w:szCs w:val="16"/>
                <w:color w:val="auto"/>
              </w:rPr>
            </w:pPr>
          </w:p>
        </w:tc>
        <w:tc>
          <w:tcPr>
            <w:tcW w:w="1080" w:type="dxa"/>
            <w:vAlign w:val="bottom"/>
          </w:tcPr>
          <w:p>
            <w:pPr>
              <w:jc w:val="center"/>
              <w:ind w:right="41"/>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31"/>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 April 3, 2022</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20,889,777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46,717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254,384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302,601</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bottom w:val="single" w:sz="8" w:color="CCEEFF"/>
            </w:tcBorders>
            <w:vMerge w:val="restart"/>
          </w:tcPr>
          <w:p>
            <w:pPr>
              <w:ind w:left="360"/>
              <w:spacing w:after="0" w:line="168" w:lineRule="exact"/>
              <w:rPr>
                <w:sz w:val="20"/>
                <w:szCs w:val="20"/>
                <w:color w:val="auto"/>
              </w:rPr>
            </w:pPr>
            <w:r>
              <w:rPr>
                <w:rFonts w:ascii="Arial" w:cs="Arial" w:eastAsia="Arial" w:hAnsi="Arial"/>
                <w:sz w:val="16"/>
                <w:szCs w:val="16"/>
                <w:color w:val="auto"/>
              </w:rPr>
              <w:t>Cash dividends declared and paid ($0.14 per</w:t>
            </w: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74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3740" w:type="dxa"/>
            <w:vAlign w:val="bottom"/>
          </w:tcPr>
          <w:p>
            <w:pPr>
              <w:ind w:left="360"/>
              <w:spacing w:after="0"/>
              <w:rPr>
                <w:sz w:val="20"/>
                <w:szCs w:val="20"/>
                <w:color w:val="auto"/>
              </w:rPr>
            </w:pPr>
            <w:r>
              <w:rPr>
                <w:rFonts w:ascii="Arial" w:cs="Arial" w:eastAsia="Arial" w:hAnsi="Arial"/>
                <w:sz w:val="16"/>
                <w:szCs w:val="16"/>
                <w:color w:val="auto"/>
              </w:rPr>
              <w:t>share)</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(2,958)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(2,958)</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Share-based compensation expense</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595</w:t>
            </w:r>
          </w:p>
        </w:tc>
        <w:tc>
          <w:tcPr>
            <w:tcW w:w="0" w:type="dxa"/>
            <w:vAlign w:val="bottom"/>
          </w:tcPr>
          <w:p>
            <w:pPr>
              <w:spacing w:after="0"/>
              <w:rPr>
                <w:sz w:val="1"/>
                <w:szCs w:val="1"/>
                <w:color w:val="auto"/>
              </w:rPr>
            </w:pPr>
          </w:p>
        </w:tc>
      </w:tr>
      <w:tr>
        <w:trPr>
          <w:trHeight w:val="213"/>
        </w:trPr>
        <w:tc>
          <w:tcPr>
            <w:tcW w:w="3740" w:type="dxa"/>
            <w:vAlign w:val="bottom"/>
          </w:tcPr>
          <w:p>
            <w:pPr>
              <w:ind w:left="360"/>
              <w:spacing w:after="0"/>
              <w:rPr>
                <w:sz w:val="20"/>
                <w:szCs w:val="20"/>
                <w:color w:val="auto"/>
              </w:rPr>
            </w:pPr>
            <w:r>
              <w:rPr>
                <w:rFonts w:ascii="Arial" w:cs="Arial" w:eastAsia="Arial" w:hAnsi="Arial"/>
                <w:sz w:val="16"/>
                <w:szCs w:val="16"/>
                <w:color w:val="auto"/>
              </w:rPr>
              <w:t>Vesting of restricted stock</w:t>
            </w:r>
          </w:p>
        </w:tc>
        <w:tc>
          <w:tcPr>
            <w:tcW w:w="1100" w:type="dxa"/>
            <w:vAlign w:val="bottom"/>
          </w:tcPr>
          <w:p>
            <w:pPr>
              <w:jc w:val="right"/>
              <w:spacing w:after="0"/>
              <w:rPr>
                <w:sz w:val="20"/>
                <w:szCs w:val="20"/>
                <w:color w:val="auto"/>
              </w:rPr>
            </w:pPr>
            <w:r>
              <w:rPr>
                <w:rFonts w:ascii="Arial" w:cs="Arial" w:eastAsia="Arial" w:hAnsi="Arial"/>
                <w:sz w:val="16"/>
                <w:szCs w:val="16"/>
                <w:color w:val="auto"/>
              </w:rPr>
              <w:t>102,860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Shares surrendered for payroll taxes</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(1,550)</w:t>
            </w:r>
          </w:p>
        </w:tc>
        <w:tc>
          <w:tcPr>
            <w:tcW w:w="0" w:type="dxa"/>
            <w:vAlign w:val="bottom"/>
          </w:tcPr>
          <w:p>
            <w:pPr>
              <w:spacing w:after="0"/>
              <w:rPr>
                <w:sz w:val="1"/>
                <w:szCs w:val="1"/>
                <w:color w:val="auto"/>
              </w:rPr>
            </w:pPr>
          </w:p>
        </w:tc>
      </w:tr>
      <w:tr>
        <w:trPr>
          <w:trHeight w:val="213"/>
        </w:trPr>
        <w:tc>
          <w:tcPr>
            <w:tcW w:w="3740" w:type="dxa"/>
            <w:vAlign w:val="bottom"/>
          </w:tcPr>
          <w:p>
            <w:pPr>
              <w:ind w:left="360"/>
              <w:spacing w:after="0"/>
              <w:rPr>
                <w:sz w:val="20"/>
                <w:szCs w:val="20"/>
                <w:color w:val="auto"/>
              </w:rPr>
            </w:pPr>
            <w:r>
              <w:rPr>
                <w:rFonts w:ascii="Arial" w:cs="Arial" w:eastAsia="Arial" w:hAnsi="Arial"/>
                <w:sz w:val="16"/>
                <w:szCs w:val="16"/>
                <w:color w:val="auto"/>
              </w:rPr>
              <w:t>ESPP shares issued</w:t>
            </w:r>
          </w:p>
        </w:tc>
        <w:tc>
          <w:tcPr>
            <w:tcW w:w="1100" w:type="dxa"/>
            <w:vAlign w:val="bottom"/>
          </w:tcPr>
          <w:p>
            <w:pPr>
              <w:jc w:val="right"/>
              <w:spacing w:after="0"/>
              <w:rPr>
                <w:sz w:val="20"/>
                <w:szCs w:val="20"/>
                <w:color w:val="auto"/>
              </w:rPr>
            </w:pPr>
            <w:r>
              <w:rPr>
                <w:rFonts w:ascii="Arial" w:cs="Arial" w:eastAsia="Arial" w:hAnsi="Arial"/>
                <w:sz w:val="16"/>
                <w:szCs w:val="16"/>
                <w:color w:val="auto"/>
              </w:rPr>
              <w:t>32,768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986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986</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Shares repurchased</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(181,657)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(6,555)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(6,557)</w:t>
            </w:r>
          </w:p>
        </w:tc>
        <w:tc>
          <w:tcPr>
            <w:tcW w:w="0" w:type="dxa"/>
            <w:vAlign w:val="bottom"/>
          </w:tcPr>
          <w:p>
            <w:pPr>
              <w:spacing w:after="0"/>
              <w:rPr>
                <w:sz w:val="1"/>
                <w:szCs w:val="1"/>
                <w:color w:val="auto"/>
              </w:rPr>
            </w:pPr>
          </w:p>
        </w:tc>
      </w:tr>
      <w:tr>
        <w:trPr>
          <w:trHeight w:val="213"/>
        </w:trPr>
        <w:tc>
          <w:tcPr>
            <w:tcW w:w="3740" w:type="dxa"/>
            <w:vAlign w:val="bottom"/>
          </w:tcPr>
          <w:p>
            <w:pPr>
              <w:ind w:left="360"/>
              <w:spacing w:after="0"/>
              <w:rPr>
                <w:sz w:val="20"/>
                <w:szCs w:val="20"/>
                <w:color w:val="auto"/>
              </w:rPr>
            </w:pPr>
            <w:r>
              <w:rPr>
                <w:rFonts w:ascii="Arial" w:cs="Arial" w:eastAsia="Arial" w:hAnsi="Arial"/>
                <w:sz w:val="16"/>
                <w:szCs w:val="16"/>
                <w:color w:val="auto"/>
              </w:rPr>
              <w:t>Other comprehensive income, net of tax</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465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465</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income</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19,695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19,695</w:t>
            </w:r>
          </w:p>
        </w:tc>
        <w:tc>
          <w:tcPr>
            <w:tcW w:w="0" w:type="dxa"/>
            <w:vAlign w:val="bottom"/>
          </w:tcPr>
          <w:p>
            <w:pPr>
              <w:spacing w:after="0"/>
              <w:rPr>
                <w:sz w:val="1"/>
                <w:szCs w:val="1"/>
                <w:color w:val="auto"/>
              </w:rPr>
            </w:pPr>
          </w:p>
        </w:tc>
      </w:tr>
      <w:tr>
        <w:trPr>
          <w:trHeight w:val="207"/>
        </w:trPr>
        <w:tc>
          <w:tcPr>
            <w:tcW w:w="3740" w:type="dxa"/>
            <w:vAlign w:val="bottom"/>
          </w:tcPr>
          <w:p>
            <w:pPr>
              <w:ind w:left="20"/>
              <w:spacing w:after="0"/>
              <w:rPr>
                <w:sz w:val="20"/>
                <w:szCs w:val="20"/>
                <w:color w:val="auto"/>
              </w:rPr>
            </w:pPr>
            <w:r>
              <w:rPr>
                <w:rFonts w:ascii="Arial" w:cs="Arial" w:eastAsia="Arial" w:hAnsi="Arial"/>
                <w:sz w:val="16"/>
                <w:szCs w:val="16"/>
                <w:color w:val="auto"/>
              </w:rPr>
              <w:t>BALANCE — July 3, 2022</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20,807,338</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208</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40,192</w:t>
            </w: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271,121</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1,756</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313,277</w:t>
            </w:r>
          </w:p>
        </w:tc>
        <w:tc>
          <w:tcPr>
            <w:tcW w:w="0" w:type="dxa"/>
            <w:vAlign w:val="bottom"/>
          </w:tcPr>
          <w:p>
            <w:pPr>
              <w:spacing w:after="0"/>
              <w:rPr>
                <w:sz w:val="1"/>
                <w:szCs w:val="1"/>
                <w:color w:val="auto"/>
              </w:rPr>
            </w:pPr>
          </w:p>
        </w:tc>
      </w:tr>
      <w:tr>
        <w:trPr>
          <w:trHeight w:val="20"/>
        </w:trPr>
        <w:tc>
          <w:tcPr>
            <w:tcW w:w="37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740" w:type="dxa"/>
            <w:vAlign w:val="bottom"/>
            <w:shd w:val="clear" w:color="auto" w:fill="CCEEFF"/>
          </w:tcPr>
          <w:p>
            <w:pPr>
              <w:ind w:left="360"/>
              <w:spacing w:after="0" w:line="148" w:lineRule="exact"/>
              <w:rPr>
                <w:sz w:val="20"/>
                <w:szCs w:val="20"/>
                <w:color w:val="auto"/>
              </w:rPr>
            </w:pPr>
            <w:r>
              <w:rPr>
                <w:rFonts w:ascii="Arial" w:cs="Arial" w:eastAsia="Arial" w:hAnsi="Arial"/>
                <w:sz w:val="16"/>
                <w:szCs w:val="16"/>
                <w:color w:val="auto"/>
              </w:rPr>
              <w:t>Cash dividends declared and paid ($0.14 per</w:t>
            </w: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37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share)</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(2,942)</w:t>
            </w:r>
          </w:p>
        </w:tc>
        <w:tc>
          <w:tcPr>
            <w:tcW w:w="0" w:type="dxa"/>
            <w:vAlign w:val="bottom"/>
          </w:tcPr>
          <w:p>
            <w:pPr>
              <w:spacing w:after="0"/>
              <w:rPr>
                <w:sz w:val="1"/>
                <w:szCs w:val="1"/>
                <w:color w:val="auto"/>
              </w:rPr>
            </w:pPr>
          </w:p>
        </w:tc>
      </w:tr>
      <w:tr>
        <w:trPr>
          <w:trHeight w:val="213"/>
        </w:trPr>
        <w:tc>
          <w:tcPr>
            <w:tcW w:w="3740" w:type="dxa"/>
            <w:vAlign w:val="bottom"/>
          </w:tcPr>
          <w:p>
            <w:pPr>
              <w:ind w:left="360"/>
              <w:spacing w:after="0"/>
              <w:rPr>
                <w:sz w:val="20"/>
                <w:szCs w:val="20"/>
                <w:color w:val="auto"/>
              </w:rPr>
            </w:pPr>
            <w:r>
              <w:rPr>
                <w:rFonts w:ascii="Arial" w:cs="Arial" w:eastAsia="Arial" w:hAnsi="Arial"/>
                <w:sz w:val="16"/>
                <w:szCs w:val="16"/>
                <w:color w:val="auto"/>
              </w:rPr>
              <w:t>Share-based compensation expense</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1,085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1,085</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Vesting of restricted stock</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10,287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740" w:type="dxa"/>
            <w:vAlign w:val="bottom"/>
          </w:tcPr>
          <w:p>
            <w:pPr>
              <w:ind w:left="360"/>
              <w:spacing w:after="0"/>
              <w:rPr>
                <w:sz w:val="20"/>
                <w:szCs w:val="20"/>
                <w:color w:val="auto"/>
              </w:rPr>
            </w:pPr>
            <w:r>
              <w:rPr>
                <w:rFonts w:ascii="Arial" w:cs="Arial" w:eastAsia="Arial" w:hAnsi="Arial"/>
                <w:sz w:val="16"/>
                <w:szCs w:val="16"/>
                <w:color w:val="auto"/>
              </w:rPr>
              <w:t>ESPP shares issued</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comprehensive income, net of tax</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1,977</w:t>
            </w:r>
          </w:p>
        </w:tc>
        <w:tc>
          <w:tcPr>
            <w:tcW w:w="0" w:type="dxa"/>
            <w:vAlign w:val="bottom"/>
          </w:tcPr>
          <w:p>
            <w:pPr>
              <w:spacing w:after="0"/>
              <w:rPr>
                <w:sz w:val="1"/>
                <w:szCs w:val="1"/>
                <w:color w:val="auto"/>
              </w:rPr>
            </w:pPr>
          </w:p>
        </w:tc>
      </w:tr>
      <w:tr>
        <w:trPr>
          <w:trHeight w:val="213"/>
        </w:trPr>
        <w:tc>
          <w:tcPr>
            <w:tcW w:w="3740" w:type="dxa"/>
            <w:vAlign w:val="bottom"/>
          </w:tcPr>
          <w:p>
            <w:pPr>
              <w:ind w:left="360"/>
              <w:spacing w:after="0"/>
              <w:rPr>
                <w:sz w:val="20"/>
                <w:szCs w:val="20"/>
                <w:color w:val="auto"/>
              </w:rPr>
            </w:pPr>
            <w:r>
              <w:rPr>
                <w:rFonts w:ascii="Arial" w:cs="Arial" w:eastAsia="Arial" w:hAnsi="Arial"/>
                <w:sz w:val="16"/>
                <w:szCs w:val="16"/>
                <w:color w:val="auto"/>
              </w:rPr>
              <w:t>Net income</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18,000</w:t>
            </w:r>
          </w:p>
        </w:tc>
        <w:tc>
          <w:tcPr>
            <w:tcW w:w="0" w:type="dxa"/>
            <w:vAlign w:val="bottom"/>
          </w:tcPr>
          <w:p>
            <w:pPr>
              <w:spacing w:after="0"/>
              <w:rPr>
                <w:sz w:val="1"/>
                <w:szCs w:val="1"/>
                <w:color w:val="auto"/>
              </w:rPr>
            </w:pPr>
          </w:p>
        </w:tc>
      </w:tr>
      <w:tr>
        <w:trPr>
          <w:trHeight w:val="210"/>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 October 2, 2022</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20,817,625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41,294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286,179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3,733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331,414</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3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Additional</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24"/>
                <w:szCs w:val="24"/>
                <w:color w:val="auto"/>
              </w:rPr>
            </w:pPr>
          </w:p>
        </w:tc>
        <w:tc>
          <w:tcPr>
            <w:tcW w:w="1080" w:type="dxa"/>
            <w:vAlign w:val="bottom"/>
            <w:vMerge w:val="restart"/>
          </w:tcPr>
          <w:p>
            <w:pPr>
              <w:jc w:val="center"/>
              <w:ind w:right="2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2300" w:type="dxa"/>
            <w:vAlign w:val="bottom"/>
            <w:gridSpan w:val="4"/>
            <w:vMerge w:val="restart"/>
          </w:tcPr>
          <w:p>
            <w:pPr>
              <w:jc w:val="right"/>
              <w:ind w:right="54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3740" w:type="dxa"/>
            <w:vAlign w:val="bottom"/>
          </w:tcPr>
          <w:p>
            <w:pPr>
              <w:spacing w:after="0"/>
              <w:rPr>
                <w:sz w:val="10"/>
                <w:szCs w:val="10"/>
                <w:color w:val="auto"/>
              </w:rPr>
            </w:pPr>
          </w:p>
        </w:tc>
        <w:tc>
          <w:tcPr>
            <w:tcW w:w="2300" w:type="dxa"/>
            <w:vAlign w:val="bottom"/>
            <w:tcBorders>
              <w:bottom w:val="single" w:sz="8" w:color="auto"/>
            </w:tcBorders>
            <w:gridSpan w:val="4"/>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center"/>
              <w:ind w:right="280"/>
              <w:spacing w:after="0" w:line="116" w:lineRule="exact"/>
              <w:rPr>
                <w:sz w:val="20"/>
                <w:szCs w:val="20"/>
                <w:color w:val="auto"/>
              </w:rPr>
            </w:pPr>
            <w:r>
              <w:rPr>
                <w:rFonts w:ascii="Arial" w:cs="Arial" w:eastAsia="Arial" w:hAnsi="Arial"/>
                <w:sz w:val="13"/>
                <w:szCs w:val="13"/>
                <w:b w:val="1"/>
                <w:bCs w:val="1"/>
                <w:color w:val="auto"/>
              </w:rPr>
              <w:t>Paid-in</w:t>
            </w:r>
          </w:p>
        </w:tc>
        <w:tc>
          <w:tcPr>
            <w:tcW w:w="220" w:type="dxa"/>
            <w:vAlign w:val="bottom"/>
          </w:tcPr>
          <w:p>
            <w:pPr>
              <w:spacing w:after="0"/>
              <w:rPr>
                <w:sz w:val="10"/>
                <w:szCs w:val="10"/>
                <w:color w:val="auto"/>
              </w:rPr>
            </w:pPr>
          </w:p>
        </w:tc>
        <w:tc>
          <w:tcPr>
            <w:tcW w:w="1020" w:type="dxa"/>
            <w:vAlign w:val="bottom"/>
            <w:gridSpan w:val="2"/>
          </w:tcPr>
          <w:p>
            <w:pPr>
              <w:ind w:left="40"/>
              <w:spacing w:after="0" w:line="116" w:lineRule="exact"/>
              <w:rPr>
                <w:sz w:val="20"/>
                <w:szCs w:val="20"/>
                <w:color w:val="auto"/>
              </w:rPr>
            </w:pPr>
            <w:r>
              <w:rPr>
                <w:rFonts w:ascii="Arial" w:cs="Arial" w:eastAsia="Arial" w:hAnsi="Arial"/>
                <w:sz w:val="13"/>
                <w:szCs w:val="13"/>
                <w:b w:val="1"/>
                <w:bCs w:val="1"/>
                <w:color w:val="auto"/>
              </w:rPr>
              <w:t>Retained</w:t>
            </w:r>
          </w:p>
        </w:tc>
        <w:tc>
          <w:tcPr>
            <w:tcW w:w="100" w:type="dxa"/>
            <w:vAlign w:val="bottom"/>
          </w:tcPr>
          <w:p>
            <w:pPr>
              <w:spacing w:after="0"/>
              <w:rPr>
                <w:sz w:val="10"/>
                <w:szCs w:val="10"/>
                <w:color w:val="auto"/>
              </w:rPr>
            </w:pPr>
          </w:p>
        </w:tc>
        <w:tc>
          <w:tcPr>
            <w:tcW w:w="1320" w:type="dxa"/>
            <w:vAlign w:val="bottom"/>
            <w:gridSpan w:val="2"/>
          </w:tcPr>
          <w:p>
            <w:pPr>
              <w:jc w:val="center"/>
              <w:ind w:right="240"/>
              <w:spacing w:after="0" w:line="116" w:lineRule="exact"/>
              <w:rPr>
                <w:sz w:val="20"/>
                <w:szCs w:val="20"/>
                <w:color w:val="auto"/>
              </w:rPr>
            </w:pPr>
            <w:r>
              <w:rPr>
                <w:rFonts w:ascii="Arial" w:cs="Arial" w:eastAsia="Arial" w:hAnsi="Arial"/>
                <w:sz w:val="13"/>
                <w:szCs w:val="13"/>
                <w:b w:val="1"/>
                <w:bCs w:val="1"/>
                <w:color w:val="auto"/>
              </w:rPr>
              <w:t>Comprehensive</w:t>
            </w:r>
          </w:p>
        </w:tc>
        <w:tc>
          <w:tcPr>
            <w:tcW w:w="100" w:type="dxa"/>
            <w:vAlign w:val="bottom"/>
          </w:tcPr>
          <w:p>
            <w:pPr>
              <w:spacing w:after="0"/>
              <w:rPr>
                <w:sz w:val="10"/>
                <w:szCs w:val="10"/>
                <w:color w:val="auto"/>
              </w:rPr>
            </w:pPr>
          </w:p>
        </w:tc>
        <w:tc>
          <w:tcPr>
            <w:tcW w:w="1080" w:type="dxa"/>
            <w:vAlign w:val="bottom"/>
          </w:tcPr>
          <w:p>
            <w:pPr>
              <w:jc w:val="center"/>
              <w:ind w:right="41"/>
              <w:spacing w:after="0" w:line="116" w:lineRule="exact"/>
              <w:rPr>
                <w:sz w:val="20"/>
                <w:szCs w:val="20"/>
                <w:color w:val="auto"/>
              </w:rPr>
            </w:pPr>
            <w:r>
              <w:rPr>
                <w:rFonts w:ascii="Arial" w:cs="Arial" w:eastAsia="Arial" w:hAnsi="Arial"/>
                <w:sz w:val="13"/>
                <w:szCs w:val="13"/>
                <w:b w:val="1"/>
                <w:bCs w:val="1"/>
                <w:color w:val="auto"/>
              </w:rPr>
              <w:t>Shareholders’</w:t>
            </w:r>
          </w:p>
        </w:tc>
        <w:tc>
          <w:tcPr>
            <w:tcW w:w="0" w:type="dxa"/>
            <w:vAlign w:val="bottom"/>
          </w:tcPr>
          <w:p>
            <w:pPr>
              <w:spacing w:after="0"/>
              <w:rPr>
                <w:sz w:val="1"/>
                <w:szCs w:val="1"/>
                <w:color w:val="auto"/>
              </w:rPr>
            </w:pPr>
          </w:p>
        </w:tc>
      </w:tr>
      <w:tr>
        <w:trPr>
          <w:trHeight w:val="202"/>
        </w:trPr>
        <w:tc>
          <w:tcPr>
            <w:tcW w:w="374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rPr>
              <w:t>Capital</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Earnings</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rPr>
              <w:t>Income (Loss)</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26"/>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 March 28, 2021</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20,969,746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51,138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213,898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265,246</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bottom w:val="single" w:sz="8" w:color="CCEEFF"/>
            </w:tcBorders>
            <w:vMerge w:val="restart"/>
          </w:tcPr>
          <w:p>
            <w:pPr>
              <w:ind w:left="360"/>
              <w:spacing w:after="0" w:line="168" w:lineRule="exact"/>
              <w:rPr>
                <w:sz w:val="20"/>
                <w:szCs w:val="20"/>
                <w:color w:val="auto"/>
              </w:rPr>
            </w:pPr>
            <w:r>
              <w:rPr>
                <w:rFonts w:ascii="Arial" w:cs="Arial" w:eastAsia="Arial" w:hAnsi="Arial"/>
                <w:sz w:val="16"/>
                <w:szCs w:val="16"/>
                <w:color w:val="auto"/>
              </w:rPr>
              <w:t>Cash dividends declared and paid ($0.1225</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74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3740" w:type="dxa"/>
            <w:vAlign w:val="bottom"/>
          </w:tcPr>
          <w:p>
            <w:pPr>
              <w:ind w:left="360"/>
              <w:spacing w:after="0"/>
              <w:rPr>
                <w:sz w:val="20"/>
                <w:szCs w:val="20"/>
                <w:color w:val="auto"/>
              </w:rPr>
            </w:pPr>
            <w:r>
              <w:rPr>
                <w:rFonts w:ascii="Arial" w:cs="Arial" w:eastAsia="Arial" w:hAnsi="Arial"/>
                <w:sz w:val="16"/>
                <w:szCs w:val="16"/>
                <w:color w:val="auto"/>
              </w:rPr>
              <w:t>per share)</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(2,600)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(2,600)</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Share-based compensation expense</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799</w:t>
            </w:r>
          </w:p>
        </w:tc>
        <w:tc>
          <w:tcPr>
            <w:tcW w:w="0" w:type="dxa"/>
            <w:vAlign w:val="bottom"/>
          </w:tcPr>
          <w:p>
            <w:pPr>
              <w:spacing w:after="0"/>
              <w:rPr>
                <w:sz w:val="1"/>
                <w:szCs w:val="1"/>
                <w:color w:val="auto"/>
              </w:rPr>
            </w:pPr>
          </w:p>
        </w:tc>
      </w:tr>
      <w:tr>
        <w:trPr>
          <w:trHeight w:val="213"/>
        </w:trPr>
        <w:tc>
          <w:tcPr>
            <w:tcW w:w="3740" w:type="dxa"/>
            <w:vAlign w:val="bottom"/>
          </w:tcPr>
          <w:p>
            <w:pPr>
              <w:ind w:left="360"/>
              <w:spacing w:after="0"/>
              <w:rPr>
                <w:sz w:val="20"/>
                <w:szCs w:val="20"/>
                <w:color w:val="auto"/>
              </w:rPr>
            </w:pPr>
            <w:r>
              <w:rPr>
                <w:rFonts w:ascii="Arial" w:cs="Arial" w:eastAsia="Arial" w:hAnsi="Arial"/>
                <w:sz w:val="16"/>
                <w:szCs w:val="16"/>
                <w:color w:val="auto"/>
              </w:rPr>
              <w:t>Vesting of restricted stock</w:t>
            </w:r>
          </w:p>
        </w:tc>
        <w:tc>
          <w:tcPr>
            <w:tcW w:w="1100" w:type="dxa"/>
            <w:vAlign w:val="bottom"/>
          </w:tcPr>
          <w:p>
            <w:pPr>
              <w:jc w:val="right"/>
              <w:spacing w:after="0"/>
              <w:rPr>
                <w:sz w:val="20"/>
                <w:szCs w:val="20"/>
                <w:color w:val="auto"/>
              </w:rPr>
            </w:pPr>
            <w:r>
              <w:rPr>
                <w:rFonts w:ascii="Arial" w:cs="Arial" w:eastAsia="Arial" w:hAnsi="Arial"/>
                <w:sz w:val="16"/>
                <w:szCs w:val="16"/>
                <w:color w:val="auto"/>
              </w:rPr>
              <w:t>123,002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Shares surrendered for payroll taxes</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(1,467)</w:t>
            </w:r>
          </w:p>
        </w:tc>
        <w:tc>
          <w:tcPr>
            <w:tcW w:w="0" w:type="dxa"/>
            <w:vAlign w:val="bottom"/>
          </w:tcPr>
          <w:p>
            <w:pPr>
              <w:spacing w:after="0"/>
              <w:rPr>
                <w:sz w:val="1"/>
                <w:szCs w:val="1"/>
                <w:color w:val="auto"/>
              </w:rPr>
            </w:pPr>
          </w:p>
        </w:tc>
      </w:tr>
      <w:tr>
        <w:trPr>
          <w:trHeight w:val="213"/>
        </w:trPr>
        <w:tc>
          <w:tcPr>
            <w:tcW w:w="3740" w:type="dxa"/>
            <w:vAlign w:val="bottom"/>
          </w:tcPr>
          <w:p>
            <w:pPr>
              <w:ind w:left="360"/>
              <w:spacing w:after="0"/>
              <w:rPr>
                <w:sz w:val="20"/>
                <w:szCs w:val="20"/>
                <w:color w:val="auto"/>
              </w:rPr>
            </w:pPr>
            <w:r>
              <w:rPr>
                <w:rFonts w:ascii="Arial" w:cs="Arial" w:eastAsia="Arial" w:hAnsi="Arial"/>
                <w:sz w:val="16"/>
                <w:szCs w:val="16"/>
                <w:color w:val="auto"/>
              </w:rPr>
              <w:t>Shares repurchased</w:t>
            </w:r>
          </w:p>
        </w:tc>
        <w:tc>
          <w:tcPr>
            <w:tcW w:w="1100" w:type="dxa"/>
            <w:vAlign w:val="bottom"/>
          </w:tcPr>
          <w:p>
            <w:pPr>
              <w:jc w:val="right"/>
              <w:spacing w:after="0"/>
              <w:rPr>
                <w:sz w:val="20"/>
                <w:szCs w:val="20"/>
                <w:color w:val="auto"/>
              </w:rPr>
            </w:pPr>
            <w:r>
              <w:rPr>
                <w:rFonts w:ascii="Arial" w:cs="Arial" w:eastAsia="Arial" w:hAnsi="Arial"/>
                <w:sz w:val="16"/>
                <w:szCs w:val="16"/>
                <w:color w:val="auto"/>
              </w:rPr>
              <w:t>(100,954)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(3,400)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(3,401)</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income</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16,628</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16,628</w:t>
            </w:r>
          </w:p>
        </w:tc>
        <w:tc>
          <w:tcPr>
            <w:tcW w:w="0" w:type="dxa"/>
            <w:vAlign w:val="bottom"/>
          </w:tcPr>
          <w:p>
            <w:pPr>
              <w:spacing w:after="0"/>
              <w:rPr>
                <w:sz w:val="1"/>
                <w:szCs w:val="1"/>
                <w:color w:val="auto"/>
              </w:rPr>
            </w:pPr>
          </w:p>
        </w:tc>
      </w:tr>
      <w:tr>
        <w:trPr>
          <w:trHeight w:val="207"/>
        </w:trPr>
        <w:tc>
          <w:tcPr>
            <w:tcW w:w="3740" w:type="dxa"/>
            <w:vAlign w:val="bottom"/>
          </w:tcPr>
          <w:p>
            <w:pPr>
              <w:ind w:left="20"/>
              <w:spacing w:after="0"/>
              <w:rPr>
                <w:sz w:val="20"/>
                <w:szCs w:val="20"/>
                <w:color w:val="auto"/>
              </w:rPr>
            </w:pPr>
            <w:r>
              <w:rPr>
                <w:rFonts w:ascii="Arial" w:cs="Arial" w:eastAsia="Arial" w:hAnsi="Arial"/>
                <w:sz w:val="16"/>
                <w:szCs w:val="16"/>
                <w:color w:val="auto"/>
              </w:rPr>
              <w:t>BALANCE — June 27, 2021</w:t>
            </w:r>
          </w:p>
        </w:tc>
        <w:tc>
          <w:tcPr>
            <w:tcW w:w="1100" w:type="dxa"/>
            <w:vAlign w:val="bottom"/>
          </w:tcPr>
          <w:p>
            <w:pPr>
              <w:jc w:val="right"/>
              <w:spacing w:after="0"/>
              <w:rPr>
                <w:sz w:val="20"/>
                <w:szCs w:val="20"/>
                <w:color w:val="auto"/>
              </w:rPr>
            </w:pPr>
            <w:r>
              <w:rPr>
                <w:rFonts w:ascii="Arial" w:cs="Arial" w:eastAsia="Arial" w:hAnsi="Arial"/>
                <w:sz w:val="16"/>
                <w:szCs w:val="16"/>
                <w:color w:val="auto"/>
              </w:rPr>
              <w:t>20,946,404</w:t>
            </w:r>
          </w:p>
        </w:tc>
        <w:tc>
          <w:tcPr>
            <w:tcW w:w="10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210</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47,069</w:t>
            </w:r>
          </w:p>
        </w:tc>
        <w:tc>
          <w:tcPr>
            <w:tcW w:w="120" w:type="dxa"/>
            <w:vAlign w:val="bottom"/>
          </w:tcPr>
          <w:p>
            <w:pPr>
              <w:spacing w:after="0"/>
              <w:rPr>
                <w:sz w:val="17"/>
                <w:szCs w:val="17"/>
                <w:color w:val="auto"/>
              </w:rPr>
            </w:pP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227,926</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275,205</w:t>
            </w:r>
          </w:p>
        </w:tc>
        <w:tc>
          <w:tcPr>
            <w:tcW w:w="0" w:type="dxa"/>
            <w:vAlign w:val="bottom"/>
          </w:tcPr>
          <w:p>
            <w:pPr>
              <w:spacing w:after="0"/>
              <w:rPr>
                <w:sz w:val="1"/>
                <w:szCs w:val="1"/>
                <w:color w:val="auto"/>
              </w:rPr>
            </w:pPr>
          </w:p>
        </w:tc>
      </w:tr>
      <w:tr>
        <w:trPr>
          <w:trHeight w:val="20"/>
        </w:trPr>
        <w:tc>
          <w:tcPr>
            <w:tcW w:w="374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740" w:type="dxa"/>
            <w:vAlign w:val="bottom"/>
            <w:shd w:val="clear" w:color="auto" w:fill="CCEEFF"/>
          </w:tcPr>
          <w:p>
            <w:pPr>
              <w:ind w:left="360"/>
              <w:spacing w:after="0" w:line="148" w:lineRule="exact"/>
              <w:rPr>
                <w:sz w:val="20"/>
                <w:szCs w:val="20"/>
                <w:color w:val="auto"/>
              </w:rPr>
            </w:pPr>
            <w:r>
              <w:rPr>
                <w:rFonts w:ascii="Arial" w:cs="Arial" w:eastAsia="Arial" w:hAnsi="Arial"/>
                <w:sz w:val="16"/>
                <w:szCs w:val="16"/>
                <w:color w:val="auto"/>
              </w:rPr>
              <w:t>Cash dividends declared and paid ($0.13 per</w:t>
            </w: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37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share)</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(2,756)</w:t>
            </w:r>
          </w:p>
        </w:tc>
        <w:tc>
          <w:tcPr>
            <w:tcW w:w="0" w:type="dxa"/>
            <w:vAlign w:val="bottom"/>
          </w:tcPr>
          <w:p>
            <w:pPr>
              <w:spacing w:after="0"/>
              <w:rPr>
                <w:sz w:val="1"/>
                <w:szCs w:val="1"/>
                <w:color w:val="auto"/>
              </w:rPr>
            </w:pPr>
          </w:p>
        </w:tc>
      </w:tr>
      <w:tr>
        <w:trPr>
          <w:trHeight w:val="213"/>
        </w:trPr>
        <w:tc>
          <w:tcPr>
            <w:tcW w:w="3740" w:type="dxa"/>
            <w:vAlign w:val="bottom"/>
          </w:tcPr>
          <w:p>
            <w:pPr>
              <w:ind w:left="360"/>
              <w:spacing w:after="0"/>
              <w:rPr>
                <w:sz w:val="20"/>
                <w:szCs w:val="20"/>
                <w:color w:val="auto"/>
              </w:rPr>
            </w:pPr>
            <w:r>
              <w:rPr>
                <w:rFonts w:ascii="Arial" w:cs="Arial" w:eastAsia="Arial" w:hAnsi="Arial"/>
                <w:sz w:val="16"/>
                <w:szCs w:val="16"/>
                <w:color w:val="auto"/>
              </w:rPr>
              <w:t>Share-based compensation expense</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862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862</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Vesting of restricted stock</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740" w:type="dxa"/>
            <w:vAlign w:val="bottom"/>
          </w:tcPr>
          <w:p>
            <w:pPr>
              <w:ind w:left="360"/>
              <w:spacing w:after="0"/>
              <w:rPr>
                <w:sz w:val="20"/>
                <w:szCs w:val="20"/>
                <w:color w:val="auto"/>
              </w:rPr>
            </w:pPr>
            <w:r>
              <w:rPr>
                <w:rFonts w:ascii="Arial" w:cs="Arial" w:eastAsia="Arial" w:hAnsi="Arial"/>
                <w:sz w:val="16"/>
                <w:szCs w:val="16"/>
                <w:color w:val="auto"/>
              </w:rPr>
              <w:t>ESPP shares issued</w:t>
            </w:r>
          </w:p>
        </w:tc>
        <w:tc>
          <w:tcPr>
            <w:tcW w:w="1100" w:type="dxa"/>
            <w:vAlign w:val="bottom"/>
          </w:tcPr>
          <w:p>
            <w:pPr>
              <w:jc w:val="right"/>
              <w:spacing w:after="0"/>
              <w:rPr>
                <w:sz w:val="20"/>
                <w:szCs w:val="20"/>
                <w:color w:val="auto"/>
              </w:rPr>
            </w:pPr>
            <w:r>
              <w:rPr>
                <w:rFonts w:ascii="Arial" w:cs="Arial" w:eastAsia="Arial" w:hAnsi="Arial"/>
                <w:sz w:val="16"/>
                <w:szCs w:val="16"/>
                <w:color w:val="auto"/>
              </w:rPr>
              <w:t>40,300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889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889</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Shares repurchased</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(109,009)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(4,020)</w:t>
            </w:r>
          </w:p>
        </w:tc>
        <w:tc>
          <w:tcPr>
            <w:tcW w:w="0" w:type="dxa"/>
            <w:vAlign w:val="bottom"/>
          </w:tcPr>
          <w:p>
            <w:pPr>
              <w:spacing w:after="0"/>
              <w:rPr>
                <w:sz w:val="1"/>
                <w:szCs w:val="1"/>
                <w:color w:val="auto"/>
              </w:rPr>
            </w:pPr>
          </w:p>
        </w:tc>
      </w:tr>
      <w:tr>
        <w:trPr>
          <w:trHeight w:val="213"/>
        </w:trPr>
        <w:tc>
          <w:tcPr>
            <w:tcW w:w="37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Net income</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14,133</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14,133</w:t>
            </w:r>
          </w:p>
        </w:tc>
        <w:tc>
          <w:tcPr>
            <w:tcW w:w="0" w:type="dxa"/>
            <w:vAlign w:val="bottom"/>
          </w:tcPr>
          <w:p>
            <w:pPr>
              <w:spacing w:after="0"/>
              <w:rPr>
                <w:sz w:val="1"/>
                <w:szCs w:val="1"/>
                <w:color w:val="auto"/>
              </w:rPr>
            </w:pPr>
          </w:p>
        </w:tc>
      </w:tr>
      <w:tr>
        <w:trPr>
          <w:trHeight w:val="229"/>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 September 26, 2021</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20,888,923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44,801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239,303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284,313</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HAWKINS,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0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4"/>
          </w:tcPr>
          <w:p>
            <w:pPr>
              <w:jc w:val="right"/>
              <w:ind w:right="819"/>
              <w:spacing w:after="0"/>
              <w:rPr>
                <w:sz w:val="20"/>
                <w:szCs w:val="20"/>
                <w:color w:val="auto"/>
              </w:rPr>
            </w:pPr>
            <w:r>
              <w:rPr>
                <w:rFonts w:ascii="Arial" w:cs="Arial" w:eastAsia="Arial" w:hAnsi="Arial"/>
                <w:sz w:val="16"/>
                <w:szCs w:val="16"/>
                <w:b w:val="1"/>
                <w:bCs w:val="1"/>
                <w:color w:val="auto"/>
              </w:rPr>
              <w:t>Six Months Ended</w:t>
            </w:r>
          </w:p>
        </w:tc>
      </w:tr>
      <w:tr>
        <w:trPr>
          <w:trHeight w:val="158"/>
        </w:trPr>
        <w:tc>
          <w:tcPr>
            <w:tcW w:w="8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2"/>
          </w:tcPr>
          <w:p>
            <w:pPr>
              <w:ind w:left="160"/>
              <w:spacing w:after="0" w:line="158" w:lineRule="exact"/>
              <w:rPr>
                <w:sz w:val="20"/>
                <w:szCs w:val="20"/>
                <w:color w:val="auto"/>
              </w:rPr>
            </w:pPr>
            <w:r>
              <w:rPr>
                <w:rFonts w:ascii="Arial" w:cs="Arial" w:eastAsia="Arial" w:hAnsi="Arial"/>
                <w:sz w:val="16"/>
                <w:szCs w:val="16"/>
                <w:b w:val="1"/>
                <w:bCs w:val="1"/>
                <w:color w:val="auto"/>
              </w:rPr>
              <w:t>October 2,</w:t>
            </w:r>
          </w:p>
        </w:tc>
        <w:tc>
          <w:tcPr>
            <w:tcW w:w="140" w:type="dxa"/>
            <w:vAlign w:val="bottom"/>
          </w:tcPr>
          <w:p>
            <w:pPr>
              <w:spacing w:after="0"/>
              <w:rPr>
                <w:sz w:val="13"/>
                <w:szCs w:val="13"/>
                <w:color w:val="auto"/>
              </w:rPr>
            </w:pPr>
          </w:p>
        </w:tc>
        <w:tc>
          <w:tcPr>
            <w:tcW w:w="1340" w:type="dxa"/>
            <w:vAlign w:val="bottom"/>
          </w:tcPr>
          <w:p>
            <w:pPr>
              <w:jc w:val="right"/>
              <w:ind w:right="99"/>
              <w:spacing w:after="0" w:line="158" w:lineRule="exact"/>
              <w:rPr>
                <w:sz w:val="20"/>
                <w:szCs w:val="20"/>
                <w:color w:val="auto"/>
              </w:rPr>
            </w:pPr>
            <w:r>
              <w:rPr>
                <w:rFonts w:ascii="Arial" w:cs="Arial" w:eastAsia="Arial" w:hAnsi="Arial"/>
                <w:sz w:val="16"/>
                <w:szCs w:val="16"/>
                <w:b w:val="1"/>
                <w:bCs w:val="1"/>
                <w:color w:val="auto"/>
              </w:rPr>
              <w:t>September 26,</w:t>
            </w:r>
          </w:p>
        </w:tc>
      </w:tr>
      <w:tr>
        <w:trPr>
          <w:trHeight w:val="215"/>
        </w:trPr>
        <w:tc>
          <w:tcPr>
            <w:tcW w:w="80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r>
      <w:tr>
        <w:trPr>
          <w:trHeight w:val="197"/>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13"/>
        </w:trPr>
        <w:tc>
          <w:tcPr>
            <w:tcW w:w="8060" w:type="dxa"/>
            <w:vAlign w:val="bottom"/>
          </w:tcPr>
          <w:p>
            <w:pPr>
              <w:ind w:left="360"/>
              <w:spacing w:after="0"/>
              <w:rPr>
                <w:sz w:val="20"/>
                <w:szCs w:val="20"/>
                <w:color w:val="auto"/>
              </w:rPr>
            </w:pPr>
            <w:r>
              <w:rPr>
                <w:rFonts w:ascii="Arial" w:cs="Arial" w:eastAsia="Arial" w:hAnsi="Arial"/>
                <w:sz w:val="16"/>
                <w:szCs w:val="16"/>
                <w:color w:val="auto"/>
              </w:rPr>
              <w:t>Net income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37,695</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30,761</w:t>
            </w:r>
          </w:p>
        </w:tc>
      </w:tr>
      <w:tr>
        <w:trPr>
          <w:trHeight w:val="219"/>
        </w:trPr>
        <w:tc>
          <w:tcPr>
            <w:tcW w:w="8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Reconciliation to cash flows: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13"/>
        </w:trPr>
        <w:tc>
          <w:tcPr>
            <w:tcW w:w="8060" w:type="dxa"/>
            <w:vAlign w:val="bottom"/>
          </w:tcPr>
          <w:p>
            <w:pPr>
              <w:ind w:left="68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13,371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11,889</w:t>
            </w:r>
          </w:p>
        </w:tc>
      </w:tr>
      <w:tr>
        <w:trPr>
          <w:trHeight w:val="219"/>
        </w:trPr>
        <w:tc>
          <w:tcPr>
            <w:tcW w:w="80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Operating leases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948</w:t>
            </w:r>
          </w:p>
        </w:tc>
      </w:tr>
      <w:tr>
        <w:trPr>
          <w:trHeight w:val="213"/>
        </w:trPr>
        <w:tc>
          <w:tcPr>
            <w:tcW w:w="8060" w:type="dxa"/>
            <w:vAlign w:val="bottom"/>
          </w:tcPr>
          <w:p>
            <w:pPr>
              <w:ind w:left="680"/>
              <w:spacing w:after="0"/>
              <w:rPr>
                <w:sz w:val="20"/>
                <w:szCs w:val="20"/>
                <w:color w:val="auto"/>
              </w:rPr>
            </w:pPr>
            <w:r>
              <w:rPr>
                <w:rFonts w:ascii="Arial" w:cs="Arial" w:eastAsia="Arial" w:hAnsi="Arial"/>
                <w:sz w:val="16"/>
                <w:szCs w:val="16"/>
                <w:color w:val="auto"/>
              </w:rPr>
              <w:t>Loss (Gain) on deferred compensation assets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1,208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(416)</w:t>
            </w:r>
          </w:p>
        </w:tc>
      </w:tr>
      <w:tr>
        <w:trPr>
          <w:trHeight w:val="219"/>
        </w:trPr>
        <w:tc>
          <w:tcPr>
            <w:tcW w:w="80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Stock compensation expense</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1,661</w:t>
            </w:r>
          </w:p>
        </w:tc>
      </w:tr>
      <w:tr>
        <w:trPr>
          <w:trHeight w:val="213"/>
        </w:trPr>
        <w:tc>
          <w:tcPr>
            <w:tcW w:w="8060" w:type="dxa"/>
            <w:vAlign w:val="bottom"/>
          </w:tcPr>
          <w:p>
            <w:pPr>
              <w:ind w:left="680"/>
              <w:spacing w:after="0"/>
              <w:rPr>
                <w:sz w:val="20"/>
                <w:szCs w:val="20"/>
                <w:color w:val="auto"/>
              </w:rPr>
            </w:pPr>
            <w:r>
              <w:rPr>
                <w:rFonts w:ascii="Arial" w:cs="Arial" w:eastAsia="Arial" w:hAnsi="Arial"/>
                <w:sz w:val="16"/>
                <w:szCs w:val="16"/>
                <w:color w:val="auto"/>
              </w:rPr>
              <w:t>Other</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187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54</w:t>
            </w:r>
          </w:p>
        </w:tc>
      </w:tr>
      <w:tr>
        <w:trPr>
          <w:trHeight w:val="219"/>
        </w:trPr>
        <w:tc>
          <w:tcPr>
            <w:tcW w:w="80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Changes in operating accounts providing (using) cash:</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13"/>
        </w:trPr>
        <w:tc>
          <w:tcPr>
            <w:tcW w:w="8060" w:type="dxa"/>
            <w:vAlign w:val="bottom"/>
          </w:tcPr>
          <w:p>
            <w:pPr>
              <w:ind w:left="1120"/>
              <w:spacing w:after="0"/>
              <w:rPr>
                <w:sz w:val="20"/>
                <w:szCs w:val="20"/>
                <w:color w:val="auto"/>
              </w:rPr>
            </w:pPr>
            <w:r>
              <w:rPr>
                <w:rFonts w:ascii="Arial" w:cs="Arial" w:eastAsia="Arial" w:hAnsi="Arial"/>
                <w:sz w:val="16"/>
                <w:szCs w:val="16"/>
                <w:color w:val="auto"/>
              </w:rPr>
              <w:t>Trade receivables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(8,481)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596</w:t>
            </w:r>
          </w:p>
        </w:tc>
      </w:tr>
      <w:tr>
        <w:trPr>
          <w:trHeight w:val="219"/>
        </w:trPr>
        <w:tc>
          <w:tcPr>
            <w:tcW w:w="806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Inventories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(18,077)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(6,458)</w:t>
            </w:r>
          </w:p>
        </w:tc>
      </w:tr>
      <w:tr>
        <w:trPr>
          <w:trHeight w:val="213"/>
        </w:trPr>
        <w:tc>
          <w:tcPr>
            <w:tcW w:w="8060" w:type="dxa"/>
            <w:vAlign w:val="bottom"/>
          </w:tcPr>
          <w:p>
            <w:pPr>
              <w:ind w:left="1120"/>
              <w:spacing w:after="0"/>
              <w:rPr>
                <w:sz w:val="20"/>
                <w:szCs w:val="20"/>
                <w:color w:val="auto"/>
              </w:rPr>
            </w:pPr>
            <w:r>
              <w:rPr>
                <w:rFonts w:ascii="Arial" w:cs="Arial" w:eastAsia="Arial" w:hAnsi="Arial"/>
                <w:sz w:val="16"/>
                <w:szCs w:val="16"/>
                <w:color w:val="auto"/>
              </w:rPr>
              <w:t>Accounts payable</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(4,609)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5,116</w:t>
            </w:r>
          </w:p>
        </w:tc>
      </w:tr>
      <w:tr>
        <w:trPr>
          <w:trHeight w:val="219"/>
        </w:trPr>
        <w:tc>
          <w:tcPr>
            <w:tcW w:w="806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Accrued liabilities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(5,392)</w:t>
            </w:r>
          </w:p>
        </w:tc>
      </w:tr>
      <w:tr>
        <w:trPr>
          <w:trHeight w:val="213"/>
        </w:trPr>
        <w:tc>
          <w:tcPr>
            <w:tcW w:w="8060" w:type="dxa"/>
            <w:vAlign w:val="bottom"/>
          </w:tcPr>
          <w:p>
            <w:pPr>
              <w:ind w:left="1120"/>
              <w:spacing w:after="0"/>
              <w:rPr>
                <w:sz w:val="20"/>
                <w:szCs w:val="20"/>
                <w:color w:val="auto"/>
              </w:rPr>
            </w:pPr>
            <w:r>
              <w:rPr>
                <w:rFonts w:ascii="Arial" w:cs="Arial" w:eastAsia="Arial" w:hAnsi="Arial"/>
                <w:sz w:val="16"/>
                <w:szCs w:val="16"/>
                <w:color w:val="auto"/>
              </w:rPr>
              <w:t>Lease liabilities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(972)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(991)</w:t>
            </w:r>
          </w:p>
        </w:tc>
      </w:tr>
      <w:tr>
        <w:trPr>
          <w:trHeight w:val="219"/>
        </w:trPr>
        <w:tc>
          <w:tcPr>
            <w:tcW w:w="806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Income taxes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1,053</w:t>
            </w:r>
          </w:p>
        </w:tc>
      </w:tr>
      <w:tr>
        <w:trPr>
          <w:trHeight w:val="213"/>
        </w:trPr>
        <w:tc>
          <w:tcPr>
            <w:tcW w:w="8060" w:type="dxa"/>
            <w:vAlign w:val="bottom"/>
            <w:tcBorders>
              <w:bottom w:val="single" w:sz="8" w:color="CCEEFF"/>
            </w:tcBorders>
          </w:tcPr>
          <w:p>
            <w:pPr>
              <w:ind w:left="112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2,425</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1,261</w:t>
            </w:r>
          </w:p>
        </w:tc>
      </w:tr>
      <w:tr>
        <w:trPr>
          <w:trHeight w:val="212"/>
        </w:trPr>
        <w:tc>
          <w:tcPr>
            <w:tcW w:w="8060" w:type="dxa"/>
            <w:vAlign w:val="bottom"/>
            <w:shd w:val="clear" w:color="auto" w:fill="CCEEFF"/>
          </w:tcPr>
          <w:p>
            <w:pPr>
              <w:ind w:left="1440"/>
              <w:spacing w:after="0"/>
              <w:rPr>
                <w:sz w:val="20"/>
                <w:szCs w:val="20"/>
                <w:color w:val="auto"/>
              </w:rPr>
            </w:pPr>
            <w:r>
              <w:rPr>
                <w:rFonts w:ascii="Arial" w:cs="Arial" w:eastAsia="Arial" w:hAnsi="Arial"/>
                <w:sz w:val="16"/>
                <w:szCs w:val="16"/>
                <w:color w:val="auto"/>
              </w:rPr>
              <w:t>Net cash provided by operating activities</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18,803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40,082</w:t>
            </w:r>
          </w:p>
        </w:tc>
      </w:tr>
      <w:tr>
        <w:trPr>
          <w:trHeight w:val="213"/>
        </w:trPr>
        <w:tc>
          <w:tcPr>
            <w:tcW w:w="806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9"/>
        </w:trPr>
        <w:tc>
          <w:tcPr>
            <w:tcW w:w="8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Purchases of property, plant, and equipment</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(20,668)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(6,904)</w:t>
            </w:r>
          </w:p>
        </w:tc>
      </w:tr>
      <w:tr>
        <w:trPr>
          <w:trHeight w:val="213"/>
        </w:trPr>
        <w:tc>
          <w:tcPr>
            <w:tcW w:w="8060" w:type="dxa"/>
            <w:vAlign w:val="bottom"/>
          </w:tcPr>
          <w:p>
            <w:pPr>
              <w:ind w:left="360"/>
              <w:spacing w:after="0"/>
              <w:rPr>
                <w:sz w:val="20"/>
                <w:szCs w:val="20"/>
                <w:color w:val="auto"/>
              </w:rPr>
            </w:pPr>
            <w:r>
              <w:rPr>
                <w:rFonts w:ascii="Arial" w:cs="Arial" w:eastAsia="Arial" w:hAnsi="Arial"/>
                <w:sz w:val="16"/>
                <w:szCs w:val="16"/>
                <w:color w:val="auto"/>
              </w:rPr>
              <w:t>Acquisitions</w:t>
            </w:r>
          </w:p>
        </w:tc>
        <w:tc>
          <w:tcPr>
            <w:tcW w:w="24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(1,200)</w:t>
            </w:r>
          </w:p>
        </w:tc>
      </w:tr>
      <w:tr>
        <w:trPr>
          <w:trHeight w:val="219"/>
        </w:trPr>
        <w:tc>
          <w:tcPr>
            <w:tcW w:w="8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w:t>
            </w:r>
          </w:p>
        </w:tc>
      </w:tr>
      <w:tr>
        <w:trPr>
          <w:trHeight w:val="206"/>
        </w:trPr>
        <w:tc>
          <w:tcPr>
            <w:tcW w:w="8060" w:type="dxa"/>
            <w:vAlign w:val="bottom"/>
          </w:tcPr>
          <w:p>
            <w:pPr>
              <w:ind w:left="1440"/>
              <w:spacing w:after="0"/>
              <w:rPr>
                <w:sz w:val="20"/>
                <w:szCs w:val="20"/>
                <w:color w:val="auto"/>
              </w:rPr>
            </w:pPr>
            <w:r>
              <w:rPr>
                <w:rFonts w:ascii="Arial" w:cs="Arial" w:eastAsia="Arial" w:hAnsi="Arial"/>
                <w:sz w:val="16"/>
                <w:szCs w:val="16"/>
                <w:color w:val="auto"/>
              </w:rPr>
              <w:t>Net cash used in investing activities</w:t>
            </w:r>
          </w:p>
        </w:tc>
        <w:tc>
          <w:tcPr>
            <w:tcW w:w="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(20,372)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(7,923)</w:t>
            </w:r>
          </w:p>
        </w:tc>
      </w:tr>
      <w:tr>
        <w:trPr>
          <w:trHeight w:val="21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13"/>
        </w:trPr>
        <w:tc>
          <w:tcPr>
            <w:tcW w:w="8060" w:type="dxa"/>
            <w:vAlign w:val="bottom"/>
          </w:tcPr>
          <w:p>
            <w:pPr>
              <w:ind w:left="360"/>
              <w:spacing w:after="0"/>
              <w:rPr>
                <w:sz w:val="20"/>
                <w:szCs w:val="20"/>
                <w:color w:val="auto"/>
              </w:rPr>
            </w:pPr>
            <w:r>
              <w:rPr>
                <w:rFonts w:ascii="Arial" w:cs="Arial" w:eastAsia="Arial" w:hAnsi="Arial"/>
                <w:sz w:val="16"/>
                <w:szCs w:val="16"/>
                <w:color w:val="auto"/>
              </w:rPr>
              <w:t>Cash dividends declared and paid</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(5,900)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(5,356)</w:t>
            </w:r>
          </w:p>
        </w:tc>
      </w:tr>
      <w:tr>
        <w:trPr>
          <w:trHeight w:val="219"/>
        </w:trPr>
        <w:tc>
          <w:tcPr>
            <w:tcW w:w="8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New shares issued</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889</w:t>
            </w:r>
          </w:p>
        </w:tc>
      </w:tr>
      <w:tr>
        <w:trPr>
          <w:trHeight w:val="213"/>
        </w:trPr>
        <w:tc>
          <w:tcPr>
            <w:tcW w:w="8060" w:type="dxa"/>
            <w:vAlign w:val="bottom"/>
          </w:tcPr>
          <w:p>
            <w:pPr>
              <w:ind w:left="360"/>
              <w:spacing w:after="0"/>
              <w:rPr>
                <w:sz w:val="20"/>
                <w:szCs w:val="20"/>
                <w:color w:val="auto"/>
              </w:rPr>
            </w:pPr>
            <w:r>
              <w:rPr>
                <w:rFonts w:ascii="Arial" w:cs="Arial" w:eastAsia="Arial" w:hAnsi="Arial"/>
                <w:sz w:val="16"/>
                <w:szCs w:val="16"/>
                <w:color w:val="auto"/>
              </w:rPr>
              <w:t>Payroll taxes paid in exchange for shares withheld</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(1,550)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(1,467)</w:t>
            </w:r>
          </w:p>
        </w:tc>
      </w:tr>
      <w:tr>
        <w:trPr>
          <w:trHeight w:val="219"/>
        </w:trPr>
        <w:tc>
          <w:tcPr>
            <w:tcW w:w="8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Shares repurchased</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(6,557)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(7,421)</w:t>
            </w:r>
          </w:p>
        </w:tc>
      </w:tr>
      <w:tr>
        <w:trPr>
          <w:trHeight w:val="213"/>
        </w:trPr>
        <w:tc>
          <w:tcPr>
            <w:tcW w:w="8060" w:type="dxa"/>
            <w:vAlign w:val="bottom"/>
          </w:tcPr>
          <w:p>
            <w:pPr>
              <w:ind w:left="360"/>
              <w:spacing w:after="0"/>
              <w:rPr>
                <w:sz w:val="20"/>
                <w:szCs w:val="20"/>
                <w:color w:val="auto"/>
              </w:rPr>
            </w:pPr>
            <w:r>
              <w:rPr>
                <w:rFonts w:ascii="Arial" w:cs="Arial" w:eastAsia="Arial" w:hAnsi="Arial"/>
                <w:sz w:val="16"/>
                <w:szCs w:val="16"/>
                <w:color w:val="auto"/>
              </w:rPr>
              <w:t>Payments on revolving loan</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(30,000)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(15,000)</w:t>
            </w:r>
          </w:p>
        </w:tc>
      </w:tr>
      <w:tr>
        <w:trPr>
          <w:trHeight w:val="219"/>
        </w:trPr>
        <w:tc>
          <w:tcPr>
            <w:tcW w:w="8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Proceeds from revolving loan borrowings</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45,000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8060" w:type="dxa"/>
            <w:vAlign w:val="bottom"/>
            <w:tcBorders>
              <w:bottom w:val="single" w:sz="8" w:color="CCEEFF"/>
            </w:tcBorders>
          </w:tcPr>
          <w:p>
            <w:pPr>
              <w:ind w:left="1440"/>
              <w:spacing w:after="0"/>
              <w:rPr>
                <w:sz w:val="20"/>
                <w:szCs w:val="20"/>
                <w:color w:val="auto"/>
              </w:rPr>
            </w:pPr>
            <w:r>
              <w:rPr>
                <w:rFonts w:ascii="Arial" w:cs="Arial" w:eastAsia="Arial" w:hAnsi="Arial"/>
                <w:sz w:val="16"/>
                <w:szCs w:val="16"/>
                <w:color w:val="auto"/>
              </w:rPr>
              <w:t>Net cash provided by (used in) financing activities</w:t>
            </w: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1,997</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(28,355)</w:t>
            </w:r>
          </w:p>
        </w:tc>
      </w:tr>
      <w:tr>
        <w:trPr>
          <w:trHeight w:val="213"/>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IN CASH AND CASH EQUIVALENTS</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3,804</w:t>
            </w:r>
          </w:p>
        </w:tc>
      </w:tr>
      <w:tr>
        <w:trPr>
          <w:trHeight w:val="213"/>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BEGINNING OF PERIOD</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3,496</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2,998</w:t>
            </w:r>
          </w:p>
        </w:tc>
      </w:tr>
      <w:tr>
        <w:trPr>
          <w:trHeight w:val="234"/>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END OF PERIOD</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3,924</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6,802</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166"/>
        </w:trPr>
        <w:tc>
          <w:tcPr>
            <w:tcW w:w="8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21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SUPPLEMENTAL DISCLOSURES OF CASH FLOW INFORMATION</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3"/>
        </w:trPr>
        <w:tc>
          <w:tcPr>
            <w:tcW w:w="8060" w:type="dxa"/>
            <w:vAlign w:val="bottom"/>
          </w:tcPr>
          <w:p>
            <w:pPr>
              <w:ind w:left="360"/>
              <w:spacing w:after="0"/>
              <w:rPr>
                <w:sz w:val="20"/>
                <w:szCs w:val="20"/>
                <w:color w:val="auto"/>
              </w:rPr>
            </w:pPr>
            <w:r>
              <w:rPr>
                <w:rFonts w:ascii="Arial" w:cs="Arial" w:eastAsia="Arial" w:hAnsi="Arial"/>
                <w:sz w:val="16"/>
                <w:szCs w:val="16"/>
                <w:color w:val="auto"/>
              </w:rPr>
              <w:t>Cash paid for income taxes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11,148</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9,650</w:t>
            </w:r>
          </w:p>
        </w:tc>
      </w:tr>
      <w:tr>
        <w:trPr>
          <w:trHeight w:val="219"/>
        </w:trPr>
        <w:tc>
          <w:tcPr>
            <w:tcW w:w="8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paid for interest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563</w:t>
            </w:r>
          </w:p>
        </w:tc>
      </w:tr>
      <w:tr>
        <w:trPr>
          <w:trHeight w:val="210"/>
        </w:trPr>
        <w:tc>
          <w:tcPr>
            <w:tcW w:w="8060" w:type="dxa"/>
            <w:vAlign w:val="bottom"/>
          </w:tcPr>
          <w:p>
            <w:pPr>
              <w:ind w:left="360"/>
              <w:spacing w:after="0"/>
              <w:rPr>
                <w:sz w:val="20"/>
                <w:szCs w:val="20"/>
                <w:color w:val="auto"/>
              </w:rPr>
            </w:pPr>
            <w:r>
              <w:rPr>
                <w:rFonts w:ascii="Arial" w:cs="Arial" w:eastAsia="Arial" w:hAnsi="Arial"/>
                <w:sz w:val="16"/>
                <w:szCs w:val="16"/>
                <w:color w:val="auto"/>
              </w:rPr>
              <w:t>Noncash investing activities - capital expenditures in accounts payable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2,535</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1,076</w:t>
            </w:r>
          </w:p>
        </w:tc>
      </w:tr>
    </w:tbl>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HAWKINS,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Summary of Significant Accounting Policies</w:t>
      </w:r>
    </w:p>
    <w:p>
      <w:pPr>
        <w:spacing w:after="0" w:line="252" w:lineRule="exact"/>
        <w:rPr>
          <w:sz w:val="20"/>
          <w:szCs w:val="20"/>
          <w:color w:val="auto"/>
        </w:rPr>
      </w:pPr>
    </w:p>
    <w:p>
      <w:pPr>
        <w:ind w:right="60"/>
        <w:spacing w:after="0" w:line="255" w:lineRule="auto"/>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Basis of Presentation. </w:t>
      </w:r>
      <w:r>
        <w:rPr>
          <w:rFonts w:ascii="Arial" w:cs="Arial" w:eastAsia="Arial" w:hAnsi="Arial"/>
          <w:sz w:val="18"/>
          <w:szCs w:val="18"/>
          <w:color w:val="auto"/>
        </w:rPr>
        <w:t>The accompanying unaudited condensed consolidated financial statements have been prepared in accordance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the instructions for Form 10-Q and, accordingly, do not include all information and footnotes required by generally accepted accounting principles for complete financial statements. These financial statements should be read in conjunction with the consolidated financial statements and footnotes included in our </w:t>
      </w:r>
      <w:hyperlink r:id="rId18">
        <w:r>
          <w:rPr>
            <w:rFonts w:ascii="Arial" w:cs="Arial" w:eastAsia="Arial" w:hAnsi="Arial"/>
            <w:sz w:val="18"/>
            <w:szCs w:val="18"/>
            <w:u w:val="single" w:color="auto"/>
            <w:color w:val="0000FF"/>
          </w:rPr>
          <w:t>Annual Report on Form 10-K for the fiscal year ended April 3, 2022</w:t>
        </w:r>
      </w:hyperlink>
      <w:r>
        <w:rPr>
          <w:rFonts w:ascii="Arial" w:cs="Arial" w:eastAsia="Arial" w:hAnsi="Arial"/>
          <w:sz w:val="18"/>
          <w:szCs w:val="18"/>
          <w:color w:val="auto"/>
        </w:rPr>
        <w:t>, previously filed with the Securities and Exchange Commission (“SEC”). In the opinion of management, the accompanying unaudited condensed consolidated financial statements contain all adjustments necessary to present fairly our financial position and the results of our operations and cash flows for the periods presented. All adjustments made to the interim condensed consolidated financial statements were of a normal recurring nature. All significant intercompany accounts and transactions have been eliminated in consolidation. The results of operations for the six months ended October 2, 2022 are not necessarily indicative of the results that may be expected for the full year.</w:t>
      </w:r>
    </w:p>
    <w:p>
      <w:pPr>
        <w:spacing w:after="0" w:line="95"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References to fiscal 2022 refer to the fiscal year ended April 3, 2022 and references to fiscal 2023 refer to the fiscal year ending April 2, 2023.</w:t>
      </w:r>
    </w:p>
    <w:p>
      <w:pPr>
        <w:spacing w:after="0" w:line="6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b w:val="1"/>
          <w:bCs w:val="1"/>
          <w:i w:val="1"/>
          <w:iCs w:val="1"/>
          <w:color w:val="auto"/>
        </w:rPr>
        <w:t xml:space="preserve">Use of Estimates. </w:t>
      </w:r>
      <w:r>
        <w:rPr>
          <w:rFonts w:ascii="Arial" w:cs="Arial" w:eastAsia="Arial" w:hAnsi="Arial"/>
          <w:sz w:val="18"/>
          <w:szCs w:val="18"/>
          <w:color w:val="auto"/>
        </w:rPr>
        <w:t>The preparation of condensed consolidated financial statements in conformity with accounting principles generally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accepted in the United States requires management to make estimates and assumptions that affect the reported amounts of assets and liabilities, particularly receivables, inventories, property, plant and equipment, right-of-use assets, goodwill, intangibles, accrued expenses, short-term and long-term lease liability, income taxes and related accounts and the reported amounts of revenues and expenses during the reporting period. Actual results could differ from those estimates.</w:t>
      </w:r>
    </w:p>
    <w:p>
      <w:pPr>
        <w:spacing w:after="0" w:line="71" w:lineRule="exact"/>
        <w:rPr>
          <w:sz w:val="20"/>
          <w:szCs w:val="20"/>
          <w:color w:val="auto"/>
        </w:rPr>
      </w:pPr>
    </w:p>
    <w:p>
      <w:pPr>
        <w:ind w:right="200"/>
        <w:spacing w:after="0" w:line="268" w:lineRule="auto"/>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Accounting Policies. </w:t>
      </w:r>
      <w:r>
        <w:rPr>
          <w:rFonts w:ascii="Arial" w:cs="Arial" w:eastAsia="Arial" w:hAnsi="Arial"/>
          <w:sz w:val="18"/>
          <w:szCs w:val="18"/>
          <w:color w:val="auto"/>
        </w:rPr>
        <w:t>The accounting policies we follow are set forth in Note 1 – Nature of Business and Significant Accounting Policies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our consolidated financial statements in our </w:t>
      </w:r>
      <w:hyperlink r:id="rId18">
        <w:r>
          <w:rPr>
            <w:rFonts w:ascii="Arial" w:cs="Arial" w:eastAsia="Arial" w:hAnsi="Arial"/>
            <w:sz w:val="18"/>
            <w:szCs w:val="18"/>
            <w:u w:val="single" w:color="auto"/>
            <w:color w:val="0000FF"/>
          </w:rPr>
          <w:t>Annual Report on Form 10-K for the fiscal year ended April 3, 2022</w:t>
        </w:r>
      </w:hyperlink>
      <w:r>
        <w:rPr>
          <w:rFonts w:ascii="Arial" w:cs="Arial" w:eastAsia="Arial" w:hAnsi="Arial"/>
          <w:sz w:val="18"/>
          <w:szCs w:val="18"/>
          <w:color w:val="auto"/>
        </w:rPr>
        <w:t>, previously filed with the SEC. There has been no significant change in our accounting policies since the end of fiscal 2022.</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Acquisitions</w:t>
      </w:r>
    </w:p>
    <w:p>
      <w:pPr>
        <w:spacing w:after="0" w:line="1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Acquisition of NAPCO Chemical Company, Inc.: </w:t>
      </w:r>
      <w:r>
        <w:rPr>
          <w:rFonts w:ascii="Arial" w:cs="Arial" w:eastAsia="Arial" w:hAnsi="Arial"/>
          <w:sz w:val="18"/>
          <w:szCs w:val="18"/>
          <w:color w:val="auto"/>
        </w:rPr>
        <w:t>In the fourth quarter of fiscal 2022, we acquired substantially all the assets of NAPCO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Chemical Company, Inc. ("NAPCO") for $19.0 million, under the terms of an asset purchase agreement with NAPCO and certain other parties thereto, to further the geographic reach of our Water Treatment segment. NAPCO manufactured and distributed water treatment chemicals from three locations in Texas. The results of operations since the acquisition date, and the assets, including the goodwill associated with this acquisition, are included in our Water Treatment segment. Costs associated with this transaction were not material and were expensed as incurred.</w:t>
      </w:r>
    </w:p>
    <w:p>
      <w:pPr>
        <w:spacing w:after="0" w:line="7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color w:val="auto"/>
        </w:rPr>
        <w:t xml:space="preserve">Acquisition of Water and Waste Specialties, Inc.: </w:t>
      </w:r>
      <w:r>
        <w:rPr>
          <w:rFonts w:ascii="Arial" w:cs="Arial" w:eastAsia="Arial" w:hAnsi="Arial"/>
          <w:sz w:val="18"/>
          <w:szCs w:val="18"/>
          <w:color w:val="auto"/>
        </w:rPr>
        <w:t>In the third quarter of fiscal 2022, we acquired substantially all the assets of Water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Waste Specialties, Inc. for $1.4 million, under the terms of a purchase agreement with Water and Waste Specialties and its shareholders. Water and Waste Specialties was a water treatment chemical distribution company operating primarily in Alabama. The results of operations since the acquisition date, and the assets, including the goodwill associated with this acquisition, are included in our Water Treatment segment. Costs associated with this transaction were not material and were expensed as incurred.</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Acquisition of Southeast Water Systems LLC: </w:t>
      </w:r>
      <w:r>
        <w:rPr>
          <w:rFonts w:ascii="Arial" w:cs="Arial" w:eastAsia="Arial" w:hAnsi="Arial"/>
          <w:sz w:val="18"/>
          <w:szCs w:val="18"/>
          <w:color w:val="auto"/>
        </w:rPr>
        <w:t>In the second quarter of fiscal 2022, we acquired substantially all the assets of Southeast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Water Systems LLC, under the terms of an asset purchase agreement with Southeast Water Systems and its shareholders. We paid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$1.2 million at closing for the acquisition and may pay up to an additional $1.0 million over the next three years based on achieving certain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goals. Southeast Water Systems supplied and installed water treatment chemical equipment to its customers located primarily in Alabama,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southern Georgia and the Florida panhandle. The results of operations since the acquisition date, and the assets, including the goodwill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associated with this acquisition, are included in our Water Treatment segment. Costs associated with this transaction were not material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were expensed as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Note 3 - Revenue</w:t>
      </w:r>
    </w:p>
    <w:p>
      <w:pPr>
        <w:spacing w:after="0" w:line="139"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Our revenue arrangements generally consist of a single performance obligation to transfer promised goods or services. We disaggregate revenues from contracts with customers by operating segments as well as types of products sold. Reporting by operating segment is pertinent to understanding our revenues, as it aligns to how we review the financial performance of our operations. Types of products sold within each operating segment help us to further evaluate the financial performance of our segments. The following tables disaggregate external customer net sales by major revenue stream for the three and six months ended October 2, 2022 and September 26, 2021: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5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420" w:type="dxa"/>
            <w:vAlign w:val="bottom"/>
            <w:tcBorders>
              <w:bottom w:val="single" w:sz="8" w:color="auto"/>
            </w:tcBorders>
            <w:gridSpan w:val="9"/>
          </w:tcPr>
          <w:p>
            <w:pPr>
              <w:jc w:val="right"/>
              <w:ind w:right="110"/>
              <w:spacing w:after="0"/>
              <w:rPr>
                <w:sz w:val="20"/>
                <w:szCs w:val="20"/>
                <w:color w:val="auto"/>
              </w:rPr>
            </w:pPr>
            <w:r>
              <w:rPr>
                <w:rFonts w:ascii="Arial" w:cs="Arial" w:eastAsia="Arial" w:hAnsi="Arial"/>
                <w:sz w:val="18"/>
                <w:szCs w:val="18"/>
                <w:b w:val="1"/>
                <w:bCs w:val="1"/>
                <w:color w:val="auto"/>
              </w:rPr>
              <w:t>Three months ended October 2, 2022</w:t>
            </w: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Industrial</w:t>
            </w:r>
          </w:p>
        </w:tc>
        <w:tc>
          <w:tcPr>
            <w:tcW w:w="180" w:type="dxa"/>
            <w:vAlign w:val="bottom"/>
          </w:tcPr>
          <w:p>
            <w:pPr>
              <w:spacing w:after="0"/>
              <w:rPr>
                <w:sz w:val="14"/>
                <w:szCs w:val="14"/>
                <w:color w:val="auto"/>
              </w:rPr>
            </w:pPr>
          </w:p>
        </w:tc>
        <w:tc>
          <w:tcPr>
            <w:tcW w:w="1280" w:type="dxa"/>
            <w:vAlign w:val="bottom"/>
            <w:gridSpan w:val="2"/>
          </w:tcPr>
          <w:p>
            <w:pPr>
              <w:ind w:left="220"/>
              <w:spacing w:after="0" w:line="169" w:lineRule="exact"/>
              <w:rPr>
                <w:sz w:val="20"/>
                <w:szCs w:val="20"/>
                <w:color w:val="auto"/>
              </w:rPr>
            </w:pPr>
            <w:r>
              <w:rPr>
                <w:rFonts w:ascii="Arial" w:cs="Arial" w:eastAsia="Arial" w:hAnsi="Arial"/>
                <w:sz w:val="18"/>
                <w:szCs w:val="18"/>
                <w:b w:val="1"/>
                <w:bCs w:val="1"/>
                <w:color w:val="auto"/>
              </w:rPr>
              <w:t>Water</w:t>
            </w:r>
          </w:p>
        </w:tc>
        <w:tc>
          <w:tcPr>
            <w:tcW w:w="140" w:type="dxa"/>
            <w:vAlign w:val="bottom"/>
          </w:tcPr>
          <w:p>
            <w:pPr>
              <w:spacing w:after="0"/>
              <w:rPr>
                <w:sz w:val="14"/>
                <w:szCs w:val="14"/>
                <w:color w:val="auto"/>
              </w:rPr>
            </w:pPr>
          </w:p>
        </w:tc>
        <w:tc>
          <w:tcPr>
            <w:tcW w:w="1280" w:type="dxa"/>
            <w:vAlign w:val="bottom"/>
            <w:gridSpan w:val="2"/>
          </w:tcPr>
          <w:p>
            <w:pPr>
              <w:jc w:val="center"/>
              <w:ind w:right="320"/>
              <w:spacing w:after="0" w:line="169" w:lineRule="exact"/>
              <w:rPr>
                <w:sz w:val="20"/>
                <w:szCs w:val="20"/>
                <w:color w:val="auto"/>
              </w:rPr>
            </w:pPr>
            <w:r>
              <w:rPr>
                <w:rFonts w:ascii="Arial" w:cs="Arial" w:eastAsia="Arial" w:hAnsi="Arial"/>
                <w:sz w:val="18"/>
                <w:szCs w:val="18"/>
                <w:b w:val="1"/>
                <w:bCs w:val="1"/>
                <w:color w:val="auto"/>
                <w:w w:val="99"/>
              </w:rPr>
              <w:t>Health and</w:t>
            </w:r>
          </w:p>
        </w:tc>
        <w:tc>
          <w:tcPr>
            <w:tcW w:w="300" w:type="dxa"/>
            <w:vAlign w:val="bottom"/>
          </w:tcPr>
          <w:p>
            <w:pPr>
              <w:spacing w:after="0"/>
              <w:rPr>
                <w:sz w:val="14"/>
                <w:szCs w:val="14"/>
                <w:color w:val="auto"/>
              </w:rPr>
            </w:pPr>
          </w:p>
        </w:tc>
        <w:tc>
          <w:tcPr>
            <w:tcW w:w="104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3"/>
        </w:trPr>
        <w:tc>
          <w:tcPr>
            <w:tcW w:w="55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21"/>
                <w:szCs w:val="21"/>
                <w:color w:val="auto"/>
              </w:rPr>
            </w:pPr>
          </w:p>
        </w:tc>
        <w:tc>
          <w:tcPr>
            <w:tcW w:w="124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b w:val="1"/>
                <w:bCs w:val="1"/>
                <w:color w:val="auto"/>
              </w:rPr>
              <w:t>Treatment</w:t>
            </w:r>
          </w:p>
        </w:tc>
        <w:tc>
          <w:tcPr>
            <w:tcW w:w="140" w:type="dxa"/>
            <w:vAlign w:val="bottom"/>
          </w:tcPr>
          <w:p>
            <w:pPr>
              <w:spacing w:after="0"/>
              <w:rPr>
                <w:sz w:val="21"/>
                <w:szCs w:val="21"/>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8"/>
              </w:rPr>
              <w:t>Nutrition</w:t>
            </w:r>
          </w:p>
        </w:tc>
        <w:tc>
          <w:tcPr>
            <w:tcW w:w="30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560" w:type="dxa"/>
            <w:vAlign w:val="bottom"/>
            <w:tcBorders>
              <w:top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Manufactured, blended or repackaged products </w:t>
            </w:r>
            <w:r>
              <w:rPr>
                <w:rFonts w:ascii="Arial" w:cs="Arial" w:eastAsia="Arial" w:hAnsi="Arial"/>
                <w:sz w:val="23"/>
                <w:szCs w:val="23"/>
                <w:color w:val="auto"/>
                <w:vertAlign w:val="superscript"/>
              </w:rPr>
              <w:t>(1)</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93,548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77,172</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11,736</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182,456</w:t>
            </w:r>
          </w:p>
        </w:tc>
        <w:tc>
          <w:tcPr>
            <w:tcW w:w="0" w:type="dxa"/>
            <w:vAlign w:val="bottom"/>
          </w:tcPr>
          <w:p>
            <w:pPr>
              <w:spacing w:after="0"/>
              <w:rPr>
                <w:sz w:val="1"/>
                <w:szCs w:val="1"/>
                <w:color w:val="auto"/>
              </w:rPr>
            </w:pPr>
          </w:p>
        </w:tc>
      </w:tr>
      <w:tr>
        <w:trPr>
          <w:trHeight w:val="229"/>
        </w:trPr>
        <w:tc>
          <w:tcPr>
            <w:tcW w:w="55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Distributed specialty products </w:t>
            </w:r>
            <w:r>
              <w:rPr>
                <w:rFonts w:ascii="Arial" w:cs="Arial" w:eastAsia="Arial" w:hAnsi="Arial"/>
                <w:sz w:val="23"/>
                <w:szCs w:val="23"/>
                <w:color w:val="auto"/>
                <w:vertAlign w:val="superscript"/>
              </w:rPr>
              <w:t>(2)</w:t>
            </w: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28,677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28,677</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Bulk products </w:t>
            </w:r>
            <w:r>
              <w:rPr>
                <w:rFonts w:ascii="Arial" w:cs="Arial" w:eastAsia="Arial" w:hAnsi="Arial"/>
                <w:sz w:val="23"/>
                <w:szCs w:val="23"/>
                <w:color w:val="auto"/>
                <w:vertAlign w:val="superscript"/>
              </w:rPr>
              <w:t>(3)</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25,852</w:t>
            </w:r>
          </w:p>
        </w:tc>
        <w:tc>
          <w:tcPr>
            <w:tcW w:w="0" w:type="dxa"/>
            <w:vAlign w:val="bottom"/>
          </w:tcPr>
          <w:p>
            <w:pPr>
              <w:spacing w:after="0"/>
              <w:rPr>
                <w:sz w:val="1"/>
                <w:szCs w:val="1"/>
                <w:color w:val="auto"/>
              </w:rPr>
            </w:pPr>
          </w:p>
        </w:tc>
      </w:tr>
      <w:tr>
        <w:trPr>
          <w:trHeight w:val="229"/>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4,207</w:t>
            </w:r>
          </w:p>
        </w:tc>
        <w:tc>
          <w:tcPr>
            <w:tcW w:w="0" w:type="dxa"/>
            <w:vAlign w:val="bottom"/>
          </w:tcPr>
          <w:p>
            <w:pPr>
              <w:spacing w:after="0"/>
              <w:rPr>
                <w:sz w:val="1"/>
                <w:szCs w:val="1"/>
                <w:color w:val="auto"/>
              </w:rPr>
            </w:pPr>
          </w:p>
        </w:tc>
      </w:tr>
      <w:tr>
        <w:trPr>
          <w:trHeight w:val="248"/>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external customer sales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113,939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86,488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241,192</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5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480" w:type="dxa"/>
            <w:vAlign w:val="bottom"/>
            <w:tcBorders>
              <w:bottom w:val="single" w:sz="8" w:color="auto"/>
            </w:tcBorders>
            <w:gridSpan w:val="9"/>
          </w:tcPr>
          <w:p>
            <w:pPr>
              <w:jc w:val="right"/>
              <w:ind w:right="10"/>
              <w:spacing w:after="0"/>
              <w:rPr>
                <w:sz w:val="20"/>
                <w:szCs w:val="20"/>
                <w:color w:val="auto"/>
              </w:rPr>
            </w:pPr>
            <w:r>
              <w:rPr>
                <w:rFonts w:ascii="Arial" w:cs="Arial" w:eastAsia="Arial" w:hAnsi="Arial"/>
                <w:sz w:val="18"/>
                <w:szCs w:val="18"/>
                <w:b w:val="1"/>
                <w:bCs w:val="1"/>
                <w:color w:val="auto"/>
              </w:rPr>
              <w:t>Three months ended September 26, 2021</w:t>
            </w: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Industrial</w:t>
            </w:r>
          </w:p>
        </w:tc>
        <w:tc>
          <w:tcPr>
            <w:tcW w:w="180" w:type="dxa"/>
            <w:vAlign w:val="bottom"/>
          </w:tcPr>
          <w:p>
            <w:pPr>
              <w:spacing w:after="0"/>
              <w:rPr>
                <w:sz w:val="14"/>
                <w:szCs w:val="14"/>
                <w:color w:val="auto"/>
              </w:rPr>
            </w:pPr>
          </w:p>
        </w:tc>
        <w:tc>
          <w:tcPr>
            <w:tcW w:w="1280" w:type="dxa"/>
            <w:vAlign w:val="bottom"/>
            <w:gridSpan w:val="2"/>
          </w:tcPr>
          <w:p>
            <w:pPr>
              <w:ind w:left="220"/>
              <w:spacing w:after="0" w:line="169" w:lineRule="exact"/>
              <w:rPr>
                <w:sz w:val="20"/>
                <w:szCs w:val="20"/>
                <w:color w:val="auto"/>
              </w:rPr>
            </w:pPr>
            <w:r>
              <w:rPr>
                <w:rFonts w:ascii="Arial" w:cs="Arial" w:eastAsia="Arial" w:hAnsi="Arial"/>
                <w:sz w:val="18"/>
                <w:szCs w:val="18"/>
                <w:b w:val="1"/>
                <w:bCs w:val="1"/>
                <w:color w:val="auto"/>
              </w:rPr>
              <w:t>Water</w:t>
            </w:r>
          </w:p>
        </w:tc>
        <w:tc>
          <w:tcPr>
            <w:tcW w:w="140" w:type="dxa"/>
            <w:vAlign w:val="bottom"/>
          </w:tcPr>
          <w:p>
            <w:pPr>
              <w:spacing w:after="0"/>
              <w:rPr>
                <w:sz w:val="14"/>
                <w:szCs w:val="14"/>
                <w:color w:val="auto"/>
              </w:rPr>
            </w:pPr>
          </w:p>
        </w:tc>
        <w:tc>
          <w:tcPr>
            <w:tcW w:w="1280" w:type="dxa"/>
            <w:vAlign w:val="bottom"/>
            <w:gridSpan w:val="2"/>
          </w:tcPr>
          <w:p>
            <w:pPr>
              <w:jc w:val="center"/>
              <w:ind w:right="320"/>
              <w:spacing w:after="0" w:line="169" w:lineRule="exact"/>
              <w:rPr>
                <w:sz w:val="20"/>
                <w:szCs w:val="20"/>
                <w:color w:val="auto"/>
              </w:rPr>
            </w:pPr>
            <w:r>
              <w:rPr>
                <w:rFonts w:ascii="Arial" w:cs="Arial" w:eastAsia="Arial" w:hAnsi="Arial"/>
                <w:sz w:val="18"/>
                <w:szCs w:val="18"/>
                <w:b w:val="1"/>
                <w:bCs w:val="1"/>
                <w:color w:val="auto"/>
                <w:w w:val="99"/>
              </w:rPr>
              <w:t>Health and</w:t>
            </w:r>
          </w:p>
        </w:tc>
        <w:tc>
          <w:tcPr>
            <w:tcW w:w="360" w:type="dxa"/>
            <w:vAlign w:val="bottom"/>
          </w:tcPr>
          <w:p>
            <w:pPr>
              <w:spacing w:after="0"/>
              <w:rPr>
                <w:sz w:val="14"/>
                <w:szCs w:val="14"/>
                <w:color w:val="auto"/>
              </w:rPr>
            </w:pPr>
          </w:p>
        </w:tc>
        <w:tc>
          <w:tcPr>
            <w:tcW w:w="98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3"/>
        </w:trPr>
        <w:tc>
          <w:tcPr>
            <w:tcW w:w="55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21"/>
                <w:szCs w:val="21"/>
                <w:color w:val="auto"/>
              </w:rPr>
            </w:pPr>
          </w:p>
        </w:tc>
        <w:tc>
          <w:tcPr>
            <w:tcW w:w="124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b w:val="1"/>
                <w:bCs w:val="1"/>
                <w:color w:val="auto"/>
              </w:rPr>
              <w:t>Treatment</w:t>
            </w:r>
          </w:p>
        </w:tc>
        <w:tc>
          <w:tcPr>
            <w:tcW w:w="140" w:type="dxa"/>
            <w:vAlign w:val="bottom"/>
          </w:tcPr>
          <w:p>
            <w:pPr>
              <w:spacing w:after="0"/>
              <w:rPr>
                <w:sz w:val="21"/>
                <w:szCs w:val="21"/>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8"/>
              </w:rPr>
              <w:t>Nutrition</w:t>
            </w:r>
          </w:p>
        </w:tc>
        <w:tc>
          <w:tcPr>
            <w:tcW w:w="360" w:type="dxa"/>
            <w:vAlign w:val="bottom"/>
          </w:tcPr>
          <w:p>
            <w:pPr>
              <w:spacing w:after="0"/>
              <w:rPr>
                <w:sz w:val="21"/>
                <w:szCs w:val="21"/>
                <w:color w:val="auto"/>
              </w:rPr>
            </w:pPr>
          </w:p>
        </w:tc>
        <w:tc>
          <w:tcPr>
            <w:tcW w:w="9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560" w:type="dxa"/>
            <w:vAlign w:val="bottom"/>
            <w:tcBorders>
              <w:top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Manufactured, blended or repackaged products </w:t>
            </w:r>
            <w:r>
              <w:rPr>
                <w:rFonts w:ascii="Arial" w:cs="Arial" w:eastAsia="Arial" w:hAnsi="Arial"/>
                <w:sz w:val="23"/>
                <w:szCs w:val="23"/>
                <w:color w:val="auto"/>
                <w:vertAlign w:val="superscript"/>
              </w:rPr>
              <w:t>(1)</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68,150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56,373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7,883</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132,406</w:t>
            </w:r>
          </w:p>
        </w:tc>
        <w:tc>
          <w:tcPr>
            <w:tcW w:w="0" w:type="dxa"/>
            <w:vAlign w:val="bottom"/>
          </w:tcPr>
          <w:p>
            <w:pPr>
              <w:spacing w:after="0"/>
              <w:rPr>
                <w:sz w:val="1"/>
                <w:szCs w:val="1"/>
                <w:color w:val="auto"/>
              </w:rPr>
            </w:pPr>
          </w:p>
        </w:tc>
      </w:tr>
      <w:tr>
        <w:trPr>
          <w:trHeight w:val="229"/>
        </w:trPr>
        <w:tc>
          <w:tcPr>
            <w:tcW w:w="55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Distributed specialty products </w:t>
            </w:r>
            <w:r>
              <w:rPr>
                <w:rFonts w:ascii="Arial" w:cs="Arial" w:eastAsia="Arial" w:hAnsi="Arial"/>
                <w:sz w:val="23"/>
                <w:szCs w:val="23"/>
                <w:color w:val="auto"/>
                <w:vertAlign w:val="superscript"/>
              </w:rPr>
              <w:t>(2)</w:t>
            </w: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30,062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30,062</w:t>
            </w: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Bulk products </w:t>
            </w:r>
            <w:r>
              <w:rPr>
                <w:rFonts w:ascii="Arial" w:cs="Arial" w:eastAsia="Arial" w:hAnsi="Arial"/>
                <w:sz w:val="23"/>
                <w:szCs w:val="23"/>
                <w:color w:val="auto"/>
                <w:vertAlign w:val="superscript"/>
              </w:rPr>
              <w:t>(3)</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18,905</w:t>
            </w:r>
          </w:p>
        </w:tc>
        <w:tc>
          <w:tcPr>
            <w:tcW w:w="0" w:type="dxa"/>
            <w:vAlign w:val="bottom"/>
          </w:tcPr>
          <w:p>
            <w:pPr>
              <w:spacing w:after="0"/>
              <w:rPr>
                <w:sz w:val="1"/>
                <w:szCs w:val="1"/>
                <w:color w:val="auto"/>
              </w:rPr>
            </w:pPr>
          </w:p>
        </w:tc>
      </w:tr>
      <w:tr>
        <w:trPr>
          <w:trHeight w:val="230"/>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1,904</w:t>
            </w:r>
          </w:p>
        </w:tc>
        <w:tc>
          <w:tcPr>
            <w:tcW w:w="0" w:type="dxa"/>
            <w:vAlign w:val="bottom"/>
          </w:tcPr>
          <w:p>
            <w:pPr>
              <w:spacing w:after="0"/>
              <w:rPr>
                <w:sz w:val="1"/>
                <w:szCs w:val="1"/>
                <w:color w:val="auto"/>
              </w:rPr>
            </w:pPr>
          </w:p>
        </w:tc>
      </w:tr>
      <w:tr>
        <w:trPr>
          <w:trHeight w:val="248"/>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external customer sales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183,277</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5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7"/>
          </w:tcPr>
          <w:p>
            <w:pPr>
              <w:ind w:left="20"/>
              <w:spacing w:after="0"/>
              <w:rPr>
                <w:sz w:val="20"/>
                <w:szCs w:val="20"/>
                <w:color w:val="auto"/>
              </w:rPr>
            </w:pPr>
            <w:r>
              <w:rPr>
                <w:rFonts w:ascii="Arial" w:cs="Arial" w:eastAsia="Arial" w:hAnsi="Arial"/>
                <w:sz w:val="18"/>
                <w:szCs w:val="18"/>
                <w:b w:val="1"/>
                <w:bCs w:val="1"/>
                <w:color w:val="auto"/>
                <w:w w:val="99"/>
              </w:rPr>
              <w:t>Six months ended October 2, 2022</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Industrial</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ind w:left="220"/>
              <w:spacing w:after="0" w:line="169" w:lineRule="exact"/>
              <w:rPr>
                <w:sz w:val="20"/>
                <w:szCs w:val="20"/>
                <w:color w:val="auto"/>
              </w:rPr>
            </w:pPr>
            <w:r>
              <w:rPr>
                <w:rFonts w:ascii="Arial" w:cs="Arial" w:eastAsia="Arial" w:hAnsi="Arial"/>
                <w:sz w:val="18"/>
                <w:szCs w:val="18"/>
                <w:b w:val="1"/>
                <w:bCs w:val="1"/>
                <w:color w:val="auto"/>
              </w:rPr>
              <w:t>Water</w:t>
            </w:r>
          </w:p>
        </w:tc>
        <w:tc>
          <w:tcPr>
            <w:tcW w:w="140" w:type="dxa"/>
            <w:vAlign w:val="bottom"/>
          </w:tcPr>
          <w:p>
            <w:pPr>
              <w:spacing w:after="0"/>
              <w:rPr>
                <w:sz w:val="14"/>
                <w:szCs w:val="14"/>
                <w:color w:val="auto"/>
              </w:rPr>
            </w:pPr>
          </w:p>
        </w:tc>
        <w:tc>
          <w:tcPr>
            <w:tcW w:w="1280" w:type="dxa"/>
            <w:vAlign w:val="bottom"/>
            <w:gridSpan w:val="2"/>
          </w:tcPr>
          <w:p>
            <w:pPr>
              <w:ind w:left="20"/>
              <w:spacing w:after="0" w:line="169" w:lineRule="exact"/>
              <w:rPr>
                <w:sz w:val="20"/>
                <w:szCs w:val="20"/>
                <w:color w:val="auto"/>
              </w:rPr>
            </w:pPr>
            <w:r>
              <w:rPr>
                <w:rFonts w:ascii="Arial" w:cs="Arial" w:eastAsia="Arial" w:hAnsi="Arial"/>
                <w:sz w:val="18"/>
                <w:szCs w:val="18"/>
                <w:b w:val="1"/>
                <w:bCs w:val="1"/>
                <w:color w:val="auto"/>
              </w:rPr>
              <w:t>Health and</w:t>
            </w:r>
          </w:p>
        </w:tc>
        <w:tc>
          <w:tcPr>
            <w:tcW w:w="300" w:type="dxa"/>
            <w:vAlign w:val="bottom"/>
          </w:tcPr>
          <w:p>
            <w:pPr>
              <w:spacing w:after="0"/>
              <w:rPr>
                <w:sz w:val="14"/>
                <w:szCs w:val="14"/>
                <w:color w:val="auto"/>
              </w:rPr>
            </w:pPr>
          </w:p>
        </w:tc>
        <w:tc>
          <w:tcPr>
            <w:tcW w:w="104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3"/>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Treatment</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Nutrition</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56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Manufactured, blended or repackaged products </w:t>
            </w:r>
            <w:r>
              <w:rPr>
                <w:rFonts w:ascii="Arial" w:cs="Arial" w:eastAsia="Arial" w:hAnsi="Arial"/>
                <w:sz w:val="23"/>
                <w:szCs w:val="23"/>
                <w:color w:val="auto"/>
                <w:vertAlign w:val="superscript"/>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195,160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147,529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23,697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366,386</w:t>
            </w:r>
          </w:p>
        </w:tc>
        <w:tc>
          <w:tcPr>
            <w:tcW w:w="0" w:type="dxa"/>
            <w:vAlign w:val="bottom"/>
          </w:tcPr>
          <w:p>
            <w:pPr>
              <w:spacing w:after="0"/>
              <w:rPr>
                <w:sz w:val="1"/>
                <w:szCs w:val="1"/>
                <w:color w:val="auto"/>
              </w:rPr>
            </w:pPr>
          </w:p>
        </w:tc>
      </w:tr>
      <w:tr>
        <w:trPr>
          <w:trHeight w:val="230"/>
        </w:trPr>
        <w:tc>
          <w:tcPr>
            <w:tcW w:w="55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Distributed specialty products </w:t>
            </w:r>
            <w:r>
              <w:rPr>
                <w:rFonts w:ascii="Arial" w:cs="Arial" w:eastAsia="Arial" w:hAnsi="Arial"/>
                <w:sz w:val="23"/>
                <w:szCs w:val="23"/>
                <w:color w:val="auto"/>
                <w:vertAlign w:val="superscript"/>
              </w:rPr>
              <w:t>(2)</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59,766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59,766</w:t>
            </w: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Bulk products </w:t>
            </w:r>
            <w:r>
              <w:rPr>
                <w:rFonts w:ascii="Arial" w:cs="Arial" w:eastAsia="Arial" w:hAnsi="Arial"/>
                <w:sz w:val="23"/>
                <w:szCs w:val="23"/>
                <w:color w:val="auto"/>
                <w:vertAlign w:val="superscript"/>
              </w:rPr>
              <w:t>(3)</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53,097</w:t>
            </w:r>
          </w:p>
        </w:tc>
        <w:tc>
          <w:tcPr>
            <w:tcW w:w="0" w:type="dxa"/>
            <w:vAlign w:val="bottom"/>
          </w:tcPr>
          <w:p>
            <w:pPr>
              <w:spacing w:after="0"/>
              <w:rPr>
                <w:sz w:val="1"/>
                <w:szCs w:val="1"/>
                <w:color w:val="auto"/>
              </w:rPr>
            </w:pPr>
          </w:p>
        </w:tc>
      </w:tr>
      <w:tr>
        <w:trPr>
          <w:trHeight w:val="230"/>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8,486</w:t>
            </w:r>
          </w:p>
        </w:tc>
        <w:tc>
          <w:tcPr>
            <w:tcW w:w="0" w:type="dxa"/>
            <w:vAlign w:val="bottom"/>
          </w:tcPr>
          <w:p>
            <w:pPr>
              <w:spacing w:after="0"/>
              <w:rPr>
                <w:sz w:val="1"/>
                <w:szCs w:val="1"/>
                <w:color w:val="auto"/>
              </w:rPr>
            </w:pPr>
          </w:p>
        </w:tc>
      </w:tr>
      <w:tr>
        <w:trPr>
          <w:trHeight w:val="243"/>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external customer sales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238,649</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164,978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84,108</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487,735</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5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440" w:type="dxa"/>
            <w:vAlign w:val="bottom"/>
            <w:tcBorders>
              <w:bottom w:val="single" w:sz="8" w:color="auto"/>
            </w:tcBorders>
            <w:gridSpan w:val="9"/>
          </w:tcPr>
          <w:p>
            <w:pPr>
              <w:jc w:val="right"/>
              <w:ind w:right="70"/>
              <w:spacing w:after="0"/>
              <w:rPr>
                <w:sz w:val="20"/>
                <w:szCs w:val="20"/>
                <w:color w:val="auto"/>
              </w:rPr>
            </w:pPr>
            <w:r>
              <w:rPr>
                <w:rFonts w:ascii="Arial" w:cs="Arial" w:eastAsia="Arial" w:hAnsi="Arial"/>
                <w:sz w:val="18"/>
                <w:szCs w:val="18"/>
                <w:b w:val="1"/>
                <w:bCs w:val="1"/>
                <w:color w:val="auto"/>
              </w:rPr>
              <w:t>Six months ended September 26, 2021</w:t>
            </w: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Industrial</w:t>
            </w:r>
          </w:p>
        </w:tc>
        <w:tc>
          <w:tcPr>
            <w:tcW w:w="180" w:type="dxa"/>
            <w:vAlign w:val="bottom"/>
          </w:tcPr>
          <w:p>
            <w:pPr>
              <w:spacing w:after="0"/>
              <w:rPr>
                <w:sz w:val="14"/>
                <w:szCs w:val="14"/>
                <w:color w:val="auto"/>
              </w:rPr>
            </w:pPr>
          </w:p>
        </w:tc>
        <w:tc>
          <w:tcPr>
            <w:tcW w:w="1280" w:type="dxa"/>
            <w:vAlign w:val="bottom"/>
            <w:gridSpan w:val="2"/>
          </w:tcPr>
          <w:p>
            <w:pPr>
              <w:ind w:left="220"/>
              <w:spacing w:after="0" w:line="169" w:lineRule="exact"/>
              <w:rPr>
                <w:sz w:val="20"/>
                <w:szCs w:val="20"/>
                <w:color w:val="auto"/>
              </w:rPr>
            </w:pPr>
            <w:r>
              <w:rPr>
                <w:rFonts w:ascii="Arial" w:cs="Arial" w:eastAsia="Arial" w:hAnsi="Arial"/>
                <w:sz w:val="18"/>
                <w:szCs w:val="18"/>
                <w:b w:val="1"/>
                <w:bCs w:val="1"/>
                <w:color w:val="auto"/>
              </w:rPr>
              <w:t>Water</w:t>
            </w:r>
          </w:p>
        </w:tc>
        <w:tc>
          <w:tcPr>
            <w:tcW w:w="140" w:type="dxa"/>
            <w:vAlign w:val="bottom"/>
          </w:tcPr>
          <w:p>
            <w:pPr>
              <w:spacing w:after="0"/>
              <w:rPr>
                <w:sz w:val="14"/>
                <w:szCs w:val="14"/>
                <w:color w:val="auto"/>
              </w:rPr>
            </w:pPr>
          </w:p>
        </w:tc>
        <w:tc>
          <w:tcPr>
            <w:tcW w:w="1280" w:type="dxa"/>
            <w:vAlign w:val="bottom"/>
            <w:gridSpan w:val="2"/>
          </w:tcPr>
          <w:p>
            <w:pPr>
              <w:jc w:val="center"/>
              <w:ind w:right="320"/>
              <w:spacing w:after="0" w:line="169" w:lineRule="exact"/>
              <w:rPr>
                <w:sz w:val="20"/>
                <w:szCs w:val="20"/>
                <w:color w:val="auto"/>
              </w:rPr>
            </w:pPr>
            <w:r>
              <w:rPr>
                <w:rFonts w:ascii="Arial" w:cs="Arial" w:eastAsia="Arial" w:hAnsi="Arial"/>
                <w:sz w:val="18"/>
                <w:szCs w:val="18"/>
                <w:b w:val="1"/>
                <w:bCs w:val="1"/>
                <w:color w:val="auto"/>
                <w:w w:val="99"/>
              </w:rPr>
              <w:t>Health and</w:t>
            </w:r>
          </w:p>
        </w:tc>
        <w:tc>
          <w:tcPr>
            <w:tcW w:w="320" w:type="dxa"/>
            <w:vAlign w:val="bottom"/>
          </w:tcPr>
          <w:p>
            <w:pPr>
              <w:spacing w:after="0"/>
              <w:rPr>
                <w:sz w:val="14"/>
                <w:szCs w:val="14"/>
                <w:color w:val="auto"/>
              </w:rPr>
            </w:pPr>
          </w:p>
        </w:tc>
        <w:tc>
          <w:tcPr>
            <w:tcW w:w="102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3"/>
        </w:trPr>
        <w:tc>
          <w:tcPr>
            <w:tcW w:w="55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21"/>
                <w:szCs w:val="21"/>
                <w:color w:val="auto"/>
              </w:rPr>
            </w:pPr>
          </w:p>
        </w:tc>
        <w:tc>
          <w:tcPr>
            <w:tcW w:w="124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b w:val="1"/>
                <w:bCs w:val="1"/>
                <w:color w:val="auto"/>
              </w:rPr>
              <w:t>Treatment</w:t>
            </w:r>
          </w:p>
        </w:tc>
        <w:tc>
          <w:tcPr>
            <w:tcW w:w="140" w:type="dxa"/>
            <w:vAlign w:val="bottom"/>
          </w:tcPr>
          <w:p>
            <w:pPr>
              <w:spacing w:after="0"/>
              <w:rPr>
                <w:sz w:val="21"/>
                <w:szCs w:val="21"/>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8"/>
              </w:rPr>
              <w:t>Nutrition</w:t>
            </w:r>
          </w:p>
        </w:tc>
        <w:tc>
          <w:tcPr>
            <w:tcW w:w="32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560" w:type="dxa"/>
            <w:vAlign w:val="bottom"/>
            <w:tcBorders>
              <w:top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Manufactured, blended or repackaged products </w:t>
            </w:r>
            <w:r>
              <w:rPr>
                <w:rFonts w:ascii="Arial" w:cs="Arial" w:eastAsia="Arial" w:hAnsi="Arial"/>
                <w:sz w:val="23"/>
                <w:szCs w:val="23"/>
                <w:color w:val="auto"/>
                <w:vertAlign w:val="superscript"/>
              </w:rPr>
              <w:t>(1)</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140,716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107,601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15,934</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264,251</w:t>
            </w:r>
          </w:p>
        </w:tc>
        <w:tc>
          <w:tcPr>
            <w:tcW w:w="0" w:type="dxa"/>
            <w:vAlign w:val="bottom"/>
          </w:tcPr>
          <w:p>
            <w:pPr>
              <w:spacing w:after="0"/>
              <w:rPr>
                <w:sz w:val="1"/>
                <w:szCs w:val="1"/>
                <w:color w:val="auto"/>
              </w:rPr>
            </w:pPr>
          </w:p>
        </w:tc>
      </w:tr>
      <w:tr>
        <w:trPr>
          <w:trHeight w:val="229"/>
        </w:trPr>
        <w:tc>
          <w:tcPr>
            <w:tcW w:w="55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Distributed specialty products </w:t>
            </w:r>
            <w:r>
              <w:rPr>
                <w:rFonts w:ascii="Arial" w:cs="Arial" w:eastAsia="Arial" w:hAnsi="Arial"/>
                <w:sz w:val="23"/>
                <w:szCs w:val="23"/>
                <w:color w:val="auto"/>
                <w:vertAlign w:val="superscript"/>
              </w:rPr>
              <w:t>(2)</w:t>
            </w: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61,004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61,004</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Bulk products </w:t>
            </w:r>
            <w:r>
              <w:rPr>
                <w:rFonts w:ascii="Arial" w:cs="Arial" w:eastAsia="Arial" w:hAnsi="Arial"/>
                <w:sz w:val="23"/>
                <w:szCs w:val="23"/>
                <w:color w:val="auto"/>
                <w:vertAlign w:val="superscript"/>
              </w:rPr>
              <w:t>(3)</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35,301</w:t>
            </w:r>
          </w:p>
        </w:tc>
        <w:tc>
          <w:tcPr>
            <w:tcW w:w="0" w:type="dxa"/>
            <w:vAlign w:val="bottom"/>
          </w:tcPr>
          <w:p>
            <w:pPr>
              <w:spacing w:after="0"/>
              <w:rPr>
                <w:sz w:val="1"/>
                <w:szCs w:val="1"/>
                <w:color w:val="auto"/>
              </w:rPr>
            </w:pPr>
          </w:p>
        </w:tc>
      </w:tr>
      <w:tr>
        <w:trPr>
          <w:trHeight w:val="230"/>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3,962</w:t>
            </w:r>
          </w:p>
        </w:tc>
        <w:tc>
          <w:tcPr>
            <w:tcW w:w="0" w:type="dxa"/>
            <w:vAlign w:val="bottom"/>
          </w:tcPr>
          <w:p>
            <w:pPr>
              <w:spacing w:after="0"/>
              <w:rPr>
                <w:sz w:val="1"/>
                <w:szCs w:val="1"/>
                <w:color w:val="auto"/>
              </w:rPr>
            </w:pPr>
          </w:p>
        </w:tc>
      </w:tr>
      <w:tr>
        <w:trPr>
          <w:trHeight w:val="248"/>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external customer sales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169,018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118,349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77,151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364,518</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9" w:lineRule="exact"/>
        <w:rPr>
          <w:sz w:val="20"/>
          <w:szCs w:val="20"/>
          <w:color w:val="auto"/>
        </w:rPr>
      </w:pPr>
    </w:p>
    <w:p>
      <w:pPr>
        <w:ind w:left="660" w:right="140" w:hanging="328"/>
        <w:spacing w:after="0" w:line="252" w:lineRule="auto"/>
        <w:tabs>
          <w:tab w:leader="none" w:pos="669" w:val="left"/>
        </w:tabs>
        <w:numPr>
          <w:ilvl w:val="0"/>
          <w:numId w:val="1"/>
        </w:numPr>
        <w:rPr>
          <w:rFonts w:ascii="Arial" w:cs="Arial" w:eastAsia="Arial" w:hAnsi="Arial"/>
          <w:sz w:val="16"/>
          <w:szCs w:val="16"/>
          <w:color w:val="auto"/>
        </w:rPr>
      </w:pPr>
      <w:r>
        <w:rPr>
          <w:rFonts w:ascii="Arial" w:cs="Arial" w:eastAsia="Arial" w:hAnsi="Arial"/>
          <w:sz w:val="16"/>
          <w:szCs w:val="16"/>
          <w:color w:val="auto"/>
        </w:rPr>
        <w:t>For our Industrial and Water Treatment segments, this line includes our non-bulk specialty products that we either manufacture, blend, repackage, resell in their original form, or direct ship to our customers in smaller quantities, and services we provide for our customers. For our Health and Nutrition segment, this line includes products manufactured, processed or repackaged in our facility and/or with our equipment.</w:t>
      </w:r>
    </w:p>
    <w:p>
      <w:pPr>
        <w:ind w:left="660" w:hanging="328"/>
        <w:spacing w:after="0" w:line="255" w:lineRule="auto"/>
        <w:tabs>
          <w:tab w:leader="none" w:pos="669" w:val="left"/>
        </w:tabs>
        <w:numPr>
          <w:ilvl w:val="0"/>
          <w:numId w:val="1"/>
        </w:numPr>
        <w:rPr>
          <w:rFonts w:ascii="Arial" w:cs="Arial" w:eastAsia="Arial" w:hAnsi="Arial"/>
          <w:sz w:val="16"/>
          <w:szCs w:val="16"/>
          <w:color w:val="auto"/>
        </w:rPr>
      </w:pPr>
      <w:r>
        <w:rPr>
          <w:rFonts w:ascii="Arial" w:cs="Arial" w:eastAsia="Arial" w:hAnsi="Arial"/>
          <w:sz w:val="16"/>
          <w:szCs w:val="16"/>
          <w:color w:val="auto"/>
        </w:rPr>
        <w:t>This line includes non-manufactured distributed specialty products in our Health and Nutrition segment, which may be sold out of one of our facilities or direct shipped to our customers.</w:t>
      </w:r>
    </w:p>
    <w:p>
      <w:pPr>
        <w:ind w:left="660" w:hanging="328"/>
        <w:spacing w:after="0" w:line="260" w:lineRule="auto"/>
        <w:tabs>
          <w:tab w:leader="none" w:pos="669" w:val="left"/>
        </w:tabs>
        <w:numPr>
          <w:ilvl w:val="0"/>
          <w:numId w:val="1"/>
        </w:numPr>
        <w:rPr>
          <w:rFonts w:ascii="Arial" w:cs="Arial" w:eastAsia="Arial" w:hAnsi="Arial"/>
          <w:sz w:val="16"/>
          <w:szCs w:val="16"/>
          <w:color w:val="auto"/>
        </w:rPr>
      </w:pPr>
      <w:r>
        <w:rPr>
          <w:rFonts w:ascii="Arial" w:cs="Arial" w:eastAsia="Arial" w:hAnsi="Arial"/>
          <w:sz w:val="16"/>
          <w:szCs w:val="16"/>
          <w:color w:val="auto"/>
        </w:rPr>
        <w:t>This line includes bulk products in our Industrial and Water Treatment segments that we do not modify in any way, but receive, store, and ship from our facilities, or direct ship to our customers in large quantities.</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Note 4 – Earnings per Share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Basic earnings per share (“EPS”) is computed by dividing net earnings by the weighted-average number of common shares outstanding.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Diluted EPS includes the dilutive impact of incremental shares assumed to be issued as performance units and restricted stock.</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80" w:type="dxa"/>
            <w:vAlign w:val="bottom"/>
          </w:tcPr>
          <w:p>
            <w:pPr>
              <w:spacing w:after="0"/>
              <w:rPr>
                <w:sz w:val="20"/>
                <w:szCs w:val="20"/>
                <w:color w:val="auto"/>
              </w:rPr>
            </w:pPr>
            <w:r>
              <w:rPr>
                <w:rFonts w:ascii="Arial" w:cs="Arial" w:eastAsia="Arial" w:hAnsi="Arial"/>
                <w:sz w:val="18"/>
                <w:szCs w:val="18"/>
                <w:color w:val="auto"/>
              </w:rPr>
              <w:t>Basic and diluted EPS were calculated using the following:</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63"/>
        </w:trPr>
        <w:tc>
          <w:tcPr>
            <w:tcW w:w="5380" w:type="dxa"/>
            <w:vAlign w:val="bottom"/>
          </w:tcPr>
          <w:p>
            <w:pPr>
              <w:spacing w:after="0"/>
              <w:rPr>
                <w:sz w:val="22"/>
                <w:szCs w:val="22"/>
                <w:color w:val="auto"/>
              </w:rPr>
            </w:pPr>
          </w:p>
        </w:tc>
        <w:tc>
          <w:tcPr>
            <w:tcW w:w="3080" w:type="dxa"/>
            <w:vAlign w:val="bottom"/>
            <w:gridSpan w:val="4"/>
          </w:tcPr>
          <w:p>
            <w:pPr>
              <w:ind w:left="600"/>
              <w:spacing w:after="0"/>
              <w:rPr>
                <w:sz w:val="20"/>
                <w:szCs w:val="20"/>
                <w:color w:val="auto"/>
              </w:rPr>
            </w:pPr>
            <w:r>
              <w:rPr>
                <w:rFonts w:ascii="Arial" w:cs="Arial" w:eastAsia="Arial" w:hAnsi="Arial"/>
                <w:sz w:val="18"/>
                <w:szCs w:val="18"/>
                <w:b w:val="1"/>
                <w:bCs w:val="1"/>
                <w:color w:val="auto"/>
              </w:rPr>
              <w:t>Three Months Ended</w:t>
            </w:r>
          </w:p>
        </w:tc>
        <w:tc>
          <w:tcPr>
            <w:tcW w:w="2780" w:type="dxa"/>
            <w:vAlign w:val="bottom"/>
            <w:gridSpan w:val="3"/>
          </w:tcPr>
          <w:p>
            <w:pPr>
              <w:jc w:val="right"/>
              <w:ind w:right="530"/>
              <w:spacing w:after="0"/>
              <w:rPr>
                <w:sz w:val="20"/>
                <w:szCs w:val="20"/>
                <w:color w:val="auto"/>
              </w:rPr>
            </w:pPr>
            <w:r>
              <w:rPr>
                <w:rFonts w:ascii="Arial" w:cs="Arial" w:eastAsia="Arial" w:hAnsi="Arial"/>
                <w:sz w:val="18"/>
                <w:szCs w:val="18"/>
                <w:b w:val="1"/>
                <w:bCs w:val="1"/>
                <w:color w:val="auto"/>
              </w:rPr>
              <w:t>Six Months Ended</w:t>
            </w:r>
          </w:p>
        </w:tc>
      </w:tr>
      <w:tr>
        <w:trPr>
          <w:trHeight w:val="175"/>
        </w:trPr>
        <w:tc>
          <w:tcPr>
            <w:tcW w:w="5380" w:type="dxa"/>
            <w:vAlign w:val="bottom"/>
          </w:tcPr>
          <w:p>
            <w:pPr>
              <w:spacing w:after="0"/>
              <w:rPr>
                <w:sz w:val="15"/>
                <w:szCs w:val="15"/>
                <w:color w:val="auto"/>
              </w:rPr>
            </w:pPr>
          </w:p>
        </w:tc>
        <w:tc>
          <w:tcPr>
            <w:tcW w:w="1540" w:type="dxa"/>
            <w:vAlign w:val="bottom"/>
            <w:tcBorders>
              <w:top w:val="single" w:sz="8" w:color="auto"/>
            </w:tcBorders>
            <w:gridSpan w:val="2"/>
          </w:tcPr>
          <w:p>
            <w:pPr>
              <w:ind w:left="220"/>
              <w:spacing w:after="0" w:line="176" w:lineRule="exact"/>
              <w:rPr>
                <w:sz w:val="20"/>
                <w:szCs w:val="20"/>
                <w:color w:val="auto"/>
              </w:rPr>
            </w:pPr>
            <w:r>
              <w:rPr>
                <w:rFonts w:ascii="Arial" w:cs="Arial" w:eastAsia="Arial" w:hAnsi="Arial"/>
                <w:sz w:val="18"/>
                <w:szCs w:val="18"/>
                <w:b w:val="1"/>
                <w:bCs w:val="1"/>
                <w:color w:val="auto"/>
              </w:rPr>
              <w:t>October 02,</w:t>
            </w:r>
          </w:p>
        </w:tc>
        <w:tc>
          <w:tcPr>
            <w:tcW w:w="1440" w:type="dxa"/>
            <w:vAlign w:val="bottom"/>
            <w:tcBorders>
              <w:top w:val="single" w:sz="8" w:color="auto"/>
            </w:tcBorders>
          </w:tcPr>
          <w:p>
            <w:pPr>
              <w:jc w:val="right"/>
              <w:ind w:right="10"/>
              <w:spacing w:after="0" w:line="176" w:lineRule="exact"/>
              <w:rPr>
                <w:sz w:val="20"/>
                <w:szCs w:val="20"/>
                <w:color w:val="auto"/>
              </w:rPr>
            </w:pPr>
            <w:r>
              <w:rPr>
                <w:rFonts w:ascii="Arial" w:cs="Arial" w:eastAsia="Arial" w:hAnsi="Arial"/>
                <w:sz w:val="18"/>
                <w:szCs w:val="18"/>
                <w:b w:val="1"/>
                <w:bCs w:val="1"/>
                <w:color w:val="auto"/>
              </w:rPr>
              <w:t>September 26,</w:t>
            </w:r>
          </w:p>
        </w:tc>
        <w:tc>
          <w:tcPr>
            <w:tcW w:w="100" w:type="dxa"/>
            <w:vAlign w:val="bottom"/>
          </w:tcPr>
          <w:p>
            <w:pPr>
              <w:spacing w:after="0"/>
              <w:rPr>
                <w:sz w:val="15"/>
                <w:szCs w:val="15"/>
                <w:color w:val="auto"/>
              </w:rPr>
            </w:pPr>
          </w:p>
        </w:tc>
        <w:tc>
          <w:tcPr>
            <w:tcW w:w="1440" w:type="dxa"/>
            <w:vAlign w:val="bottom"/>
            <w:tcBorders>
              <w:top w:val="single" w:sz="8" w:color="auto"/>
            </w:tcBorders>
            <w:gridSpan w:val="2"/>
          </w:tcPr>
          <w:p>
            <w:pPr>
              <w:ind w:left="180"/>
              <w:spacing w:after="0" w:line="176" w:lineRule="exact"/>
              <w:rPr>
                <w:sz w:val="20"/>
                <w:szCs w:val="20"/>
                <w:color w:val="auto"/>
              </w:rPr>
            </w:pPr>
            <w:r>
              <w:rPr>
                <w:rFonts w:ascii="Arial" w:cs="Arial" w:eastAsia="Arial" w:hAnsi="Arial"/>
                <w:sz w:val="18"/>
                <w:szCs w:val="18"/>
                <w:b w:val="1"/>
                <w:bCs w:val="1"/>
                <w:color w:val="auto"/>
              </w:rPr>
              <w:t>October 02,</w:t>
            </w:r>
          </w:p>
        </w:tc>
        <w:tc>
          <w:tcPr>
            <w:tcW w:w="1340" w:type="dxa"/>
            <w:vAlign w:val="bottom"/>
            <w:tcBorders>
              <w:top w:val="single" w:sz="8" w:color="auto"/>
            </w:tcBorders>
          </w:tcPr>
          <w:p>
            <w:pPr>
              <w:jc w:val="right"/>
              <w:spacing w:after="0" w:line="176" w:lineRule="exact"/>
              <w:rPr>
                <w:sz w:val="20"/>
                <w:szCs w:val="20"/>
                <w:color w:val="auto"/>
              </w:rPr>
            </w:pPr>
            <w:r>
              <w:rPr>
                <w:rFonts w:ascii="Arial" w:cs="Arial" w:eastAsia="Arial" w:hAnsi="Arial"/>
                <w:sz w:val="18"/>
                <w:szCs w:val="18"/>
                <w:b w:val="1"/>
                <w:bCs w:val="1"/>
                <w:color w:val="auto"/>
              </w:rPr>
              <w:t>September 26,</w:t>
            </w:r>
          </w:p>
        </w:tc>
      </w:tr>
      <w:tr>
        <w:trPr>
          <w:trHeight w:val="241"/>
        </w:trPr>
        <w:tc>
          <w:tcPr>
            <w:tcW w:w="538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r>
      <w:tr>
        <w:trPr>
          <w:trHeight w:val="225"/>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outstanding—basic</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20,814,686</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20,986,542</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20,861,754</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21,010,422</w:t>
            </w:r>
          </w:p>
        </w:tc>
      </w:tr>
      <w:tr>
        <w:trPr>
          <w:trHeight w:val="229"/>
        </w:trPr>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Dilutive impact of performance units and restricted stock</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142,211</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153,545</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142,700</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158,387</w:t>
            </w:r>
          </w:p>
        </w:tc>
      </w:tr>
      <w:tr>
        <w:trPr>
          <w:trHeight w:val="248"/>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outstanding—diluted</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20,956,897</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21,140,087</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21,004,454</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21,168,809</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For each of the periods presented, there were no shares excluded from the calculation of weighted-average common shares for diluted EPS.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Fair Value Measurements</w:t>
      </w:r>
    </w:p>
    <w:p>
      <w:pPr>
        <w:spacing w:after="0" w:line="13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financial assets and liabilities are measured at fair value at the price that would be received to sell an asset or paid to transfer a liability in an orderly transaction between market participants at the measurement date (exit price). The carrying value of cash equivalents, accounts receivable, accounts payable, and accrued expenses approximate fair value because of the short-term nature of these instruments. Because of the variable-rate nature of our debt under our credit facility, our debt also approximates fair value.</w:t>
      </w:r>
    </w:p>
    <w:p>
      <w:pPr>
        <w:spacing w:after="0" w:line="3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 xml:space="preserve">Assets and Liabilities Measured at Fair Value on a Recurring Basis. </w:t>
      </w:r>
      <w:r>
        <w:rPr>
          <w:rFonts w:ascii="Arial" w:cs="Arial" w:eastAsia="Arial" w:hAnsi="Arial"/>
          <w:sz w:val="18"/>
          <w:szCs w:val="18"/>
          <w:color w:val="auto"/>
        </w:rPr>
        <w:t>The fair value hierarchy requires the use of observable market data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when available. In instances where inputs used to measure fair value fall into different levels of the fair value hierarchy, the fair value measurement has been determined based on the lowest level input that is significant to the fair value measurement in its entirety. Our assessment of the significance of a particular item to the fair value measurement in its entirety requires judgment, including the consideration of inputs specific to the asset or liability.</w:t>
      </w:r>
    </w:p>
    <w:p>
      <w:pPr>
        <w:spacing w:after="0" w:line="93"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Our financial assets that are measured at fair value on a recurring basis are an interest rate swap and assets held in a deferred compensation retirement plan. Both of these assets are classified as other long-term assets on our balance sheet, with the portion of the deferred compensation retirement plan assets expected to be paid within twelve months classified as current assets. The fair value of the interest rate swap is determined by the respective counterparties based on interest rate changes. Interest rate swaps are valued based on observable interest rate yield curves for similar instruments. The deferred compensation plan assets relate to contributions made to a non-qualified compensation plan on behalf of certain employees who are classified as “highly compensated employees” as determined by IRS guidelines. The assets are part of a rabbi trust and the funds are held in mutual funds. The fair value of the deferred compensation is based on the quoted market prices for the mutual funds at the end of the period.</w:t>
      </w:r>
    </w:p>
    <w:p>
      <w:pPr>
        <w:spacing w:after="0" w:line="113"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The following tables summarize the balances of assets and liabilities measured at fair value on a recurring basis as of October 2, 2022 and April 3, 2022.</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42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60" w:type="dxa"/>
            <w:vAlign w:val="bottom"/>
            <w:gridSpan w:val="2"/>
          </w:tcPr>
          <w:p>
            <w:pPr>
              <w:ind w:left="100"/>
              <w:spacing w:after="0"/>
              <w:rPr>
                <w:sz w:val="20"/>
                <w:szCs w:val="20"/>
                <w:color w:val="auto"/>
              </w:rPr>
            </w:pPr>
            <w:r>
              <w:rPr>
                <w:rFonts w:ascii="Arial" w:cs="Arial" w:eastAsia="Arial" w:hAnsi="Arial"/>
                <w:sz w:val="18"/>
                <w:szCs w:val="18"/>
                <w:b w:val="1"/>
                <w:bCs w:val="1"/>
                <w:color w:val="auto"/>
              </w:rPr>
              <w:t>October 2, 2022</w:t>
            </w:r>
          </w:p>
        </w:tc>
        <w:tc>
          <w:tcPr>
            <w:tcW w:w="300" w:type="dxa"/>
            <w:vAlign w:val="bottom"/>
          </w:tcPr>
          <w:p>
            <w:pPr>
              <w:spacing w:after="0"/>
              <w:rPr>
                <w:sz w:val="20"/>
                <w:szCs w:val="20"/>
                <w:color w:val="auto"/>
              </w:rPr>
            </w:pPr>
          </w:p>
        </w:tc>
        <w:tc>
          <w:tcPr>
            <w:tcW w:w="1880" w:type="dxa"/>
            <w:vAlign w:val="bottom"/>
            <w:gridSpan w:val="2"/>
          </w:tcPr>
          <w:p>
            <w:pPr>
              <w:ind w:left="160"/>
              <w:spacing w:after="0"/>
              <w:rPr>
                <w:sz w:val="20"/>
                <w:szCs w:val="20"/>
                <w:color w:val="auto"/>
              </w:rPr>
            </w:pPr>
            <w:r>
              <w:rPr>
                <w:rFonts w:ascii="Arial" w:cs="Arial" w:eastAsia="Arial" w:hAnsi="Arial"/>
                <w:sz w:val="18"/>
                <w:szCs w:val="18"/>
                <w:b w:val="1"/>
                <w:bCs w:val="1"/>
                <w:color w:val="auto"/>
              </w:rPr>
              <w:t>April 3, 2022</w:t>
            </w:r>
          </w:p>
        </w:tc>
      </w:tr>
      <w:tr>
        <w:trPr>
          <w:trHeight w:val="210"/>
        </w:trPr>
        <w:tc>
          <w:tcPr>
            <w:tcW w:w="20" w:type="dxa"/>
            <w:vAlign w:val="bottom"/>
          </w:tcPr>
          <w:p>
            <w:pPr>
              <w:spacing w:after="0"/>
              <w:rPr>
                <w:sz w:val="18"/>
                <w:szCs w:val="18"/>
                <w:color w:val="auto"/>
              </w:rPr>
            </w:pPr>
          </w:p>
        </w:tc>
        <w:tc>
          <w:tcPr>
            <w:tcW w:w="4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7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260" w:type="dxa"/>
            <w:vAlign w:val="bottom"/>
          </w:tcPr>
          <w:p>
            <w:pPr>
              <w:ind w:left="120"/>
              <w:spacing w:after="0"/>
              <w:rPr>
                <w:sz w:val="20"/>
                <w:szCs w:val="20"/>
                <w:color w:val="auto"/>
              </w:rPr>
            </w:pPr>
            <w:r>
              <w:rPr>
                <w:rFonts w:ascii="Arial" w:cs="Arial" w:eastAsia="Arial" w:hAnsi="Arial"/>
                <w:sz w:val="18"/>
                <w:szCs w:val="18"/>
                <w:color w:val="auto"/>
              </w:rPr>
              <w:t>Deferred compensation plan assets</w:t>
            </w:r>
          </w:p>
        </w:tc>
        <w:tc>
          <w:tcPr>
            <w:tcW w:w="2700" w:type="dxa"/>
            <w:vAlign w:val="bottom"/>
          </w:tcPr>
          <w:p>
            <w:pPr>
              <w:ind w:left="1600"/>
              <w:spacing w:after="0"/>
              <w:rPr>
                <w:sz w:val="20"/>
                <w:szCs w:val="20"/>
                <w:color w:val="auto"/>
              </w:rPr>
            </w:pPr>
            <w:r>
              <w:rPr>
                <w:rFonts w:ascii="Arial" w:cs="Arial" w:eastAsia="Arial" w:hAnsi="Arial"/>
                <w:sz w:val="18"/>
                <w:szCs w:val="18"/>
                <w:color w:val="auto"/>
              </w:rPr>
              <w:t>Level 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7,092</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7,038</w:t>
            </w:r>
          </w:p>
        </w:tc>
        <w:tc>
          <w:tcPr>
            <w:tcW w:w="2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rate swap</w:t>
            </w:r>
          </w:p>
        </w:tc>
        <w:tc>
          <w:tcPr>
            <w:tcW w:w="2700" w:type="dxa"/>
            <w:vAlign w:val="bottom"/>
            <w:shd w:val="clear" w:color="auto" w:fill="CCEEFF"/>
          </w:tcPr>
          <w:p>
            <w:pPr>
              <w:ind w:left="1600"/>
              <w:spacing w:after="0"/>
              <w:rPr>
                <w:sz w:val="20"/>
                <w:szCs w:val="20"/>
                <w:color w:val="auto"/>
              </w:rPr>
            </w:pPr>
            <w:r>
              <w:rPr>
                <w:rFonts w:ascii="Arial" w:cs="Arial" w:eastAsia="Arial" w:hAnsi="Arial"/>
                <w:sz w:val="18"/>
                <w:szCs w:val="18"/>
                <w:color w:val="auto"/>
              </w:rPr>
              <w:t>Level 2</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1,769</w:t>
            </w:r>
          </w:p>
        </w:tc>
        <w:tc>
          <w:tcPr>
            <w:tcW w:w="200" w:type="dxa"/>
            <w:vAlign w:val="bottom"/>
          </w:tcPr>
          <w:p>
            <w:pPr>
              <w:spacing w:after="0"/>
              <w:rPr>
                <w:sz w:val="19"/>
                <w:szCs w:val="19"/>
                <w:color w:val="auto"/>
              </w:rPr>
            </w:pPr>
          </w:p>
        </w:tc>
      </w:tr>
      <w:tr>
        <w:trPr>
          <w:trHeight w:val="567"/>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700" w:type="dxa"/>
            <w:vAlign w:val="bottom"/>
          </w:tcPr>
          <w:p>
            <w:pPr>
              <w:jc w:val="right"/>
              <w:ind w:right="1210"/>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4260" w:type="dxa"/>
            <w:vAlign w:val="bottom"/>
            <w:tcBorders>
              <w:bottom w:val="single" w:sz="8" w:color="9A9A9A"/>
            </w:tcBorders>
          </w:tcPr>
          <w:p>
            <w:pPr>
              <w:spacing w:after="0"/>
              <w:rPr>
                <w:sz w:val="10"/>
                <w:szCs w:val="10"/>
                <w:color w:val="auto"/>
              </w:rPr>
            </w:pPr>
          </w:p>
        </w:tc>
        <w:tc>
          <w:tcPr>
            <w:tcW w:w="27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9"/>
        </w:trPr>
        <w:tc>
          <w:tcPr>
            <w:tcW w:w="7840" w:type="dxa"/>
            <w:vAlign w:val="bottom"/>
          </w:tcPr>
          <w:p>
            <w:pPr>
              <w:spacing w:after="0"/>
              <w:rPr>
                <w:sz w:val="20"/>
                <w:szCs w:val="20"/>
                <w:color w:val="auto"/>
              </w:rPr>
            </w:pPr>
            <w:r>
              <w:rPr>
                <w:rFonts w:ascii="Arial" w:cs="Arial" w:eastAsia="Arial" w:hAnsi="Arial"/>
                <w:sz w:val="18"/>
                <w:szCs w:val="18"/>
                <w:b w:val="1"/>
                <w:bCs w:val="1"/>
                <w:color w:val="auto"/>
              </w:rPr>
              <w:t>Note 6 – Inventories</w:t>
            </w: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24"/>
        </w:trPr>
        <w:tc>
          <w:tcPr>
            <w:tcW w:w="7840" w:type="dxa"/>
            <w:vAlign w:val="bottom"/>
          </w:tcPr>
          <w:p>
            <w:pPr>
              <w:spacing w:after="0"/>
              <w:rPr>
                <w:sz w:val="20"/>
                <w:szCs w:val="20"/>
                <w:color w:val="auto"/>
              </w:rPr>
            </w:pPr>
            <w:r>
              <w:rPr>
                <w:rFonts w:ascii="Arial" w:cs="Arial" w:eastAsia="Arial" w:hAnsi="Arial"/>
                <w:sz w:val="18"/>
                <w:szCs w:val="18"/>
                <w:color w:val="auto"/>
              </w:rPr>
              <w:t>Inventories at October 2, 2022 and April 3, 2022 consisted of the following:</w:t>
            </w: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24"/>
        </w:trPr>
        <w:tc>
          <w:tcPr>
            <w:tcW w:w="7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gridSpan w:val="2"/>
          </w:tcPr>
          <w:p>
            <w:pPr>
              <w:ind w:left="120"/>
              <w:spacing w:after="0"/>
              <w:rPr>
                <w:sz w:val="20"/>
                <w:szCs w:val="20"/>
                <w:color w:val="auto"/>
              </w:rPr>
            </w:pPr>
            <w:r>
              <w:rPr>
                <w:rFonts w:ascii="Arial" w:cs="Arial" w:eastAsia="Arial" w:hAnsi="Arial"/>
                <w:sz w:val="18"/>
                <w:szCs w:val="18"/>
                <w:b w:val="1"/>
                <w:bCs w:val="1"/>
                <w:color w:val="auto"/>
              </w:rPr>
              <w:t>October 2,</w:t>
            </w:r>
          </w:p>
        </w:tc>
        <w:tc>
          <w:tcPr>
            <w:tcW w:w="300" w:type="dxa"/>
            <w:vAlign w:val="bottom"/>
          </w:tcPr>
          <w:p>
            <w:pPr>
              <w:spacing w:after="0"/>
              <w:rPr>
                <w:sz w:val="24"/>
                <w:szCs w:val="24"/>
                <w:color w:val="auto"/>
              </w:rPr>
            </w:pPr>
          </w:p>
        </w:tc>
        <w:tc>
          <w:tcPr>
            <w:tcW w:w="1280" w:type="dxa"/>
            <w:vAlign w:val="bottom"/>
          </w:tcPr>
          <w:p>
            <w:pPr>
              <w:jc w:val="right"/>
              <w:ind w:right="390"/>
              <w:spacing w:after="0"/>
              <w:rPr>
                <w:sz w:val="20"/>
                <w:szCs w:val="20"/>
                <w:color w:val="auto"/>
              </w:rPr>
            </w:pPr>
            <w:r>
              <w:rPr>
                <w:rFonts w:ascii="Arial" w:cs="Arial" w:eastAsia="Arial" w:hAnsi="Arial"/>
                <w:sz w:val="18"/>
                <w:szCs w:val="18"/>
                <w:b w:val="1"/>
                <w:bCs w:val="1"/>
                <w:color w:val="auto"/>
              </w:rPr>
              <w:t>April 3,</w:t>
            </w:r>
          </w:p>
        </w:tc>
      </w:tr>
      <w:tr>
        <w:trPr>
          <w:trHeight w:val="241"/>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r>
      <w:tr>
        <w:trPr>
          <w:trHeight w:val="225"/>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Inventory (FIFO basis)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143,433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116,325</w:t>
            </w:r>
          </w:p>
        </w:tc>
      </w:tr>
      <w:tr>
        <w:trPr>
          <w:trHeight w:val="230"/>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LIFO reserve</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(30,371)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(21,340)</w:t>
            </w: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inventory</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113,062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94,985</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The first in, first out (“FIFO”) value of inventories accounted for under the last in, first out (“LIFO”) method was $110.3 million at October 2, 2022 and $83.7 million at April 3, 2022. The remainder of the inventory was valued and accounted for under the FIFO method.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Goodwill and Intangible Assets</w:t>
      </w:r>
    </w:p>
    <w:p>
      <w:pPr>
        <w:spacing w:after="0" w:line="139" w:lineRule="exact"/>
        <w:rPr>
          <w:sz w:val="20"/>
          <w:szCs w:val="20"/>
          <w:color w:val="auto"/>
        </w:rPr>
      </w:pPr>
    </w:p>
    <w:p>
      <w:pPr>
        <w:ind w:right="160"/>
        <w:spacing w:after="0" w:line="291" w:lineRule="auto"/>
        <w:rPr>
          <w:sz w:val="20"/>
          <w:szCs w:val="20"/>
          <w:color w:val="auto"/>
        </w:rPr>
      </w:pPr>
      <w:r>
        <w:rPr>
          <w:rFonts w:ascii="Arial" w:cs="Arial" w:eastAsia="Arial" w:hAnsi="Arial"/>
          <w:sz w:val="17"/>
          <w:szCs w:val="17"/>
          <w:color w:val="auto"/>
        </w:rPr>
        <w:t>The carrying amount of goodwill was $77.4 million as of October 2, 2022 and April 3, 2022, of which $44.9 million was related to our Health and Nutrition segment, $26.0 million was related to our Water Treatment segment, and $6.5 million was related to our Industrial segment.</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intangible assets as of October 2, 2022 and April 3, 2022 is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6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October 2, 2022</w:t>
            </w: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4"/>
          </w:tcPr>
          <w:p>
            <w:pPr>
              <w:jc w:val="center"/>
              <w:ind w:right="220"/>
              <w:spacing w:after="0"/>
              <w:rPr>
                <w:sz w:val="20"/>
                <w:szCs w:val="20"/>
                <w:color w:val="auto"/>
              </w:rPr>
            </w:pPr>
            <w:r>
              <w:rPr>
                <w:rFonts w:ascii="Arial" w:cs="Arial" w:eastAsia="Arial" w:hAnsi="Arial"/>
                <w:sz w:val="14"/>
                <w:szCs w:val="14"/>
                <w:b w:val="1"/>
                <w:bCs w:val="1"/>
                <w:color w:val="auto"/>
              </w:rPr>
              <w:t>April 3, 2022</w:t>
            </w: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36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2"/>
                <w:szCs w:val="12"/>
                <w:color w:val="auto"/>
              </w:rPr>
            </w:pPr>
          </w:p>
        </w:tc>
        <w:tc>
          <w:tcPr>
            <w:tcW w:w="940" w:type="dxa"/>
            <w:vAlign w:val="bottom"/>
            <w:gridSpan w:val="2"/>
          </w:tcPr>
          <w:p>
            <w:pPr>
              <w:jc w:val="center"/>
              <w:ind w:right="280"/>
              <w:spacing w:after="0" w:line="148" w:lineRule="exact"/>
              <w:rPr>
                <w:sz w:val="20"/>
                <w:szCs w:val="20"/>
                <w:color w:val="auto"/>
              </w:rPr>
            </w:pPr>
            <w:r>
              <w:rPr>
                <w:rFonts w:ascii="Arial" w:cs="Arial" w:eastAsia="Arial" w:hAnsi="Arial"/>
                <w:sz w:val="14"/>
                <w:szCs w:val="14"/>
                <w:b w:val="1"/>
                <w:bCs w:val="1"/>
                <w:color w:val="auto"/>
              </w:rPr>
              <w:t>Gross</w:t>
            </w:r>
          </w:p>
        </w:tc>
        <w:tc>
          <w:tcPr>
            <w:tcW w:w="160" w:type="dxa"/>
            <w:vAlign w:val="bottom"/>
          </w:tcPr>
          <w:p>
            <w:pPr>
              <w:spacing w:after="0"/>
              <w:rPr>
                <w:sz w:val="12"/>
                <w:szCs w:val="12"/>
                <w:color w:val="auto"/>
              </w:rPr>
            </w:pPr>
          </w:p>
        </w:tc>
        <w:tc>
          <w:tcPr>
            <w:tcW w:w="122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2"/>
                <w:szCs w:val="12"/>
                <w:color w:val="auto"/>
              </w:rPr>
            </w:pPr>
          </w:p>
        </w:tc>
        <w:tc>
          <w:tcPr>
            <w:tcW w:w="9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Net</w:t>
            </w:r>
          </w:p>
        </w:tc>
        <w:tc>
          <w:tcPr>
            <w:tcW w:w="180" w:type="dxa"/>
            <w:vAlign w:val="bottom"/>
          </w:tcPr>
          <w:p>
            <w:pPr>
              <w:spacing w:after="0"/>
              <w:rPr>
                <w:sz w:val="12"/>
                <w:szCs w:val="12"/>
                <w:color w:val="auto"/>
              </w:rPr>
            </w:pPr>
          </w:p>
        </w:tc>
        <w:tc>
          <w:tcPr>
            <w:tcW w:w="840" w:type="dxa"/>
            <w:vAlign w:val="bottom"/>
            <w:gridSpan w:val="2"/>
          </w:tcPr>
          <w:p>
            <w:pPr>
              <w:jc w:val="right"/>
              <w:ind w:right="230"/>
              <w:spacing w:after="0" w:line="148" w:lineRule="exact"/>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4"/>
          </w:tcPr>
          <w:p>
            <w:pPr>
              <w:jc w:val="center"/>
              <w:ind w:right="220"/>
              <w:spacing w:after="0" w:line="148" w:lineRule="exact"/>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2"/>
                <w:szCs w:val="12"/>
                <w:color w:val="auto"/>
              </w:rPr>
            </w:pPr>
          </w:p>
        </w:tc>
        <w:tc>
          <w:tcPr>
            <w:tcW w:w="98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89"/>
        </w:trPr>
        <w:tc>
          <w:tcPr>
            <w:tcW w:w="36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Amortization</w:t>
            </w:r>
          </w:p>
        </w:tc>
        <w:tc>
          <w:tcPr>
            <w:tcW w:w="26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right"/>
              <w:ind w:right="15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Finite-life intangible assets</w:t>
            </w: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620" w:type="dxa"/>
            <w:vAlign w:val="bottom"/>
          </w:tcPr>
          <w:p>
            <w:pPr>
              <w:ind w:left="360"/>
              <w:spacing w:after="0"/>
              <w:rPr>
                <w:sz w:val="20"/>
                <w:szCs w:val="20"/>
                <w:color w:val="auto"/>
              </w:rPr>
            </w:pPr>
            <w:r>
              <w:rPr>
                <w:rFonts w:ascii="Arial" w:cs="Arial" w:eastAsia="Arial" w:hAnsi="Arial"/>
                <w:sz w:val="18"/>
                <w:szCs w:val="18"/>
                <w:color w:val="auto"/>
              </w:rPr>
              <w:t>Customer relationships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109,644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(35,552)</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74,092</w:t>
            </w:r>
          </w:p>
        </w:tc>
        <w:tc>
          <w:tcPr>
            <w:tcW w:w="2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109,644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(32,399)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77,245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Trademarks and trade names</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6,370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(4,746)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finite-life intangible assets</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3,904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(3,807)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finite-life intangible assets</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(44,458)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75,460</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119,918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(40,952)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Indefinite-life intangible assets</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w:t>
            </w:r>
          </w:p>
        </w:tc>
        <w:tc>
          <w:tcPr>
            <w:tcW w:w="2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1,227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intangible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121,145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(44,458)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76,687</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121,145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(40,952)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80,193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8 – Debt</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36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120" w:type="dxa"/>
            <w:vAlign w:val="bottom"/>
            <w:gridSpan w:val="7"/>
          </w:tcPr>
          <w:p>
            <w:pPr>
              <w:spacing w:after="0"/>
              <w:rPr>
                <w:sz w:val="20"/>
                <w:szCs w:val="20"/>
                <w:color w:val="auto"/>
              </w:rPr>
            </w:pPr>
            <w:r>
              <w:rPr>
                <w:rFonts w:ascii="Arial" w:cs="Arial" w:eastAsia="Arial" w:hAnsi="Arial"/>
                <w:sz w:val="18"/>
                <w:szCs w:val="18"/>
                <w:color w:val="auto"/>
              </w:rPr>
              <w:t>Debt at October 2, 2022 and April 3, 2022 consisted of the following:</w:t>
            </w: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3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gridSpan w:val="5"/>
          </w:tcPr>
          <w:p>
            <w:pPr>
              <w:ind w:left="320"/>
              <w:spacing w:after="0"/>
              <w:rPr>
                <w:sz w:val="20"/>
                <w:szCs w:val="20"/>
                <w:color w:val="auto"/>
              </w:rPr>
            </w:pPr>
            <w:r>
              <w:rPr>
                <w:rFonts w:ascii="Arial" w:cs="Arial" w:eastAsia="Arial" w:hAnsi="Arial"/>
                <w:sz w:val="18"/>
                <w:szCs w:val="18"/>
                <w:b w:val="1"/>
                <w:bCs w:val="1"/>
                <w:color w:val="auto"/>
              </w:rPr>
              <w:t>October 2,</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rPr>
              <w:t>April 3,</w:t>
            </w:r>
          </w:p>
        </w:tc>
        <w:tc>
          <w:tcPr>
            <w:tcW w:w="0" w:type="dxa"/>
            <w:vAlign w:val="bottom"/>
          </w:tcPr>
          <w:p>
            <w:pPr>
              <w:spacing w:after="0"/>
              <w:rPr>
                <w:sz w:val="1"/>
                <w:szCs w:val="1"/>
                <w:color w:val="auto"/>
              </w:rPr>
            </w:pPr>
          </w:p>
        </w:tc>
      </w:tr>
      <w:tr>
        <w:trPr>
          <w:trHeight w:val="239"/>
        </w:trPr>
        <w:tc>
          <w:tcPr>
            <w:tcW w:w="362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8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76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3"/>
          </w:tcPr>
          <w:p>
            <w:pPr>
              <w:jc w:val="right"/>
              <w:ind w:right="474"/>
              <w:spacing w:after="0"/>
              <w:rPr>
                <w:sz w:val="20"/>
                <w:szCs w:val="20"/>
                <w:color w:val="auto"/>
              </w:rPr>
            </w:pPr>
            <w:r>
              <w:rPr>
                <w:rFonts w:ascii="Arial" w:cs="Arial" w:eastAsia="Arial" w:hAnsi="Arial"/>
                <w:sz w:val="18"/>
                <w:szCs w:val="18"/>
                <w:b w:val="1"/>
                <w:bCs w:val="1"/>
                <w:color w:val="auto"/>
                <w:w w:val="94"/>
              </w:rPr>
              <w:t>2022</w:t>
            </w:r>
          </w:p>
        </w:tc>
        <w:tc>
          <w:tcPr>
            <w:tcW w:w="1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b w:val="1"/>
                <w:bCs w:val="1"/>
                <w:color w:val="auto"/>
                <w:w w:val="99"/>
              </w:rPr>
              <w:t>2022</w:t>
            </w: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36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620" w:type="dxa"/>
            <w:vAlign w:val="bottom"/>
          </w:tcPr>
          <w:p>
            <w:pPr>
              <w:ind w:left="20"/>
              <w:spacing w:after="0"/>
              <w:rPr>
                <w:sz w:val="20"/>
                <w:szCs w:val="20"/>
                <w:color w:val="auto"/>
              </w:rPr>
            </w:pPr>
            <w:r>
              <w:rPr>
                <w:rFonts w:ascii="Arial" w:cs="Arial" w:eastAsia="Arial" w:hAnsi="Arial"/>
                <w:sz w:val="18"/>
                <w:szCs w:val="18"/>
                <w:color w:val="auto"/>
              </w:rPr>
              <w:t>Senior secured revolving loan</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8"/>
              </w:rPr>
              <w:t>141,000</w:t>
            </w:r>
          </w:p>
        </w:tc>
        <w:tc>
          <w:tcPr>
            <w:tcW w:w="1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ind w:left="260"/>
              <w:spacing w:after="0"/>
              <w:rPr>
                <w:sz w:val="20"/>
                <w:szCs w:val="20"/>
                <w:color w:val="auto"/>
              </w:rPr>
            </w:pPr>
            <w:r>
              <w:rPr>
                <w:rFonts w:ascii="Arial" w:cs="Arial" w:eastAsia="Arial" w:hAnsi="Arial"/>
                <w:sz w:val="18"/>
                <w:szCs w:val="18"/>
                <w:color w:val="auto"/>
              </w:rPr>
              <w:t>126,000</w:t>
            </w: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unamortized debt issuance costs</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23"/>
        </w:trPr>
        <w:tc>
          <w:tcPr>
            <w:tcW w:w="3620" w:type="dxa"/>
            <w:vAlign w:val="bottom"/>
          </w:tcPr>
          <w:p>
            <w:pPr>
              <w:ind w:left="140"/>
              <w:spacing w:after="0"/>
              <w:rPr>
                <w:sz w:val="20"/>
                <w:szCs w:val="20"/>
                <w:color w:val="auto"/>
              </w:rPr>
            </w:pPr>
            <w:r>
              <w:rPr>
                <w:rFonts w:ascii="Arial" w:cs="Arial" w:eastAsia="Arial" w:hAnsi="Arial"/>
                <w:sz w:val="18"/>
                <w:szCs w:val="18"/>
                <w:color w:val="auto"/>
              </w:rPr>
              <w:t>Total debt, net of debt issuance costs</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8"/>
              </w:rPr>
              <w:t>140,601</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ind w:left="260"/>
              <w:spacing w:after="0"/>
              <w:rPr>
                <w:sz w:val="20"/>
                <w:szCs w:val="20"/>
                <w:color w:val="auto"/>
              </w:rPr>
            </w:pPr>
            <w:r>
              <w:rPr>
                <w:rFonts w:ascii="Arial" w:cs="Arial" w:eastAsia="Arial" w:hAnsi="Arial"/>
                <w:sz w:val="18"/>
                <w:szCs w:val="18"/>
                <w:color w:val="auto"/>
              </w:rPr>
              <w:t>125,557</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current portion of long-term debt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(9,913)</w:t>
            </w:r>
          </w:p>
        </w:tc>
        <w:tc>
          <w:tcPr>
            <w:tcW w:w="1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(9,913)</w:t>
            </w:r>
          </w:p>
        </w:tc>
        <w:tc>
          <w:tcPr>
            <w:tcW w:w="0" w:type="dxa"/>
            <w:vAlign w:val="bottom"/>
          </w:tcPr>
          <w:p>
            <w:pPr>
              <w:spacing w:after="0"/>
              <w:rPr>
                <w:sz w:val="1"/>
                <w:szCs w:val="1"/>
                <w:color w:val="auto"/>
              </w:rPr>
            </w:pPr>
          </w:p>
        </w:tc>
      </w:tr>
      <w:tr>
        <w:trPr>
          <w:trHeight w:val="223"/>
        </w:trPr>
        <w:tc>
          <w:tcPr>
            <w:tcW w:w="3620" w:type="dxa"/>
            <w:vAlign w:val="bottom"/>
          </w:tcPr>
          <w:p>
            <w:pPr>
              <w:ind w:left="20"/>
              <w:spacing w:after="0"/>
              <w:rPr>
                <w:sz w:val="20"/>
                <w:szCs w:val="20"/>
                <w:color w:val="auto"/>
              </w:rPr>
            </w:pPr>
            <w:r>
              <w:rPr>
                <w:rFonts w:ascii="Arial" w:cs="Arial" w:eastAsia="Arial" w:hAnsi="Arial"/>
                <w:sz w:val="18"/>
                <w:szCs w:val="18"/>
                <w:color w:val="auto"/>
              </w:rPr>
              <w:t>Total long-term debt</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8"/>
              </w:rPr>
              <w:t>130,688</w:t>
            </w:r>
          </w:p>
        </w:tc>
        <w:tc>
          <w:tcPr>
            <w:tcW w:w="1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ind w:left="260"/>
              <w:spacing w:after="0"/>
              <w:rPr>
                <w:sz w:val="20"/>
                <w:szCs w:val="20"/>
                <w:color w:val="auto"/>
              </w:rPr>
            </w:pPr>
            <w:r>
              <w:rPr>
                <w:rFonts w:ascii="Arial" w:cs="Arial" w:eastAsia="Arial" w:hAnsi="Arial"/>
                <w:sz w:val="18"/>
                <w:szCs w:val="18"/>
                <w:color w:val="auto"/>
              </w:rPr>
              <w:t>115,644</w:t>
            </w:r>
          </w:p>
        </w:tc>
        <w:tc>
          <w:tcPr>
            <w:tcW w:w="0" w:type="dxa"/>
            <w:vAlign w:val="bottom"/>
          </w:tcPr>
          <w:p>
            <w:pPr>
              <w:spacing w:after="0"/>
              <w:rPr>
                <w:sz w:val="1"/>
                <w:szCs w:val="1"/>
                <w:color w:val="auto"/>
              </w:rPr>
            </w:pPr>
          </w:p>
        </w:tc>
      </w:tr>
      <w:tr>
        <w:trPr>
          <w:trHeight w:val="21"/>
        </w:trPr>
        <w:tc>
          <w:tcPr>
            <w:tcW w:w="3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 were in compliance with all covenants of our credit agreement as of October 2, 2022.</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Income Taxes</w:t>
      </w:r>
    </w:p>
    <w:p>
      <w:pPr>
        <w:spacing w:after="0" w:line="13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are subject to U.S. federal income tax as well as income tax of multiple state jurisdictions. The tax years prior to our fiscal year ended March 31, 2019 are closed to examination by the Internal Revenue Service, and with few exceptions, state and local income tax jurisdictions. Our effective income tax rate was 26% for both the six months ended October 2, 2022 and the six months ended September 26, 2021. The effective tax rate is impacted by projected levels of annual taxable income, permanent items, and state taxes.</w:t>
      </w: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03" w:right="37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10 – Leases</w:t>
      </w:r>
    </w:p>
    <w:p>
      <w:pPr>
        <w:spacing w:after="0" w:line="117"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color w:val="auto"/>
        </w:rPr>
        <w:t xml:space="preserve">Lease Obligations. </w:t>
      </w:r>
      <w:r>
        <w:rPr>
          <w:rFonts w:ascii="Arial" w:cs="Arial" w:eastAsia="Arial" w:hAnsi="Arial"/>
          <w:sz w:val="18"/>
          <w:szCs w:val="18"/>
          <w:color w:val="auto"/>
        </w:rPr>
        <w:t>As of October 2, 2022, we were obligated under operating lease agreements for certain manufacturing facilities,</w:t>
      </w:r>
      <w:r>
        <w:rPr>
          <w:rFonts w:ascii="Arial" w:cs="Arial" w:eastAsia="Arial" w:hAnsi="Arial"/>
          <w:sz w:val="18"/>
          <w:szCs w:val="18"/>
          <w:b w:val="1"/>
          <w:bCs w:val="1"/>
          <w:color w:val="auto"/>
        </w:rPr>
        <w:t xml:space="preserve"> </w:t>
      </w:r>
      <w:r>
        <w:rPr>
          <w:rFonts w:ascii="Arial" w:cs="Arial" w:eastAsia="Arial" w:hAnsi="Arial"/>
          <w:sz w:val="18"/>
          <w:szCs w:val="18"/>
          <w:color w:val="auto"/>
        </w:rPr>
        <w:t>warehouse space, the land on which some of our facilities sit, vehicles and information technology equipment. Our leases have remaining original lease terms of 1 year to 22 years, some of which include options to extend the lease for up to 10 years.</w:t>
      </w:r>
    </w:p>
    <w:p>
      <w:pPr>
        <w:spacing w:after="0" w:line="85" w:lineRule="exact"/>
        <w:rPr>
          <w:sz w:val="20"/>
          <w:szCs w:val="20"/>
          <w:color w:val="auto"/>
        </w:rPr>
      </w:pPr>
    </w:p>
    <w:p>
      <w:pPr>
        <w:ind w:right="900"/>
        <w:spacing w:after="0" w:line="261" w:lineRule="auto"/>
        <w:rPr>
          <w:sz w:val="20"/>
          <w:szCs w:val="20"/>
          <w:color w:val="auto"/>
        </w:rPr>
      </w:pPr>
      <w:r>
        <w:rPr>
          <w:rFonts w:ascii="Arial" w:cs="Arial" w:eastAsia="Arial" w:hAnsi="Arial"/>
          <w:sz w:val="18"/>
          <w:szCs w:val="18"/>
          <w:color w:val="auto"/>
        </w:rPr>
        <w:t>As of October 2, 2022, our operating lease components with initial or remaining terms in excess of one year were classified on the condensed consolidated balance sheet within right of use assets, short-term lease liability and long-term lease liability.</w:t>
      </w:r>
    </w:p>
    <w:p>
      <w:pPr>
        <w:spacing w:after="0" w:line="9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Expense for leases less than 12 months was not material for the three and six months ended October 2, 2022 and September 26, 2021. Total lease expense was $0.7 million for both the three months ended October 2, 2022 and September 26, 2021, and was $1.5 million and $1.4 million for the six months ended October 2, 2022 and September 26, 2021.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Other information related to our operating leases was as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420" w:type="dxa"/>
            <w:vAlign w:val="bottom"/>
            <w:tcBorders>
              <w:bottom w:val="single" w:sz="8" w:color="CCEEFF"/>
            </w:tcBorders>
          </w:tcPr>
          <w:p>
            <w:pPr>
              <w:spacing w:after="0"/>
              <w:rPr>
                <w:sz w:val="18"/>
                <w:szCs w:val="18"/>
                <w:color w:val="auto"/>
              </w:rPr>
            </w:pPr>
          </w:p>
        </w:tc>
        <w:tc>
          <w:tcPr>
            <w:tcW w:w="1720" w:type="dxa"/>
            <w:vAlign w:val="bottom"/>
            <w:tcBorders>
              <w:bottom w:val="single" w:sz="8" w:color="CCEEFF"/>
            </w:tcBorders>
          </w:tcPr>
          <w:p>
            <w:pPr>
              <w:spacing w:after="0"/>
              <w:rPr>
                <w:sz w:val="18"/>
                <w:szCs w:val="18"/>
                <w:color w:val="auto"/>
              </w:rPr>
            </w:pPr>
          </w:p>
        </w:tc>
        <w:tc>
          <w:tcPr>
            <w:tcW w:w="254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October 2, 2022</w:t>
            </w:r>
          </w:p>
        </w:tc>
        <w:tc>
          <w:tcPr>
            <w:tcW w:w="1560" w:type="dxa"/>
            <w:vAlign w:val="bottom"/>
            <w:tcBorders>
              <w:bottom w:val="single" w:sz="8" w:color="auto"/>
            </w:tcBorders>
            <w:gridSpan w:val="3"/>
          </w:tcPr>
          <w:p>
            <w:pPr>
              <w:ind w:left="60"/>
              <w:spacing w:after="0"/>
              <w:rPr>
                <w:sz w:val="20"/>
                <w:szCs w:val="20"/>
                <w:color w:val="auto"/>
              </w:rPr>
            </w:pPr>
            <w:r>
              <w:rPr>
                <w:rFonts w:ascii="Arial" w:cs="Arial" w:eastAsia="Arial" w:hAnsi="Arial"/>
                <w:sz w:val="16"/>
                <w:szCs w:val="16"/>
                <w:b w:val="1"/>
                <w:bCs w:val="1"/>
                <w:color w:val="auto"/>
              </w:rPr>
              <w:t>April 3, 2022</w:t>
            </w:r>
          </w:p>
        </w:tc>
        <w:tc>
          <w:tcPr>
            <w:tcW w:w="0" w:type="dxa"/>
            <w:vAlign w:val="bottom"/>
          </w:tcPr>
          <w:p>
            <w:pPr>
              <w:spacing w:after="0"/>
              <w:rPr>
                <w:sz w:val="1"/>
                <w:szCs w:val="1"/>
                <w:color w:val="auto"/>
              </w:rPr>
            </w:pPr>
          </w:p>
        </w:tc>
      </w:tr>
      <w:tr>
        <w:trPr>
          <w:trHeight w:val="213"/>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Lease Term and Discount Rate</w:t>
            </w:r>
          </w:p>
        </w:tc>
        <w:tc>
          <w:tcPr>
            <w:tcW w:w="172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20" w:type="dxa"/>
            <w:vAlign w:val="bottom"/>
          </w:tcPr>
          <w:p>
            <w:pPr>
              <w:ind w:left="140"/>
              <w:spacing w:after="0"/>
              <w:rPr>
                <w:sz w:val="20"/>
                <w:szCs w:val="20"/>
                <w:color w:val="auto"/>
              </w:rPr>
            </w:pPr>
            <w:r>
              <w:rPr>
                <w:rFonts w:ascii="Arial" w:cs="Arial" w:eastAsia="Arial" w:hAnsi="Arial"/>
                <w:sz w:val="18"/>
                <w:szCs w:val="18"/>
                <w:color w:val="auto"/>
              </w:rPr>
              <w:t>Weighted average remaining lease term (years)</w:t>
            </w:r>
          </w:p>
        </w:tc>
        <w:tc>
          <w:tcPr>
            <w:tcW w:w="4260" w:type="dxa"/>
            <w:vAlign w:val="bottom"/>
            <w:gridSpan w:val="2"/>
          </w:tcPr>
          <w:p>
            <w:pPr>
              <w:jc w:val="right"/>
              <w:ind w:right="419"/>
              <w:spacing w:after="0"/>
              <w:rPr>
                <w:sz w:val="20"/>
                <w:szCs w:val="20"/>
                <w:color w:val="auto"/>
              </w:rPr>
            </w:pPr>
            <w:r>
              <w:rPr>
                <w:rFonts w:ascii="Arial" w:cs="Arial" w:eastAsia="Arial" w:hAnsi="Arial"/>
                <w:sz w:val="18"/>
                <w:szCs w:val="18"/>
                <w:color w:val="auto"/>
              </w:rPr>
              <w:t>8.67</w:t>
            </w:r>
          </w:p>
        </w:tc>
        <w:tc>
          <w:tcPr>
            <w:tcW w:w="5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229"/>
        </w:trPr>
        <w:tc>
          <w:tcPr>
            <w:tcW w:w="5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 average discount rate</w:t>
            </w:r>
          </w:p>
        </w:tc>
        <w:tc>
          <w:tcPr>
            <w:tcW w:w="4260" w:type="dxa"/>
            <w:vAlign w:val="bottom"/>
            <w:gridSpan w:val="2"/>
            <w:shd w:val="clear" w:color="auto" w:fill="CCEEFF"/>
          </w:tcPr>
          <w:p>
            <w:pPr>
              <w:jc w:val="right"/>
              <w:ind w:right="419"/>
              <w:spacing w:after="0"/>
              <w:rPr>
                <w:sz w:val="20"/>
                <w:szCs w:val="20"/>
                <w:color w:val="auto"/>
              </w:rPr>
            </w:pPr>
            <w:r>
              <w:rPr>
                <w:rFonts w:ascii="Arial" w:cs="Arial" w:eastAsia="Arial" w:hAnsi="Arial"/>
                <w:sz w:val="18"/>
                <w:szCs w:val="18"/>
                <w:color w:val="auto"/>
              </w:rPr>
              <w:t>2.6 %</w:t>
            </w:r>
          </w:p>
        </w:tc>
        <w:tc>
          <w:tcPr>
            <w:tcW w:w="5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554"/>
        </w:trPr>
        <w:tc>
          <w:tcPr>
            <w:tcW w:w="5420" w:type="dxa"/>
            <w:vAlign w:val="bottom"/>
          </w:tcPr>
          <w:p>
            <w:pPr>
              <w:spacing w:after="0"/>
              <w:rPr>
                <w:sz w:val="20"/>
                <w:szCs w:val="20"/>
                <w:color w:val="auto"/>
              </w:rPr>
            </w:pPr>
            <w:r>
              <w:rPr>
                <w:rFonts w:ascii="Arial" w:cs="Arial" w:eastAsia="Arial" w:hAnsi="Arial"/>
                <w:sz w:val="18"/>
                <w:szCs w:val="18"/>
                <w:color w:val="auto"/>
              </w:rPr>
              <w:t>Maturities of lease liabilities as of October 2, 2022 were as follows:</w:t>
            </w:r>
          </w:p>
        </w:tc>
        <w:tc>
          <w:tcPr>
            <w:tcW w:w="17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54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7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560" w:type="dxa"/>
            <w:vAlign w:val="bottom"/>
            <w:gridSpan w:val="3"/>
          </w:tcPr>
          <w:p>
            <w:pPr>
              <w:ind w:left="80"/>
              <w:spacing w:after="0"/>
              <w:rPr>
                <w:sz w:val="20"/>
                <w:szCs w:val="20"/>
                <w:color w:val="auto"/>
              </w:rPr>
            </w:pPr>
            <w:r>
              <w:rPr>
                <w:rFonts w:ascii="Arial" w:cs="Arial" w:eastAsia="Arial" w:hAnsi="Arial"/>
                <w:sz w:val="16"/>
                <w:szCs w:val="16"/>
                <w:b w:val="1"/>
                <w:bCs w:val="1"/>
                <w:color w:val="auto"/>
              </w:rPr>
              <w:t>Operating Leases</w:t>
            </w:r>
          </w:p>
        </w:tc>
        <w:tc>
          <w:tcPr>
            <w:tcW w:w="0" w:type="dxa"/>
            <w:vAlign w:val="bottom"/>
          </w:tcPr>
          <w:p>
            <w:pPr>
              <w:spacing w:after="0"/>
              <w:rPr>
                <w:sz w:val="1"/>
                <w:szCs w:val="1"/>
                <w:color w:val="auto"/>
              </w:rPr>
            </w:pPr>
          </w:p>
        </w:tc>
      </w:tr>
      <w:tr>
        <w:trPr>
          <w:trHeight w:val="226"/>
        </w:trPr>
        <w:tc>
          <w:tcPr>
            <w:tcW w:w="5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Remaining fiscal 2023</w:t>
            </w:r>
          </w:p>
        </w:tc>
        <w:tc>
          <w:tcPr>
            <w:tcW w:w="1720" w:type="dxa"/>
            <w:vAlign w:val="bottom"/>
            <w:tcBorders>
              <w:top w:val="single" w:sz="8" w:color="CCEEFF"/>
            </w:tcBorders>
            <w:shd w:val="clear" w:color="auto" w:fill="CCEEFF"/>
          </w:tcPr>
          <w:p>
            <w:pPr>
              <w:spacing w:after="0"/>
              <w:rPr>
                <w:sz w:val="19"/>
                <w:szCs w:val="19"/>
                <w:color w:val="auto"/>
              </w:rPr>
            </w:pPr>
          </w:p>
        </w:tc>
        <w:tc>
          <w:tcPr>
            <w:tcW w:w="254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294"/>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20" w:type="dxa"/>
            <w:vAlign w:val="bottom"/>
          </w:tcPr>
          <w:p>
            <w:pPr>
              <w:ind w:left="20"/>
              <w:spacing w:after="0"/>
              <w:rPr>
                <w:sz w:val="20"/>
                <w:szCs w:val="20"/>
                <w:color w:val="auto"/>
              </w:rPr>
            </w:pPr>
            <w:r>
              <w:rPr>
                <w:rFonts w:ascii="Arial" w:cs="Arial" w:eastAsia="Arial" w:hAnsi="Arial"/>
                <w:sz w:val="18"/>
                <w:szCs w:val="18"/>
                <w:color w:val="auto"/>
              </w:rPr>
              <w:t>Fiscal 2024</w:t>
            </w:r>
          </w:p>
        </w:tc>
        <w:tc>
          <w:tcPr>
            <w:tcW w:w="17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1,393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2025</w:t>
            </w:r>
          </w:p>
        </w:tc>
        <w:tc>
          <w:tcPr>
            <w:tcW w:w="1720" w:type="dxa"/>
            <w:vAlign w:val="bottom"/>
            <w:shd w:val="clear" w:color="auto" w:fill="CCEEFF"/>
          </w:tcPr>
          <w:p>
            <w:pPr>
              <w:spacing w:after="0"/>
              <w:rPr>
                <w:sz w:val="19"/>
                <w:szCs w:val="19"/>
                <w:color w:val="auto"/>
              </w:rPr>
            </w:pPr>
          </w:p>
        </w:tc>
        <w:tc>
          <w:tcPr>
            <w:tcW w:w="25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tcPr>
          <w:p>
            <w:pPr>
              <w:ind w:left="20"/>
              <w:spacing w:after="0"/>
              <w:rPr>
                <w:sz w:val="20"/>
                <w:szCs w:val="20"/>
                <w:color w:val="auto"/>
              </w:rPr>
            </w:pPr>
            <w:r>
              <w:rPr>
                <w:rFonts w:ascii="Arial" w:cs="Arial" w:eastAsia="Arial" w:hAnsi="Arial"/>
                <w:sz w:val="18"/>
                <w:szCs w:val="18"/>
                <w:color w:val="auto"/>
              </w:rPr>
              <w:t>Fiscal 2026</w:t>
            </w:r>
          </w:p>
        </w:tc>
        <w:tc>
          <w:tcPr>
            <w:tcW w:w="17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2027</w:t>
            </w:r>
          </w:p>
        </w:tc>
        <w:tc>
          <w:tcPr>
            <w:tcW w:w="1720" w:type="dxa"/>
            <w:vAlign w:val="bottom"/>
            <w:shd w:val="clear" w:color="auto" w:fill="CCEEFF"/>
          </w:tcPr>
          <w:p>
            <w:pPr>
              <w:spacing w:after="0"/>
              <w:rPr>
                <w:sz w:val="19"/>
                <w:szCs w:val="19"/>
                <w:color w:val="auto"/>
              </w:rPr>
            </w:pPr>
          </w:p>
        </w:tc>
        <w:tc>
          <w:tcPr>
            <w:tcW w:w="25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1720" w:type="dxa"/>
            <w:vAlign w:val="bottom"/>
            <w:tcBorders>
              <w:bottom w:val="single" w:sz="8" w:color="CCEEFF"/>
            </w:tcBorders>
          </w:tcPr>
          <w:p>
            <w:pPr>
              <w:spacing w:after="0"/>
              <w:rPr>
                <w:sz w:val="19"/>
                <w:szCs w:val="19"/>
                <w:color w:val="auto"/>
              </w:rPr>
            </w:pPr>
          </w:p>
        </w:tc>
        <w:tc>
          <w:tcPr>
            <w:tcW w:w="25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720" w:type="dxa"/>
            <w:vAlign w:val="bottom"/>
            <w:shd w:val="clear" w:color="auto" w:fill="CCEEFF"/>
          </w:tcPr>
          <w:p>
            <w:pPr>
              <w:spacing w:after="0"/>
              <w:rPr>
                <w:sz w:val="19"/>
                <w:szCs w:val="19"/>
                <w:color w:val="auto"/>
              </w:rPr>
            </w:pPr>
          </w:p>
        </w:tc>
        <w:tc>
          <w:tcPr>
            <w:tcW w:w="254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Interest</w:t>
            </w:r>
          </w:p>
        </w:tc>
        <w:tc>
          <w:tcPr>
            <w:tcW w:w="1720" w:type="dxa"/>
            <w:vAlign w:val="bottom"/>
            <w:tcBorders>
              <w:bottom w:val="single" w:sz="8" w:color="CCEEFF"/>
            </w:tcBorders>
          </w:tcPr>
          <w:p>
            <w:pPr>
              <w:spacing w:after="0"/>
              <w:rPr>
                <w:sz w:val="19"/>
                <w:szCs w:val="19"/>
                <w:color w:val="auto"/>
              </w:rPr>
            </w:pPr>
          </w:p>
        </w:tc>
        <w:tc>
          <w:tcPr>
            <w:tcW w:w="25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1720" w:type="dxa"/>
            <w:vAlign w:val="bottom"/>
            <w:tcBorders>
              <w:bottom w:val="single" w:sz="8" w:color="CCEEFF"/>
            </w:tcBorders>
            <w:shd w:val="clear" w:color="auto" w:fill="CCEEFF"/>
          </w:tcPr>
          <w:p>
            <w:pPr>
              <w:spacing w:after="0"/>
              <w:rPr>
                <w:sz w:val="21"/>
                <w:szCs w:val="21"/>
                <w:color w:val="auto"/>
              </w:rPr>
            </w:pPr>
          </w:p>
        </w:tc>
        <w:tc>
          <w:tcPr>
            <w:tcW w:w="25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4"/>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10,191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CCEEFF"/>
            </w:tcBorders>
            <w:vMerge w:val="restart"/>
          </w:tcPr>
          <w:p>
            <w:pPr>
              <w:jc w:val="right"/>
              <w:ind w:right="1330"/>
              <w:spacing w:after="0"/>
              <w:rPr>
                <w:sz w:val="20"/>
                <w:szCs w:val="20"/>
                <w:color w:val="auto"/>
              </w:rPr>
            </w:pPr>
            <w:r>
              <w:rPr>
                <w:rFonts w:ascii="Arial" w:cs="Arial" w:eastAsia="Arial" w:hAnsi="Arial"/>
                <w:sz w:val="18"/>
                <w:szCs w:val="18"/>
                <w:color w:val="auto"/>
              </w:rPr>
              <w:t>10</w:t>
            </w:r>
          </w:p>
        </w:tc>
        <w:tc>
          <w:tcPr>
            <w:tcW w:w="25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5420" w:type="dxa"/>
            <w:vAlign w:val="bottom"/>
          </w:tcPr>
          <w:p>
            <w:pPr>
              <w:spacing w:after="0"/>
              <w:rPr>
                <w:sz w:val="24"/>
                <w:szCs w:val="24"/>
                <w:color w:val="auto"/>
              </w:rPr>
            </w:pPr>
          </w:p>
        </w:tc>
        <w:tc>
          <w:tcPr>
            <w:tcW w:w="1720" w:type="dxa"/>
            <w:vAlign w:val="bottom"/>
            <w:vMerge w:val="continue"/>
          </w:tcPr>
          <w:p>
            <w:pPr>
              <w:spacing w:after="0"/>
              <w:rPr>
                <w:sz w:val="24"/>
                <w:szCs w:val="24"/>
                <w:color w:val="auto"/>
              </w:rPr>
            </w:pPr>
          </w:p>
        </w:tc>
        <w:tc>
          <w:tcPr>
            <w:tcW w:w="2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2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25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Note 11 – Share-Based Compensation</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Performance-Based Restricted Stock Units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Board of Directors (the “Board”) approved a performance-based equity compensation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arrangement for our executive officers during the first quarters of each of fiscal 2023 and fiscal 2022. These performance-based arrangements provide for the grant of performance-based restricted stock units that represent a possible future issuance of restricted shares of our common stock based on a pre-tax income target for the applicable fiscal year. The actual number of restricted shares to be issued to each executive officer is determined when our final financial information becomes available after the applicable fiscal year and will be between zero shares and 76,863 shares in the aggregate for fiscal 2023. The restricted shares issued, if any, will fully vest approximately two years after the last day of the fiscal year on which the performance is based. We are recording the compensation expense for the outstanding performance share units and the converted restricted stock over the life of the awards.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the restricted stock activity for the six months ended October 2, 2022:</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center"/>
              <w:ind w:right="93"/>
              <w:spacing w:after="0"/>
              <w:rPr>
                <w:sz w:val="20"/>
                <w:szCs w:val="20"/>
                <w:color w:val="auto"/>
              </w:rPr>
            </w:pPr>
            <w:r>
              <w:rPr>
                <w:rFonts w:ascii="Arial" w:cs="Arial" w:eastAsia="Arial" w:hAnsi="Arial"/>
                <w:sz w:val="16"/>
                <w:szCs w:val="16"/>
                <w:b w:val="1"/>
                <w:bCs w:val="1"/>
                <w:color w:val="auto"/>
              </w:rPr>
              <w:t>Weighted-</w:t>
            </w:r>
          </w:p>
        </w:tc>
        <w:tc>
          <w:tcPr>
            <w:tcW w:w="0" w:type="dxa"/>
            <w:vAlign w:val="bottom"/>
          </w:tcPr>
          <w:p>
            <w:pPr>
              <w:spacing w:after="0"/>
              <w:rPr>
                <w:sz w:val="1"/>
                <w:szCs w:val="1"/>
                <w:color w:val="auto"/>
              </w:rPr>
            </w:pPr>
          </w:p>
        </w:tc>
      </w:tr>
      <w:tr>
        <w:trPr>
          <w:trHeight w:val="162"/>
        </w:trPr>
        <w:tc>
          <w:tcPr>
            <w:tcW w:w="7860" w:type="dxa"/>
            <w:vAlign w:val="bottom"/>
          </w:tcPr>
          <w:p>
            <w:pPr>
              <w:spacing w:after="0"/>
              <w:rPr>
                <w:sz w:val="14"/>
                <w:szCs w:val="14"/>
                <w:color w:val="auto"/>
              </w:rPr>
            </w:pPr>
          </w:p>
        </w:tc>
        <w:tc>
          <w:tcPr>
            <w:tcW w:w="1440" w:type="dxa"/>
            <w:vAlign w:val="bottom"/>
            <w:gridSpan w:val="2"/>
            <w:vMerge w:val="restart"/>
          </w:tcPr>
          <w:p>
            <w:pPr>
              <w:ind w:left="400"/>
              <w:spacing w:after="0"/>
              <w:rPr>
                <w:sz w:val="20"/>
                <w:szCs w:val="20"/>
                <w:color w:val="auto"/>
              </w:rPr>
            </w:pPr>
            <w:r>
              <w:rPr>
                <w:rFonts w:ascii="Arial" w:cs="Arial" w:eastAsia="Arial" w:hAnsi="Arial"/>
                <w:sz w:val="16"/>
                <w:szCs w:val="16"/>
                <w:b w:val="1"/>
                <w:bCs w:val="1"/>
                <w:color w:val="auto"/>
              </w:rPr>
              <w:t>Shares</w:t>
            </w:r>
          </w:p>
        </w:tc>
        <w:tc>
          <w:tcPr>
            <w:tcW w:w="180" w:type="dxa"/>
            <w:vAlign w:val="bottom"/>
          </w:tcPr>
          <w:p>
            <w:pPr>
              <w:spacing w:after="0"/>
              <w:rPr>
                <w:sz w:val="14"/>
                <w:szCs w:val="14"/>
                <w:color w:val="auto"/>
              </w:rPr>
            </w:pPr>
          </w:p>
        </w:tc>
        <w:tc>
          <w:tcPr>
            <w:tcW w:w="1480" w:type="dxa"/>
            <w:vAlign w:val="bottom"/>
          </w:tcPr>
          <w:p>
            <w:pPr>
              <w:jc w:val="center"/>
              <w:ind w:right="93"/>
              <w:spacing w:after="0" w:line="162" w:lineRule="exact"/>
              <w:rPr>
                <w:sz w:val="20"/>
                <w:szCs w:val="20"/>
                <w:color w:val="auto"/>
              </w:rPr>
            </w:pPr>
            <w:r>
              <w:rPr>
                <w:rFonts w:ascii="Arial" w:cs="Arial" w:eastAsia="Arial" w:hAnsi="Arial"/>
                <w:sz w:val="16"/>
                <w:szCs w:val="16"/>
                <w:b w:val="1"/>
                <w:bCs w:val="1"/>
                <w:color w:val="auto"/>
                <w:w w:val="99"/>
              </w:rPr>
              <w:t>Average Grant</w:t>
            </w:r>
          </w:p>
        </w:tc>
        <w:tc>
          <w:tcPr>
            <w:tcW w:w="0" w:type="dxa"/>
            <w:vAlign w:val="bottom"/>
          </w:tcPr>
          <w:p>
            <w:pPr>
              <w:spacing w:after="0"/>
              <w:rPr>
                <w:sz w:val="1"/>
                <w:szCs w:val="1"/>
                <w:color w:val="auto"/>
              </w:rPr>
            </w:pPr>
          </w:p>
        </w:tc>
      </w:tr>
      <w:tr>
        <w:trPr>
          <w:trHeight w:val="215"/>
        </w:trPr>
        <w:tc>
          <w:tcPr>
            <w:tcW w:w="786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center"/>
              <w:ind w:right="113"/>
              <w:spacing w:after="0"/>
              <w:rPr>
                <w:sz w:val="20"/>
                <w:szCs w:val="20"/>
                <w:color w:val="auto"/>
              </w:rPr>
            </w:pPr>
            <w:r>
              <w:rPr>
                <w:rFonts w:ascii="Arial" w:cs="Arial" w:eastAsia="Arial" w:hAnsi="Arial"/>
                <w:sz w:val="16"/>
                <w:szCs w:val="16"/>
                <w:b w:val="1"/>
                <w:bCs w:val="1"/>
                <w:color w:val="auto"/>
              </w:rPr>
              <w:t>Date Fair Value</w:t>
            </w:r>
          </w:p>
        </w:tc>
        <w:tc>
          <w:tcPr>
            <w:tcW w:w="0" w:type="dxa"/>
            <w:vAlign w:val="bottom"/>
          </w:tcPr>
          <w:p>
            <w:pPr>
              <w:spacing w:after="0"/>
              <w:rPr>
                <w:sz w:val="1"/>
                <w:szCs w:val="1"/>
                <w:color w:val="auto"/>
              </w:rPr>
            </w:pPr>
          </w:p>
        </w:tc>
      </w:tr>
      <w:tr>
        <w:trPr>
          <w:trHeight w:val="224"/>
        </w:trPr>
        <w:tc>
          <w:tcPr>
            <w:tcW w:w="7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beginning of period</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214,478</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25.48</w:t>
            </w: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Granted</w:t>
            </w:r>
          </w:p>
        </w:tc>
        <w:tc>
          <w:tcPr>
            <w:tcW w:w="1320" w:type="dxa"/>
            <w:vAlign w:val="bottom"/>
          </w:tcPr>
          <w:p>
            <w:pPr>
              <w:jc w:val="right"/>
              <w:spacing w:after="0"/>
              <w:rPr>
                <w:sz w:val="20"/>
                <w:szCs w:val="20"/>
                <w:color w:val="auto"/>
              </w:rPr>
            </w:pPr>
            <w:r>
              <w:rPr>
                <w:rFonts w:ascii="Arial" w:cs="Arial" w:eastAsia="Arial" w:hAnsi="Arial"/>
                <w:sz w:val="18"/>
                <w:szCs w:val="18"/>
                <w:color w:val="auto"/>
              </w:rPr>
              <w:t>88,524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38.31</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(102,860)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18.69</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 or expired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(10,884)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34.68</w:t>
            </w:r>
          </w:p>
        </w:tc>
        <w:tc>
          <w:tcPr>
            <w:tcW w:w="0" w:type="dxa"/>
            <w:vAlign w:val="bottom"/>
          </w:tcPr>
          <w:p>
            <w:pPr>
              <w:spacing w:after="0"/>
              <w:rPr>
                <w:sz w:val="1"/>
                <w:szCs w:val="1"/>
                <w:color w:val="auto"/>
              </w:rPr>
            </w:pP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end of period</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189,258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34.64</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We recorded compensation expense related to performance share units and restricted stock of $0.8 million and $1.2 million for the three and six months ended October 2, 2022, respectively. We recorded compensation expense related to performance share units and restricted stock of $0.6 million and $1.2 million for the three and six months ended September 26, 2021, respectively. Substantially all of the compensation expense was recorded in selling, general and administrative expenses in the condensed consolidated statements of income.</w:t>
      </w:r>
    </w:p>
    <w:p>
      <w:pPr>
        <w:spacing w:after="0" w:line="71" w:lineRule="exact"/>
        <w:rPr>
          <w:sz w:val="20"/>
          <w:szCs w:val="20"/>
          <w:color w:val="auto"/>
        </w:rPr>
      </w:pPr>
    </w:p>
    <w:p>
      <w:pPr>
        <w:ind w:right="480"/>
        <w:spacing w:after="0" w:line="248" w:lineRule="auto"/>
        <w:rPr>
          <w:sz w:val="20"/>
          <w:szCs w:val="20"/>
          <w:color w:val="auto"/>
        </w:rPr>
      </w:pPr>
      <w:r>
        <w:rPr>
          <w:rFonts w:ascii="Arial" w:cs="Arial" w:eastAsia="Arial" w:hAnsi="Arial"/>
          <w:sz w:val="18"/>
          <w:szCs w:val="18"/>
          <w:b w:val="1"/>
          <w:bCs w:val="1"/>
          <w:i w:val="1"/>
          <w:iCs w:val="1"/>
          <w:color w:val="auto"/>
        </w:rPr>
        <w:t>Restricted Stock Awards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part of their retainer, our non-employee directors receive restricted stock for their Board services.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restricted stock awards are generally expensed over a one-year vesting period, based on the market value on the date of grant. As of October 2, 2022, there were 12,565 shares of restricted stock with an average grant date fair value of $ 38.98 outstanding under this program. Compensation expense for both the three months ended October 2, 2022 and September 26, 2021 related to restricted stock awards to the Board was $0.1 million. Compensation expense for both the six months ended October 2, 2022 and September 26, 2021 related to restricted stock awards to the Board was $0.2 million.</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Share Repurchase Program</w:t>
      </w:r>
    </w:p>
    <w:p>
      <w:pPr>
        <w:spacing w:after="0" w:line="18" w:lineRule="exact"/>
        <w:rPr>
          <w:sz w:val="20"/>
          <w:szCs w:val="20"/>
          <w:color w:val="auto"/>
        </w:rPr>
      </w:pPr>
    </w:p>
    <w:p>
      <w:pPr>
        <w:ind w:right="500"/>
        <w:spacing w:after="0" w:line="248" w:lineRule="auto"/>
        <w:rPr>
          <w:sz w:val="20"/>
          <w:szCs w:val="20"/>
          <w:color w:val="auto"/>
        </w:rPr>
      </w:pPr>
      <w:r>
        <w:rPr>
          <w:rFonts w:ascii="Arial" w:cs="Arial" w:eastAsia="Arial" w:hAnsi="Arial"/>
          <w:sz w:val="17"/>
          <w:szCs w:val="17"/>
          <w:color w:val="auto"/>
        </w:rPr>
        <w:t>On August 4, 2022, our Board increased the number of shares authorized to be purchased from 1.6 million to 2.6 million shares of our outstanding common stock for cash on the open market or in privately negotiated transactions subject to applicable securities laws and regulations. Upon purchase of the shares, we reduce our common stock for the par value of the shares with the excess applied against additional paid-in capital. During the three months ended October 2, 2022, no shares were repurchased. During the six months ended October 2, 2022, we repurchased 181,657 shares at an aggregate purchase price of $6.6 million. During the three months ended</w:t>
      </w:r>
    </w:p>
    <w:p>
      <w:pPr>
        <w:spacing w:after="0" w:line="3" w:lineRule="exact"/>
        <w:rPr>
          <w:sz w:val="20"/>
          <w:szCs w:val="20"/>
          <w:color w:val="auto"/>
        </w:rPr>
      </w:pPr>
    </w:p>
    <w:p>
      <w:pPr>
        <w:ind w:right="460"/>
        <w:spacing w:after="0" w:line="226" w:lineRule="auto"/>
        <w:rPr>
          <w:sz w:val="20"/>
          <w:szCs w:val="20"/>
          <w:color w:val="auto"/>
        </w:rPr>
      </w:pPr>
      <w:r>
        <w:rPr>
          <w:rFonts w:ascii="Arial" w:cs="Arial" w:eastAsia="Arial" w:hAnsi="Arial"/>
          <w:sz w:val="18"/>
          <w:szCs w:val="18"/>
          <w:color w:val="auto"/>
        </w:rPr>
        <w:t>September 26, 2021, we repurchased 109,009 shares at an aggregate purchase price of $4.0 million. During the six months ended September 26, 2021, we repurchased 209,963 shares at an aggregate purchase price of $7.4 million. As of October 2, 2022, 1,129,348</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shares remained available to be repurchased under the share repurchase program.</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3"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13 – Segment Information</w:t>
      </w:r>
    </w:p>
    <w:p>
      <w:pPr>
        <w:spacing w:after="0" w:line="139" w:lineRule="exact"/>
        <w:rPr>
          <w:sz w:val="20"/>
          <w:szCs w:val="20"/>
          <w:color w:val="auto"/>
        </w:rPr>
      </w:pPr>
    </w:p>
    <w:p>
      <w:pPr>
        <w:ind w:right="140"/>
        <w:spacing w:after="0" w:line="256" w:lineRule="auto"/>
        <w:rPr>
          <w:rFonts w:ascii="Arial" w:cs="Arial" w:eastAsia="Arial" w:hAnsi="Arial"/>
          <w:sz w:val="18"/>
          <w:szCs w:val="18"/>
          <w:color w:val="0000FF"/>
        </w:rPr>
      </w:pPr>
      <w:r>
        <w:rPr>
          <w:rFonts w:ascii="Arial" w:cs="Arial" w:eastAsia="Arial" w:hAnsi="Arial"/>
          <w:sz w:val="18"/>
          <w:szCs w:val="18"/>
          <w:color w:val="auto"/>
        </w:rPr>
        <w:t xml:space="preserve">We have three reportable segments: Industrial, Water Treatment, and Health and Nutrition. The accounting policies of the segments are the </w:t>
      </w:r>
      <w:hyperlink r:id="rId18">
        <w:r>
          <w:rPr>
            <w:rFonts w:ascii="Arial" w:cs="Arial" w:eastAsia="Arial" w:hAnsi="Arial"/>
            <w:sz w:val="18"/>
            <w:szCs w:val="18"/>
            <w:color w:val="auto"/>
          </w:rPr>
          <w:t xml:space="preserve">same as those described in the summary of significant accounting policies in our </w:t>
        </w:r>
        <w:r>
          <w:rPr>
            <w:rFonts w:ascii="Arial" w:cs="Arial" w:eastAsia="Arial" w:hAnsi="Arial"/>
            <w:sz w:val="18"/>
            <w:szCs w:val="18"/>
            <w:u w:val="single" w:color="auto"/>
            <w:color w:val="0000FF"/>
          </w:rPr>
          <w:t>Annual Report on Form 10-K for the fiscal year ended</w:t>
        </w:r>
      </w:hyperlink>
      <w:r>
        <w:rPr>
          <w:rFonts w:ascii="Arial" w:cs="Arial" w:eastAsia="Arial" w:hAnsi="Arial"/>
          <w:sz w:val="18"/>
          <w:szCs w:val="18"/>
          <w:color w:val="auto"/>
        </w:rPr>
        <w:t xml:space="preserve"> </w:t>
      </w:r>
      <w:hyperlink r:id="rId18">
        <w:r>
          <w:rPr>
            <w:rFonts w:ascii="Arial" w:cs="Arial" w:eastAsia="Arial" w:hAnsi="Arial"/>
            <w:sz w:val="18"/>
            <w:szCs w:val="18"/>
            <w:u w:val="single" w:color="auto"/>
            <w:color w:val="0000FF"/>
          </w:rPr>
          <w:t>April 3, 2022</w:t>
        </w:r>
        <w:r>
          <w:rPr>
            <w:rFonts w:ascii="Arial" w:cs="Arial" w:eastAsia="Arial" w:hAnsi="Arial"/>
            <w:sz w:val="18"/>
            <w:szCs w:val="18"/>
            <w:color w:val="000000"/>
          </w:rPr>
          <w:t>.</w:t>
        </w:r>
      </w:hyperlink>
    </w:p>
    <w:p>
      <w:pPr>
        <w:spacing w:after="0" w:line="94"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We evaluate performance based on profit or loss from operations before income taxes not including nonrecurring gains and losses. Reportable segments are defined primarily by product and type of customer. Segments are responsible for the sales, marketing and development of their products and services. We allocate certain corporate expenses to our operating segments. There are no intersegment sales and no operating segments have been aggregated. No single customer’s revenues amounted to 10% or more of our total revenue. Sales are primarily within the United States and all assets are located within the United States.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Industrial</w:t>
            </w:r>
          </w:p>
        </w:tc>
        <w:tc>
          <w:tcPr>
            <w:tcW w:w="180" w:type="dxa"/>
            <w:vAlign w:val="bottom"/>
          </w:tcPr>
          <w:p>
            <w:pPr>
              <w:spacing w:after="0"/>
              <w:rPr>
                <w:sz w:val="17"/>
                <w:szCs w:val="17"/>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Water</w:t>
            </w:r>
          </w:p>
        </w:tc>
        <w:tc>
          <w:tcPr>
            <w:tcW w:w="16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9"/>
              </w:rPr>
              <w:t>Health and</w:t>
            </w:r>
          </w:p>
        </w:tc>
        <w:tc>
          <w:tcPr>
            <w:tcW w:w="300" w:type="dxa"/>
            <w:vAlign w:val="bottom"/>
          </w:tcPr>
          <w:p>
            <w:pPr>
              <w:spacing w:after="0"/>
              <w:rPr>
                <w:sz w:val="17"/>
                <w:szCs w:val="17"/>
                <w:color w:val="auto"/>
              </w:rPr>
            </w:pPr>
          </w:p>
        </w:tc>
        <w:tc>
          <w:tcPr>
            <w:tcW w:w="104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9"/>
        </w:trPr>
        <w:tc>
          <w:tcPr>
            <w:tcW w:w="55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8"/>
              </w:rPr>
              <w:t>Treatment</w:t>
            </w:r>
          </w:p>
        </w:tc>
        <w:tc>
          <w:tcPr>
            <w:tcW w:w="160" w:type="dxa"/>
            <w:vAlign w:val="bottom"/>
          </w:tcPr>
          <w:p>
            <w:pPr>
              <w:spacing w:after="0"/>
              <w:rPr>
                <w:sz w:val="20"/>
                <w:szCs w:val="20"/>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rPr>
              <w:t>Nutrition</w:t>
            </w:r>
          </w:p>
        </w:tc>
        <w:tc>
          <w:tcPr>
            <w:tcW w:w="30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Three months ended October 2, 2022:</w:t>
            </w: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60" w:type="dxa"/>
            <w:vAlign w:val="bottom"/>
          </w:tcPr>
          <w:p>
            <w:pPr>
              <w:ind w:left="360"/>
              <w:spacing w:after="0"/>
              <w:rPr>
                <w:sz w:val="20"/>
                <w:szCs w:val="20"/>
                <w:color w:val="auto"/>
              </w:rPr>
            </w:pPr>
            <w:r>
              <w:rPr>
                <w:rFonts w:ascii="Arial" w:cs="Arial" w:eastAsia="Arial" w:hAnsi="Arial"/>
                <w:sz w:val="18"/>
                <w:szCs w:val="18"/>
                <w:color w:val="auto"/>
              </w:rPr>
              <w:t>Sales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113,939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86,488</w:t>
            </w: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40,765</w:t>
            </w:r>
          </w:p>
        </w:tc>
        <w:tc>
          <w:tcPr>
            <w:tcW w:w="14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241,192</w:t>
            </w: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20,504</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8,157</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46,374</w:t>
            </w:r>
          </w:p>
        </w:tc>
        <w:tc>
          <w:tcPr>
            <w:tcW w:w="0" w:type="dxa"/>
            <w:vAlign w:val="bottom"/>
          </w:tcPr>
          <w:p>
            <w:pPr>
              <w:spacing w:after="0"/>
              <w:rPr>
                <w:sz w:val="1"/>
                <w:szCs w:val="1"/>
                <w:color w:val="auto"/>
              </w:rPr>
            </w:pPr>
          </w:p>
        </w:tc>
      </w:tr>
      <w:tr>
        <w:trPr>
          <w:trHeight w:val="229"/>
        </w:trPr>
        <w:tc>
          <w:tcPr>
            <w:tcW w:w="5560" w:type="dxa"/>
            <w:vAlign w:val="bottom"/>
          </w:tcPr>
          <w:p>
            <w:pPr>
              <w:ind w:left="36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6,891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9,082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3,865</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19,838</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income</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11,422</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4,292</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26,536</w:t>
            </w:r>
          </w:p>
        </w:tc>
        <w:tc>
          <w:tcPr>
            <w:tcW w:w="0" w:type="dxa"/>
            <w:vAlign w:val="bottom"/>
          </w:tcPr>
          <w:p>
            <w:pPr>
              <w:spacing w:after="0"/>
              <w:rPr>
                <w:sz w:val="1"/>
                <w:szCs w:val="1"/>
                <w:color w:val="auto"/>
              </w:rPr>
            </w:pPr>
          </w:p>
        </w:tc>
      </w:tr>
      <w:tr>
        <w:trPr>
          <w:trHeight w:val="229"/>
        </w:trPr>
        <w:tc>
          <w:tcPr>
            <w:tcW w:w="5560" w:type="dxa"/>
            <w:vAlign w:val="bottom"/>
          </w:tcPr>
          <w:p>
            <w:pPr>
              <w:ind w:left="20"/>
              <w:spacing w:after="0"/>
              <w:rPr>
                <w:sz w:val="20"/>
                <w:szCs w:val="20"/>
                <w:color w:val="auto"/>
              </w:rPr>
            </w:pPr>
            <w:r>
              <w:rPr>
                <w:rFonts w:ascii="Arial" w:cs="Arial" w:eastAsia="Arial" w:hAnsi="Arial"/>
                <w:sz w:val="18"/>
                <w:szCs w:val="18"/>
                <w:color w:val="auto"/>
              </w:rPr>
              <w:t>Three months ended September 26, 2021:</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62,111</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37,998</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183,277</w:t>
            </w:r>
          </w:p>
        </w:tc>
        <w:tc>
          <w:tcPr>
            <w:tcW w:w="0" w:type="dxa"/>
            <w:vAlign w:val="bottom"/>
          </w:tcPr>
          <w:p>
            <w:pPr>
              <w:spacing w:after="0"/>
              <w:rPr>
                <w:sz w:val="1"/>
                <w:szCs w:val="1"/>
                <w:color w:val="auto"/>
              </w:rPr>
            </w:pPr>
          </w:p>
        </w:tc>
      </w:tr>
      <w:tr>
        <w:trPr>
          <w:trHeight w:val="230"/>
        </w:trPr>
        <w:tc>
          <w:tcPr>
            <w:tcW w:w="5560" w:type="dxa"/>
            <w:vAlign w:val="bottom"/>
          </w:tcPr>
          <w:p>
            <w:pPr>
              <w:ind w:left="360"/>
              <w:spacing w:after="0"/>
              <w:rPr>
                <w:sz w:val="20"/>
                <w:szCs w:val="20"/>
                <w:color w:val="auto"/>
              </w:rPr>
            </w:pPr>
            <w:r>
              <w:rPr>
                <w:rFonts w:ascii="Arial" w:cs="Arial" w:eastAsia="Arial" w:hAnsi="Arial"/>
                <w:sz w:val="18"/>
                <w:szCs w:val="18"/>
                <w:color w:val="auto"/>
              </w:rPr>
              <w:t>Gross profit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12,564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17,518</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7,205</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37,287</w:t>
            </w: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7,405</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3,818</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17,679</w:t>
            </w:r>
          </w:p>
        </w:tc>
        <w:tc>
          <w:tcPr>
            <w:tcW w:w="0" w:type="dxa"/>
            <w:vAlign w:val="bottom"/>
          </w:tcPr>
          <w:p>
            <w:pPr>
              <w:spacing w:after="0"/>
              <w:rPr>
                <w:sz w:val="1"/>
                <w:szCs w:val="1"/>
                <w:color w:val="auto"/>
              </w:rPr>
            </w:pPr>
          </w:p>
        </w:tc>
      </w:tr>
      <w:tr>
        <w:trPr>
          <w:trHeight w:val="230"/>
        </w:trPr>
        <w:tc>
          <w:tcPr>
            <w:tcW w:w="5560" w:type="dxa"/>
            <w:vAlign w:val="bottom"/>
          </w:tcPr>
          <w:p>
            <w:pPr>
              <w:ind w:left="360"/>
              <w:spacing w:after="0"/>
              <w:rPr>
                <w:sz w:val="20"/>
                <w:szCs w:val="20"/>
                <w:color w:val="auto"/>
              </w:rPr>
            </w:pPr>
            <w:r>
              <w:rPr>
                <w:rFonts w:ascii="Arial" w:cs="Arial" w:eastAsia="Arial" w:hAnsi="Arial"/>
                <w:sz w:val="18"/>
                <w:szCs w:val="18"/>
                <w:color w:val="auto"/>
              </w:rPr>
              <w:t>Operating income</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6,108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10,113</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3,387</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19,608</w:t>
            </w: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Six months ended October 2, 2022:</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60" w:type="dxa"/>
            <w:vAlign w:val="bottom"/>
          </w:tcPr>
          <w:p>
            <w:pPr>
              <w:ind w:left="360"/>
              <w:spacing w:after="0"/>
              <w:rPr>
                <w:sz w:val="20"/>
                <w:szCs w:val="20"/>
                <w:color w:val="auto"/>
              </w:rPr>
            </w:pPr>
            <w:r>
              <w:rPr>
                <w:rFonts w:ascii="Arial" w:cs="Arial" w:eastAsia="Arial" w:hAnsi="Arial"/>
                <w:sz w:val="18"/>
                <w:szCs w:val="18"/>
                <w:color w:val="auto"/>
              </w:rPr>
              <w:t>Sales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238,649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164,978</w:t>
            </w: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84,108</w:t>
            </w:r>
          </w:p>
        </w:tc>
        <w:tc>
          <w:tcPr>
            <w:tcW w:w="14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487,735</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39,457</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15,944</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93,123</w:t>
            </w:r>
          </w:p>
        </w:tc>
        <w:tc>
          <w:tcPr>
            <w:tcW w:w="0" w:type="dxa"/>
            <w:vAlign w:val="bottom"/>
          </w:tcPr>
          <w:p>
            <w:pPr>
              <w:spacing w:after="0"/>
              <w:rPr>
                <w:sz w:val="1"/>
                <w:szCs w:val="1"/>
                <w:color w:val="auto"/>
              </w:rPr>
            </w:pPr>
          </w:p>
        </w:tc>
      </w:tr>
      <w:tr>
        <w:trPr>
          <w:trHeight w:val="229"/>
        </w:trPr>
        <w:tc>
          <w:tcPr>
            <w:tcW w:w="5560" w:type="dxa"/>
            <w:vAlign w:val="bottom"/>
          </w:tcPr>
          <w:p>
            <w:pPr>
              <w:ind w:left="36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13,276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17,783</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7,664</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38,723</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income</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24,446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21,674</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8,280</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54,400</w:t>
            </w:r>
          </w:p>
        </w:tc>
        <w:tc>
          <w:tcPr>
            <w:tcW w:w="0" w:type="dxa"/>
            <w:vAlign w:val="bottom"/>
          </w:tcPr>
          <w:p>
            <w:pPr>
              <w:spacing w:after="0"/>
              <w:rPr>
                <w:sz w:val="1"/>
                <w:szCs w:val="1"/>
                <w:color w:val="auto"/>
              </w:rPr>
            </w:pPr>
          </w:p>
        </w:tc>
      </w:tr>
      <w:tr>
        <w:trPr>
          <w:trHeight w:val="230"/>
        </w:trPr>
        <w:tc>
          <w:tcPr>
            <w:tcW w:w="5560" w:type="dxa"/>
            <w:vAlign w:val="bottom"/>
          </w:tcPr>
          <w:p>
            <w:pPr>
              <w:ind w:left="20"/>
              <w:spacing w:after="0"/>
              <w:rPr>
                <w:sz w:val="20"/>
                <w:szCs w:val="20"/>
                <w:color w:val="auto"/>
              </w:rPr>
            </w:pPr>
            <w:r>
              <w:rPr>
                <w:rFonts w:ascii="Arial" w:cs="Arial" w:eastAsia="Arial" w:hAnsi="Arial"/>
                <w:sz w:val="18"/>
                <w:szCs w:val="18"/>
                <w:color w:val="auto"/>
              </w:rPr>
              <w:t>Six months ended September 26, 2021:</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118,349</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77,151</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364,518</w:t>
            </w:r>
          </w:p>
        </w:tc>
        <w:tc>
          <w:tcPr>
            <w:tcW w:w="0" w:type="dxa"/>
            <w:vAlign w:val="bottom"/>
          </w:tcPr>
          <w:p>
            <w:pPr>
              <w:spacing w:after="0"/>
              <w:rPr>
                <w:sz w:val="1"/>
                <w:szCs w:val="1"/>
                <w:color w:val="auto"/>
              </w:rPr>
            </w:pPr>
          </w:p>
        </w:tc>
      </w:tr>
      <w:tr>
        <w:trPr>
          <w:trHeight w:val="230"/>
        </w:trPr>
        <w:tc>
          <w:tcPr>
            <w:tcW w:w="5560" w:type="dxa"/>
            <w:vAlign w:val="bottom"/>
          </w:tcPr>
          <w:p>
            <w:pPr>
              <w:ind w:left="360"/>
              <w:spacing w:after="0"/>
              <w:rPr>
                <w:sz w:val="20"/>
                <w:szCs w:val="20"/>
                <w:color w:val="auto"/>
              </w:rPr>
            </w:pPr>
            <w:r>
              <w:rPr>
                <w:rFonts w:ascii="Arial" w:cs="Arial" w:eastAsia="Arial" w:hAnsi="Arial"/>
                <w:sz w:val="18"/>
                <w:szCs w:val="18"/>
                <w:color w:val="auto"/>
              </w:rPr>
              <w:t>Gross profit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26,818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33,752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15,691</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76,261</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14,467</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7,371</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34,535</w:t>
            </w:r>
          </w:p>
        </w:tc>
        <w:tc>
          <w:tcPr>
            <w:tcW w:w="0" w:type="dxa"/>
            <w:vAlign w:val="bottom"/>
          </w:tcPr>
          <w:p>
            <w:pPr>
              <w:spacing w:after="0"/>
              <w:rPr>
                <w:sz w:val="1"/>
                <w:szCs w:val="1"/>
                <w:color w:val="auto"/>
              </w:rPr>
            </w:pPr>
          </w:p>
        </w:tc>
      </w:tr>
      <w:tr>
        <w:trPr>
          <w:trHeight w:val="230"/>
        </w:trPr>
        <w:tc>
          <w:tcPr>
            <w:tcW w:w="5560" w:type="dxa"/>
            <w:vAlign w:val="bottom"/>
          </w:tcPr>
          <w:p>
            <w:pPr>
              <w:ind w:left="360"/>
              <w:spacing w:after="0"/>
              <w:rPr>
                <w:sz w:val="20"/>
                <w:szCs w:val="20"/>
                <w:color w:val="auto"/>
              </w:rPr>
            </w:pPr>
            <w:r>
              <w:rPr>
                <w:rFonts w:ascii="Arial" w:cs="Arial" w:eastAsia="Arial" w:hAnsi="Arial"/>
                <w:sz w:val="18"/>
                <w:szCs w:val="18"/>
                <w:color w:val="auto"/>
              </w:rPr>
              <w:t>Operating income</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14,121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19,285</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8,320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41,726</w:t>
            </w:r>
          </w:p>
        </w:tc>
        <w:tc>
          <w:tcPr>
            <w:tcW w:w="0" w:type="dxa"/>
            <w:vAlign w:val="bottom"/>
          </w:tcPr>
          <w:p>
            <w:pPr>
              <w:spacing w:after="0"/>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No significant changes to identifiable assets by segment occurred during the six months ended October 2, 2022.</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14" w:name="page15"/>
    <w:bookmarkEnd w:id="14"/>
    <w:p>
      <w:pPr>
        <w:spacing w:after="0"/>
        <w:tabs>
          <w:tab w:leader="none" w:pos="82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MANAGEMENT’S DISCUSSION AND ANALYSIS OF FINANCIAL CONDITION AND RESULTS OF OPERATIONS</w:t>
      </w:r>
    </w:p>
    <w:p>
      <w:pPr>
        <w:spacing w:after="0" w:line="347" w:lineRule="exact"/>
        <w:rPr>
          <w:sz w:val="20"/>
          <w:szCs w:val="20"/>
          <w:color w:val="auto"/>
        </w:rPr>
      </w:pPr>
    </w:p>
    <w:p>
      <w:pPr>
        <w:jc w:val="both"/>
        <w:ind w:right="180"/>
        <w:spacing w:after="0" w:line="254" w:lineRule="auto"/>
        <w:rPr>
          <w:rFonts w:ascii="Arial" w:cs="Arial" w:eastAsia="Arial" w:hAnsi="Arial"/>
          <w:sz w:val="18"/>
          <w:szCs w:val="18"/>
          <w:color w:val="auto"/>
        </w:rPr>
      </w:pPr>
      <w:r>
        <w:rPr>
          <w:rFonts w:ascii="Arial" w:cs="Arial" w:eastAsia="Arial" w:hAnsi="Arial"/>
          <w:sz w:val="18"/>
          <w:szCs w:val="18"/>
          <w:color w:val="auto"/>
        </w:rPr>
        <w:t xml:space="preserve">The following is a discussion and analysis of our financial condition and results of operations for the six months ended October 2, 2022 as compared to the similar period ended September 26, 2021. This discussion should be read in conjunction with the condensed consolidated financial statements and notes to condensed consolidated financial statements included in this quarterly report on Form 10-Q and Item 8 of our </w:t>
      </w:r>
      <w:hyperlink r:id="rId18">
        <w:r>
          <w:rPr>
            <w:rFonts w:ascii="Arial" w:cs="Arial" w:eastAsia="Arial" w:hAnsi="Arial"/>
            <w:sz w:val="18"/>
            <w:szCs w:val="18"/>
            <w:u w:val="single" w:color="auto"/>
            <w:color w:val="0000FF"/>
          </w:rPr>
          <w:t>Annual Report on Form 10-K for the fiscal year ended April 3, 2022</w:t>
        </w:r>
      </w:hyperlink>
      <w:r>
        <w:rPr>
          <w:rFonts w:ascii="Arial" w:cs="Arial" w:eastAsia="Arial" w:hAnsi="Arial"/>
          <w:sz w:val="18"/>
          <w:szCs w:val="18"/>
          <w:color w:val="auto"/>
        </w:rPr>
        <w: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22" w:lineRule="exact"/>
        <w:rPr>
          <w:sz w:val="20"/>
          <w:szCs w:val="20"/>
          <w:color w:val="auto"/>
        </w:rPr>
      </w:pPr>
    </w:p>
    <w:p>
      <w:pPr>
        <w:ind w:right="440"/>
        <w:spacing w:after="0" w:line="254" w:lineRule="auto"/>
        <w:rPr>
          <w:sz w:val="20"/>
          <w:szCs w:val="20"/>
          <w:color w:val="auto"/>
        </w:rPr>
      </w:pPr>
      <w:r>
        <w:rPr>
          <w:rFonts w:ascii="Arial" w:cs="Arial" w:eastAsia="Arial" w:hAnsi="Arial"/>
          <w:sz w:val="18"/>
          <w:szCs w:val="18"/>
          <w:color w:val="auto"/>
        </w:rPr>
        <w:t>We derive substantially all of our revenues from the sale of chemicals and specialty ingredients to our customers in a wide variety of industries. We began our operations primarily as a distributor of bulk chemicals with a strong customer focus. Over the years, we have maintained the strong customer focus and have expanded our business by increasing our sales of value-added chemicals and specialty ingredients, including manufacturing, blending, and repackaging certain products.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Acquisitions</w:t>
      </w:r>
    </w:p>
    <w:p>
      <w:pPr>
        <w:spacing w:after="0" w:line="257"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In the fourth quarter of fiscal 2022, we acquired substantially all the assets of NAPCO Chemical Company, Inc. and its affiliates ("NAPCO") under the terms of an asset purchase agreement among us, NAPCO and certain other parties thereto. NAPCO manufactured and distributed water treatment chemicals from three locations in Texas. The results of operations since the acquisition date are included in our Water Treatment segment.</w:t>
      </w:r>
    </w:p>
    <w:p>
      <w:pPr>
        <w:spacing w:after="0" w:line="242"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In the third quarter of fiscal 2022, we acquired substantially all the assets of Water and Waste Specialties, LLC, under the terms of an asset purchase agreement with Water and Waste Specialties and its shareholders. Water and Waste Specialties was a water treatment chemical distribution company operating primarily in Alabama. The results of operations since the acquisition date are included in our Water Treatment segment.</w:t>
      </w:r>
    </w:p>
    <w:p>
      <w:pPr>
        <w:spacing w:after="0" w:line="228" w:lineRule="exact"/>
        <w:rPr>
          <w:sz w:val="20"/>
          <w:szCs w:val="20"/>
          <w:color w:val="auto"/>
        </w:rPr>
      </w:pPr>
    </w:p>
    <w:p>
      <w:pPr>
        <w:ind w:right="160"/>
        <w:spacing w:after="0" w:line="243" w:lineRule="auto"/>
        <w:rPr>
          <w:sz w:val="20"/>
          <w:szCs w:val="20"/>
          <w:color w:val="auto"/>
        </w:rPr>
      </w:pPr>
      <w:r>
        <w:rPr>
          <w:rFonts w:ascii="Arial" w:cs="Arial" w:eastAsia="Arial" w:hAnsi="Arial"/>
          <w:sz w:val="18"/>
          <w:szCs w:val="18"/>
          <w:color w:val="auto"/>
        </w:rPr>
        <w:t>In the second quarter of fiscal 2022, we acquired substantially all the assets of Southeast Water Systems LLC, under the terms of an asset purchase agreement with Southeast Water Systems and its shareholders. Southeast Water Systems supplied and installed water treatment chemical equipment to its customers located primarily in Alabama, southern Georgia and the Florida panhandle. The results of operations since the acquisition date are included in our Water Treatment segment.</w:t>
      </w:r>
    </w:p>
    <w:p>
      <w:pPr>
        <w:spacing w:after="0" w:line="228"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The aggregate annual revenue of the three businesses acquired in fiscal 2022 totaled approximately $17 million, as determined using the applicable twelve-month period preceding each respective acquisition date.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257"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On August 4, 2022, our Board increased the number of shares authorized to be repurchased under our share repurchase program from 1.6 million to 2.6 million. As of October 2, 2022, 1,129,348 shares remain available to be repurchased under this program.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Results</w:t>
      </w:r>
    </w:p>
    <w:p>
      <w:pPr>
        <w:spacing w:after="0" w:line="25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focus on total profitability dollars when evaluating our financial results as opposed to profitability as a percentage of sales, as sales dollars tend to fluctuate, particularly in our Industrial and Water Treatment segments, as raw material costs rise and fall. The costs for certain of our raw materials can rise or fall rapidly, causing fluctuations in gross profit as a percentage of sales.</w:t>
      </w:r>
    </w:p>
    <w:p>
      <w:pPr>
        <w:spacing w:after="0" w:line="22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use the LIFO method for valuing the majority of our inventory in our Industrial and Water Treatment segments, which causes the most recent product costs for those products to be recognized in our income statement. The valuation of LIFO inventory for interim periods is based on our estimates of fiscal year-end inventory levels and costs. The LIFO inventory valuation method and the resulting cost of sales are consistent with our business practices of pricing to current chemical raw material prices. Inventories in the Health and Nutrition segment are valued using the FIFO method.</w:t>
      </w:r>
    </w:p>
    <w:p>
      <w:pPr>
        <w:spacing w:after="0" w:line="232"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We disclose the sales of our bulk commodity products as a percentage of total sales dollars for our Industrial and Water Treatment segments. Our definition of bulk commodity products includes products that we do not modify in any way, but receive, store, and ship from our facilities, or direct ship to our customers in large quantities.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percentage relationship of certain items to sales for the period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360" w:type="dxa"/>
            <w:vAlign w:val="bottom"/>
          </w:tcPr>
          <w:p>
            <w:pPr>
              <w:spacing w:after="0"/>
              <w:rPr>
                <w:sz w:val="20"/>
                <w:szCs w:val="20"/>
                <w:color w:val="auto"/>
              </w:rPr>
            </w:pPr>
          </w:p>
        </w:tc>
        <w:tc>
          <w:tcPr>
            <w:tcW w:w="3460" w:type="dxa"/>
            <w:vAlign w:val="bottom"/>
            <w:gridSpan w:val="4"/>
          </w:tcPr>
          <w:p>
            <w:pPr>
              <w:ind w:left="780"/>
              <w:spacing w:after="0"/>
              <w:rPr>
                <w:sz w:val="20"/>
                <w:szCs w:val="20"/>
                <w:color w:val="auto"/>
              </w:rPr>
            </w:pPr>
            <w:r>
              <w:rPr>
                <w:rFonts w:ascii="Arial" w:cs="Arial" w:eastAsia="Arial" w:hAnsi="Arial"/>
                <w:sz w:val="18"/>
                <w:szCs w:val="18"/>
                <w:b w:val="1"/>
                <w:bCs w:val="1"/>
                <w:color w:val="auto"/>
              </w:rPr>
              <w:t>Three Months Ended</w:t>
            </w:r>
          </w:p>
        </w:tc>
        <w:tc>
          <w:tcPr>
            <w:tcW w:w="3420" w:type="dxa"/>
            <w:vAlign w:val="bottom"/>
            <w:gridSpan w:val="3"/>
          </w:tcPr>
          <w:p>
            <w:pPr>
              <w:jc w:val="right"/>
              <w:ind w:right="85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73"/>
        </w:trPr>
        <w:tc>
          <w:tcPr>
            <w:tcW w:w="4360" w:type="dxa"/>
            <w:vAlign w:val="bottom"/>
            <w:tcBorders>
              <w:top w:val="single" w:sz="8" w:color="CCEEFF"/>
            </w:tcBorders>
            <w:shd w:val="clear" w:color="auto" w:fill="CCEEFF"/>
          </w:tcPr>
          <w:p>
            <w:pPr>
              <w:spacing w:after="0"/>
              <w:rPr>
                <w:sz w:val="15"/>
                <w:szCs w:val="15"/>
                <w:color w:val="auto"/>
              </w:rPr>
            </w:pPr>
          </w:p>
        </w:tc>
        <w:tc>
          <w:tcPr>
            <w:tcW w:w="1700" w:type="dxa"/>
            <w:vAlign w:val="bottom"/>
            <w:tcBorders>
              <w:top w:val="single" w:sz="8" w:color="auto"/>
            </w:tcBorders>
            <w:gridSpan w:val="2"/>
            <w:vMerge w:val="restart"/>
            <w:shd w:val="clear" w:color="auto" w:fill="CCEEFF"/>
          </w:tcPr>
          <w:p>
            <w:pPr>
              <w:ind w:left="140"/>
              <w:spacing w:after="0"/>
              <w:rPr>
                <w:sz w:val="20"/>
                <w:szCs w:val="20"/>
                <w:color w:val="auto"/>
              </w:rPr>
            </w:pPr>
            <w:r>
              <w:rPr>
                <w:rFonts w:ascii="Arial" w:cs="Arial" w:eastAsia="Arial" w:hAnsi="Arial"/>
                <w:sz w:val="18"/>
                <w:szCs w:val="18"/>
                <w:b w:val="1"/>
                <w:bCs w:val="1"/>
                <w:color w:val="auto"/>
              </w:rPr>
              <w:t>October 2, 2022</w:t>
            </w:r>
          </w:p>
        </w:tc>
        <w:tc>
          <w:tcPr>
            <w:tcW w:w="1640" w:type="dxa"/>
            <w:vAlign w:val="bottom"/>
            <w:tcBorders>
              <w:top w:val="single" w:sz="8" w:color="auto"/>
            </w:tcBorders>
            <w:shd w:val="clear" w:color="auto" w:fill="CCEEFF"/>
          </w:tcPr>
          <w:p>
            <w:pPr>
              <w:jc w:val="right"/>
              <w:ind w:right="110"/>
              <w:spacing w:after="0" w:line="173" w:lineRule="exact"/>
              <w:rPr>
                <w:sz w:val="20"/>
                <w:szCs w:val="20"/>
                <w:color w:val="auto"/>
              </w:rPr>
            </w:pPr>
            <w:r>
              <w:rPr>
                <w:rFonts w:ascii="Arial" w:cs="Arial" w:eastAsia="Arial" w:hAnsi="Arial"/>
                <w:sz w:val="18"/>
                <w:szCs w:val="18"/>
                <w:b w:val="1"/>
                <w:bCs w:val="1"/>
                <w:color w:val="auto"/>
              </w:rPr>
              <w:t>September 26,</w:t>
            </w:r>
          </w:p>
        </w:tc>
        <w:tc>
          <w:tcPr>
            <w:tcW w:w="120" w:type="dxa"/>
            <w:vAlign w:val="bottom"/>
            <w:tcBorders>
              <w:top w:val="single" w:sz="8" w:color="CCEEFF"/>
            </w:tcBorders>
            <w:shd w:val="clear" w:color="auto" w:fill="CCEEFF"/>
          </w:tcPr>
          <w:p>
            <w:pPr>
              <w:spacing w:after="0"/>
              <w:rPr>
                <w:sz w:val="15"/>
                <w:szCs w:val="15"/>
                <w:color w:val="auto"/>
              </w:rPr>
            </w:pPr>
          </w:p>
        </w:tc>
        <w:tc>
          <w:tcPr>
            <w:tcW w:w="1780" w:type="dxa"/>
            <w:vAlign w:val="bottom"/>
            <w:tcBorders>
              <w:top w:val="single" w:sz="8" w:color="auto"/>
            </w:tcBorders>
            <w:gridSpan w:val="2"/>
            <w:vMerge w:val="restart"/>
            <w:shd w:val="clear" w:color="auto" w:fill="CCEEFF"/>
          </w:tcPr>
          <w:p>
            <w:pPr>
              <w:ind w:left="120"/>
              <w:spacing w:after="0"/>
              <w:rPr>
                <w:sz w:val="20"/>
                <w:szCs w:val="20"/>
                <w:color w:val="auto"/>
              </w:rPr>
            </w:pPr>
            <w:r>
              <w:rPr>
                <w:rFonts w:ascii="Arial" w:cs="Arial" w:eastAsia="Arial" w:hAnsi="Arial"/>
                <w:sz w:val="18"/>
                <w:szCs w:val="18"/>
                <w:b w:val="1"/>
                <w:bCs w:val="1"/>
                <w:color w:val="auto"/>
              </w:rPr>
              <w:t>October 2, 2022</w:t>
            </w:r>
          </w:p>
        </w:tc>
        <w:tc>
          <w:tcPr>
            <w:tcW w:w="1640" w:type="dxa"/>
            <w:vAlign w:val="bottom"/>
            <w:tcBorders>
              <w:top w:val="single" w:sz="8" w:color="auto"/>
            </w:tcBorders>
            <w:shd w:val="clear" w:color="auto" w:fill="CCEEFF"/>
          </w:tcPr>
          <w:p>
            <w:pPr>
              <w:jc w:val="right"/>
              <w:ind w:right="110"/>
              <w:spacing w:after="0" w:line="173" w:lineRule="exact"/>
              <w:rPr>
                <w:sz w:val="20"/>
                <w:szCs w:val="20"/>
                <w:color w:val="auto"/>
              </w:rPr>
            </w:pPr>
            <w:r>
              <w:rPr>
                <w:rFonts w:ascii="Arial" w:cs="Arial" w:eastAsia="Arial" w:hAnsi="Arial"/>
                <w:sz w:val="18"/>
                <w:szCs w:val="18"/>
                <w:b w:val="1"/>
                <w:bCs w:val="1"/>
                <w:color w:val="auto"/>
              </w:rPr>
              <w:t>September 26,</w:t>
            </w:r>
          </w:p>
        </w:tc>
        <w:tc>
          <w:tcPr>
            <w:tcW w:w="0" w:type="dxa"/>
            <w:vAlign w:val="bottom"/>
          </w:tcPr>
          <w:p>
            <w:pPr>
              <w:spacing w:after="0"/>
              <w:rPr>
                <w:sz w:val="1"/>
                <w:szCs w:val="1"/>
                <w:color w:val="auto"/>
              </w:rPr>
            </w:pPr>
          </w:p>
        </w:tc>
      </w:tr>
      <w:tr>
        <w:trPr>
          <w:trHeight w:val="239"/>
        </w:trPr>
        <w:tc>
          <w:tcPr>
            <w:tcW w:w="4360" w:type="dxa"/>
            <w:vAlign w:val="bottom"/>
            <w:shd w:val="clear" w:color="auto" w:fill="CCEEFF"/>
          </w:tcPr>
          <w:p>
            <w:pPr>
              <w:spacing w:after="0"/>
              <w:rPr>
                <w:sz w:val="20"/>
                <w:szCs w:val="20"/>
                <w:color w:val="auto"/>
              </w:rPr>
            </w:pPr>
          </w:p>
        </w:tc>
        <w:tc>
          <w:tcPr>
            <w:tcW w:w="1700" w:type="dxa"/>
            <w:vAlign w:val="bottom"/>
            <w:gridSpan w:val="2"/>
            <w:vMerge w:val="continue"/>
            <w:shd w:val="clear" w:color="auto" w:fill="CCEEFF"/>
          </w:tcPr>
          <w:p>
            <w:pPr>
              <w:spacing w:after="0"/>
              <w:rPr>
                <w:sz w:val="20"/>
                <w:szCs w:val="20"/>
                <w:color w:val="auto"/>
              </w:rPr>
            </w:pPr>
          </w:p>
        </w:tc>
        <w:tc>
          <w:tcPr>
            <w:tcW w:w="1640" w:type="dxa"/>
            <w:vAlign w:val="bottom"/>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20" w:type="dxa"/>
            <w:vAlign w:val="bottom"/>
            <w:shd w:val="clear" w:color="auto" w:fill="CCEEFF"/>
          </w:tcPr>
          <w:p>
            <w:pPr>
              <w:spacing w:after="0"/>
              <w:rPr>
                <w:sz w:val="20"/>
                <w:szCs w:val="20"/>
                <w:color w:val="auto"/>
              </w:rPr>
            </w:pPr>
          </w:p>
        </w:tc>
        <w:tc>
          <w:tcPr>
            <w:tcW w:w="1780" w:type="dxa"/>
            <w:vAlign w:val="bottom"/>
            <w:gridSpan w:val="2"/>
            <w:vMerge w:val="continue"/>
            <w:shd w:val="clear" w:color="auto" w:fill="CCEEFF"/>
          </w:tcPr>
          <w:p>
            <w:pPr>
              <w:spacing w:after="0"/>
              <w:rPr>
                <w:sz w:val="20"/>
                <w:szCs w:val="20"/>
                <w:color w:val="auto"/>
              </w:rPr>
            </w:pPr>
          </w:p>
        </w:tc>
        <w:tc>
          <w:tcPr>
            <w:tcW w:w="1640" w:type="dxa"/>
            <w:vAlign w:val="bottom"/>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3"/>
        </w:trPr>
        <w:tc>
          <w:tcPr>
            <w:tcW w:w="4360" w:type="dxa"/>
            <w:vAlign w:val="bottom"/>
          </w:tcPr>
          <w:p>
            <w:pPr>
              <w:ind w:left="20"/>
              <w:spacing w:after="0"/>
              <w:rPr>
                <w:sz w:val="20"/>
                <w:szCs w:val="20"/>
                <w:color w:val="auto"/>
              </w:rPr>
            </w:pPr>
            <w:r>
              <w:rPr>
                <w:rFonts w:ascii="Arial" w:cs="Arial" w:eastAsia="Arial" w:hAnsi="Arial"/>
                <w:sz w:val="18"/>
                <w:szCs w:val="18"/>
                <w:color w:val="auto"/>
              </w:rPr>
              <w:t>Sales</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Pr>
          <w:p>
            <w:pPr>
              <w:spacing w:after="0"/>
              <w:rPr>
                <w:sz w:val="19"/>
                <w:szCs w:val="19"/>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80" w:type="dxa"/>
            <w:vAlign w:val="bottom"/>
          </w:tcPr>
          <w:p>
            <w:pPr>
              <w:spacing w:after="0"/>
              <w:rPr>
                <w:sz w:val="19"/>
                <w:szCs w:val="19"/>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10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12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18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23"/>
        </w:trPr>
        <w:tc>
          <w:tcPr>
            <w:tcW w:w="436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600" w:type="dxa"/>
            <w:vAlign w:val="bottom"/>
          </w:tcPr>
          <w:p>
            <w:pPr>
              <w:jc w:val="right"/>
              <w:spacing w:after="0"/>
              <w:rPr>
                <w:sz w:val="20"/>
                <w:szCs w:val="20"/>
                <w:color w:val="auto"/>
              </w:rPr>
            </w:pPr>
            <w:r>
              <w:rPr>
                <w:rFonts w:ascii="Arial" w:cs="Arial" w:eastAsia="Arial" w:hAnsi="Arial"/>
                <w:sz w:val="18"/>
                <w:szCs w:val="18"/>
                <w:color w:val="auto"/>
              </w:rPr>
              <w:t>19.2 %</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20.3 %</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19.1 %</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20.9 %</w:t>
            </w: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8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23"/>
        </w:trPr>
        <w:tc>
          <w:tcPr>
            <w:tcW w:w="436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1600" w:type="dxa"/>
            <w:vAlign w:val="bottom"/>
          </w:tcPr>
          <w:p>
            <w:pPr>
              <w:jc w:val="right"/>
              <w:spacing w:after="0"/>
              <w:rPr>
                <w:sz w:val="20"/>
                <w:szCs w:val="20"/>
                <w:color w:val="auto"/>
              </w:rPr>
            </w:pPr>
            <w:r>
              <w:rPr>
                <w:rFonts w:ascii="Arial" w:cs="Arial" w:eastAsia="Arial" w:hAnsi="Arial"/>
                <w:sz w:val="18"/>
                <w:szCs w:val="18"/>
                <w:color w:val="auto"/>
              </w:rPr>
              <w:t>11.0 %</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10.7 %</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11.2 %</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11.4 %</w:t>
            </w: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9"/>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(expense) income</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0.1 %</w:t>
            </w:r>
          </w:p>
        </w:tc>
        <w:tc>
          <w:tcPr>
            <w:tcW w:w="12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8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23"/>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10.2 %</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10.6 %</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10.4 %</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11.3 %</w:t>
            </w:r>
          </w:p>
        </w:tc>
        <w:tc>
          <w:tcPr>
            <w:tcW w:w="0" w:type="dxa"/>
            <w:vAlign w:val="bottom"/>
          </w:tcPr>
          <w:p>
            <w:pPr>
              <w:spacing w:after="0"/>
              <w:rPr>
                <w:sz w:val="1"/>
                <w:szCs w:val="1"/>
                <w:color w:val="auto"/>
              </w:rPr>
            </w:pPr>
          </w:p>
        </w:tc>
      </w:tr>
      <w:tr>
        <w:trPr>
          <w:trHeight w:val="229"/>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8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8"/>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7.5 %</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7.7 %</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7.7 %</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8.4 %</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584" w:right="339" w:bottom="0" w:gutter="0" w:footer="0" w:header="0"/>
        </w:sectPr>
      </w:pPr>
    </w:p>
    <w:bookmarkStart w:id="15" w:name="page16"/>
    <w:bookmarkEnd w:id="15"/>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October 2, 2022 Compared to Three Months Ended September 26, 2021</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270"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Sales were $241.2 million for the three months ended October 2, 2022, an increase of $57.9 million, or 32%, from sales of $183.3 million in the same period a year ago, driven primarily by price increases.</w:t>
      </w:r>
    </w:p>
    <w:p>
      <w:pPr>
        <w:spacing w:after="0" w:line="20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i w:val="1"/>
          <w:iCs w:val="1"/>
          <w:color w:val="auto"/>
        </w:rPr>
        <w:t xml:space="preserve">Industrial Segment. </w:t>
      </w:r>
      <w:r>
        <w:rPr>
          <w:rFonts w:ascii="Arial" w:cs="Arial" w:eastAsia="Arial" w:hAnsi="Arial"/>
          <w:sz w:val="17"/>
          <w:szCs w:val="17"/>
          <w:color w:val="auto"/>
        </w:rPr>
        <w:t>Industrial segment sales increased $30.7 million, or 37%, to $113.9 million for the three months ended October 2, 2022,</w:t>
      </w:r>
      <w:r>
        <w:rPr>
          <w:rFonts w:ascii="Arial" w:cs="Arial" w:eastAsia="Arial" w:hAnsi="Arial"/>
          <w:sz w:val="17"/>
          <w:szCs w:val="17"/>
          <w:i w:val="1"/>
          <w:iCs w:val="1"/>
          <w:color w:val="auto"/>
        </w:rPr>
        <w:t xml:space="preserve"> </w:t>
      </w:r>
      <w:r>
        <w:rPr>
          <w:rFonts w:ascii="Arial" w:cs="Arial" w:eastAsia="Arial" w:hAnsi="Arial"/>
          <w:sz w:val="17"/>
          <w:szCs w:val="17"/>
          <w:color w:val="auto"/>
        </w:rPr>
        <w:t>from sales of $83.2 million in the same period a year ago. Sales of bulk commodity products in the Industrial segment were approximately 16% of sales dollars in both the three months ended October 2, 2022 and the same period of the prior year. The increase in sales was driven by increased selling prices on many of our products driven by higher costs on many of our raw materials as well as a product mix shift.</w:t>
      </w:r>
    </w:p>
    <w:p>
      <w:pPr>
        <w:spacing w:after="0" w:line="187" w:lineRule="exact"/>
        <w:rPr>
          <w:sz w:val="20"/>
          <w:szCs w:val="20"/>
          <w:color w:val="auto"/>
        </w:rPr>
      </w:pPr>
    </w:p>
    <w:p>
      <w:pPr>
        <w:ind w:right="240"/>
        <w:spacing w:after="0" w:line="250" w:lineRule="auto"/>
        <w:rPr>
          <w:sz w:val="20"/>
          <w:szCs w:val="20"/>
          <w:color w:val="auto"/>
        </w:rPr>
      </w:pPr>
      <w:r>
        <w:rPr>
          <w:rFonts w:ascii="Arial" w:cs="Arial" w:eastAsia="Arial" w:hAnsi="Arial"/>
          <w:sz w:val="18"/>
          <w:szCs w:val="18"/>
          <w:i w:val="1"/>
          <w:iCs w:val="1"/>
          <w:color w:val="auto"/>
        </w:rPr>
        <w:t xml:space="preserve">Water Treatment Segment. </w:t>
      </w:r>
      <w:r>
        <w:rPr>
          <w:rFonts w:ascii="Arial" w:cs="Arial" w:eastAsia="Arial" w:hAnsi="Arial"/>
          <w:sz w:val="18"/>
          <w:szCs w:val="18"/>
          <w:color w:val="auto"/>
        </w:rPr>
        <w:t>Water Treatment segment sales increased $24.4 million, or 39%, to $86.5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October 2, 2022, from sales of $62.1 million in the same period a year ago. Sales of bulk commodity products in the Water Treatment segment were approximately 9% of sales dollars in the three months ended October 2, 2022 and 8% in the same period a year ago. Sales increased as a result of increased selling prices on many of our products driven by higher costs on many of our raw materials, the added sales from acquisitions and increased demand for our products.</w:t>
      </w:r>
    </w:p>
    <w:p>
      <w:pPr>
        <w:spacing w:after="0" w:line="204" w:lineRule="exact"/>
        <w:rPr>
          <w:sz w:val="20"/>
          <w:szCs w:val="20"/>
          <w:color w:val="auto"/>
        </w:rPr>
      </w:pPr>
    </w:p>
    <w:p>
      <w:pPr>
        <w:ind w:right="280"/>
        <w:spacing w:after="0" w:line="258" w:lineRule="auto"/>
        <w:rPr>
          <w:sz w:val="20"/>
          <w:szCs w:val="20"/>
          <w:color w:val="auto"/>
        </w:rPr>
      </w:pPr>
      <w:r>
        <w:rPr>
          <w:rFonts w:ascii="Arial" w:cs="Arial" w:eastAsia="Arial" w:hAnsi="Arial"/>
          <w:sz w:val="18"/>
          <w:szCs w:val="18"/>
          <w:i w:val="1"/>
          <w:iCs w:val="1"/>
          <w:color w:val="auto"/>
        </w:rPr>
        <w:t xml:space="preserve">Health &amp; Nutrition Segment. </w:t>
      </w:r>
      <w:r>
        <w:rPr>
          <w:rFonts w:ascii="Arial" w:cs="Arial" w:eastAsia="Arial" w:hAnsi="Arial"/>
          <w:sz w:val="18"/>
          <w:szCs w:val="18"/>
          <w:color w:val="auto"/>
        </w:rPr>
        <w:t>Health and Nutrition segment sales increased $2.8 million, or 7%, to $40.8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October 2, 2022, from sales of $38.0 million in the same period a year ago. Sales Increased due to increased sales of our manufactured products.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7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Gross profit increased $9.1 million, or 24%, to $ 46.4 million, or 19% of sales, for the three months ended October 2, 2022, from $37.3 million, or 20% of sales, in the same period a year ago. During the three months ended October 2, 2022, the LIFO reserve increased, and gross profit decreased, by $5.3 million due primarily to rising raw material prices. In the same quarter a year ago, the LIFO reserve increased, and gross profit decreased, by $3.0 million.</w:t>
      </w:r>
    </w:p>
    <w:p>
      <w:pPr>
        <w:spacing w:after="0" w:line="213"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i w:val="1"/>
          <w:iCs w:val="1"/>
          <w:color w:val="auto"/>
        </w:rPr>
        <w:t xml:space="preserve">Industrial Segment. </w:t>
      </w:r>
      <w:r>
        <w:rPr>
          <w:rFonts w:ascii="Arial" w:cs="Arial" w:eastAsia="Arial" w:hAnsi="Arial"/>
          <w:sz w:val="18"/>
          <w:szCs w:val="18"/>
          <w:color w:val="auto"/>
        </w:rPr>
        <w:t>Gross profit for the Industrial segment increased $ 5.1 million, or 40%, to $17.7 million, or 16% of sales,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October 2, 2022, from $12.6 million, or 15% of sales, in the same period a year ago. During the three months ended October 2, 2022, the LIFO reserve increased, and gross profit decreased, by $3.9 million, primarily due to rising raw material prices. In the same quarter a year ago, the LIFO reserve increased, and gross profit decreased, by $2.3 million. Gross profit increased as a result of increased sales and a product mix shift, partially offset by the unfavorable year-over-year impact of the increased LIFO reserve.</w:t>
      </w:r>
    </w:p>
    <w:p>
      <w:pPr>
        <w:spacing w:after="0" w:line="222"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i w:val="1"/>
          <w:iCs w:val="1"/>
          <w:color w:val="auto"/>
        </w:rPr>
        <w:t xml:space="preserve">Water Treatment Segment. </w:t>
      </w:r>
      <w:r>
        <w:rPr>
          <w:rFonts w:ascii="Arial" w:cs="Arial" w:eastAsia="Arial" w:hAnsi="Arial"/>
          <w:sz w:val="18"/>
          <w:szCs w:val="18"/>
          <w:color w:val="auto"/>
        </w:rPr>
        <w:t>Gross profit for the Water Treatment segment increased $3.0 million, or 17%, to $20.5 million, or 24% of sales,</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three months ended October 2, 2022, from $17.5 million, or 28% of sales, in the same period a year ago. During the three months ended October 2, 2022, the LIFO reserve increased, and gross profit decreased, by $1.4 million due primarily to rising raw material prices. In the same quarter a year ago, the LIFO reserve increased, and gross profit decreased, by $0.7 million. Gross profit increased as a result of increased sales, partially offset by the unfavorable year-over-year impact of the increased LIFO reserve.</w:t>
      </w:r>
    </w:p>
    <w:p>
      <w:pPr>
        <w:spacing w:after="0" w:line="208" w:lineRule="exact"/>
        <w:rPr>
          <w:sz w:val="20"/>
          <w:szCs w:val="20"/>
          <w:color w:val="auto"/>
        </w:rPr>
      </w:pPr>
    </w:p>
    <w:p>
      <w:pPr>
        <w:spacing w:after="0" w:line="258" w:lineRule="auto"/>
        <w:rPr>
          <w:sz w:val="20"/>
          <w:szCs w:val="20"/>
          <w:color w:val="auto"/>
        </w:rPr>
      </w:pPr>
      <w:r>
        <w:rPr>
          <w:rFonts w:ascii="Arial" w:cs="Arial" w:eastAsia="Arial" w:hAnsi="Arial"/>
          <w:sz w:val="18"/>
          <w:szCs w:val="18"/>
          <w:i w:val="1"/>
          <w:iCs w:val="1"/>
          <w:color w:val="auto"/>
        </w:rPr>
        <w:t>Health and Nutrition Segment</w:t>
      </w:r>
      <w:r>
        <w:rPr>
          <w:rFonts w:ascii="Arial" w:cs="Arial" w:eastAsia="Arial" w:hAnsi="Arial"/>
          <w:sz w:val="18"/>
          <w:szCs w:val="18"/>
          <w:color w:val="auto"/>
        </w:rPr>
        <w:t>. Gross profit for our Health and Nutrition segment increased $1.0 million, or 14%, to $8.2 million, or 20% of</w:t>
      </w:r>
      <w:r>
        <w:rPr>
          <w:rFonts w:ascii="Arial" w:cs="Arial" w:eastAsia="Arial" w:hAnsi="Arial"/>
          <w:sz w:val="18"/>
          <w:szCs w:val="18"/>
          <w:i w:val="1"/>
          <w:iCs w:val="1"/>
          <w:color w:val="auto"/>
        </w:rPr>
        <w:t xml:space="preserve"> </w:t>
      </w:r>
      <w:r>
        <w:rPr>
          <w:rFonts w:ascii="Arial" w:cs="Arial" w:eastAsia="Arial" w:hAnsi="Arial"/>
          <w:sz w:val="18"/>
          <w:szCs w:val="18"/>
          <w:color w:val="auto"/>
        </w:rPr>
        <w:t>sales, for the three months ended October 2, 2022, from $7.2 million, or 19% of sales, in the same period a year ago. Gross profit increased as a result of increased sales as well as decreased inventory adjustments in the current quarter as compared to the same quarter a year ago.</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70" w:lineRule="exact"/>
        <w:rPr>
          <w:sz w:val="20"/>
          <w:szCs w:val="20"/>
          <w:color w:val="auto"/>
        </w:rPr>
      </w:pPr>
    </w:p>
    <w:p>
      <w:pPr>
        <w:jc w:val="both"/>
        <w:ind w:right="300"/>
        <w:spacing w:after="0" w:line="250" w:lineRule="auto"/>
        <w:rPr>
          <w:sz w:val="20"/>
          <w:szCs w:val="20"/>
          <w:color w:val="auto"/>
        </w:rPr>
      </w:pPr>
      <w:r>
        <w:rPr>
          <w:rFonts w:ascii="Arial" w:cs="Arial" w:eastAsia="Arial" w:hAnsi="Arial"/>
          <w:sz w:val="18"/>
          <w:szCs w:val="18"/>
          <w:color w:val="auto"/>
        </w:rPr>
        <w:t>Selling, general and administrative (“SG&amp;A”) expenses increased $2.1 million to $19.8 million, or 8% of sales, for the three months ended October 2, 2022, from $17.7 million, or 10% of sales, in the same period a year ago. Expenses increased due to the added costs from the acquired business in our Water Treatment segment, as well as increased variable expenses.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252"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Operating income increased $ 6.9 million, or 35%, to $26.5 million, or 11% of sales, for the three months ended October 2, 2022, from $19.6 million, or 11% of sales, in the same period a year ago due to the combined impact of the factors discussed above.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27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Interest expense was $1.4 million for the three months ended October 2, 2022 and $0.3 million the three months ended September 26, 2021. The increase was due to an increase in borrowing interest rates as well as an increase in outstanding borrowings due to increased working capital needs.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 Income</w:t>
      </w:r>
    </w:p>
    <w:p>
      <w:pPr>
        <w:spacing w:after="0" w:line="270" w:lineRule="exact"/>
        <w:rPr>
          <w:sz w:val="20"/>
          <w:szCs w:val="20"/>
          <w:color w:val="auto"/>
        </w:rPr>
      </w:pPr>
    </w:p>
    <w:p>
      <w:pPr>
        <w:ind w:right="180"/>
        <w:spacing w:after="0" w:line="243" w:lineRule="auto"/>
        <w:rPr>
          <w:sz w:val="20"/>
          <w:szCs w:val="20"/>
          <w:color w:val="auto"/>
        </w:rPr>
      </w:pPr>
      <w:r>
        <w:rPr>
          <w:rFonts w:ascii="Arial" w:cs="Arial" w:eastAsia="Arial" w:hAnsi="Arial"/>
          <w:sz w:val="18"/>
          <w:szCs w:val="18"/>
          <w:color w:val="auto"/>
        </w:rPr>
        <w:t>Other expense was $0.4 million for the three months ended October 2, 2022 compared to other income of $0.2 million in the same period a year ago. The current year expense represents losses recorded on investments held for our non-qualified deferred compensation plan, whereas the income in the prior represented gains recorded on those investments. The amounts recorded as a gain or loss were offset by similar amounts recorded as a decrease or increase to compensation expense within SG&amp;A expenses.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270"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Our effective income tax rate was 27% for both the three months ended October 2, 2022 and the three months ended September 26, 2021. The effective tax rate is impacted by projected levels of annual taxable income, permanent items, and state taxes. Our effective tax rate for the full year is currently expected to be approximately 26 to 27%.</w:t>
      </w:r>
    </w:p>
    <w:p>
      <w:pPr>
        <w:sectPr>
          <w:pgSz w:w="11900" w:h="16850" w:orient="portrait"/>
          <w:cols w:equalWidth="0" w:num="1">
            <w:col w:w="11240"/>
          </w:cols>
          <w:pgMar w:left="320" w:top="603" w:right="339" w:bottom="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Six Months Ended October 2, 2022 Compared to Six Months Ended September 26, 2021</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270"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Sales were $487.7 million for the six months ended October 2, 2022, an increase of $123.2 million, or 34%, from sales of $364.5 million in the same period a year ago, driven primarily by price increases.</w:t>
      </w:r>
    </w:p>
    <w:p>
      <w:pPr>
        <w:spacing w:after="0" w:line="207" w:lineRule="exact"/>
        <w:rPr>
          <w:sz w:val="20"/>
          <w:szCs w:val="20"/>
          <w:color w:val="auto"/>
        </w:rPr>
      </w:pPr>
    </w:p>
    <w:p>
      <w:pPr>
        <w:ind w:right="180"/>
        <w:spacing w:after="0" w:line="250" w:lineRule="auto"/>
        <w:rPr>
          <w:sz w:val="20"/>
          <w:szCs w:val="20"/>
          <w:color w:val="auto"/>
        </w:rPr>
      </w:pPr>
      <w:r>
        <w:rPr>
          <w:rFonts w:ascii="Arial" w:cs="Arial" w:eastAsia="Arial" w:hAnsi="Arial"/>
          <w:sz w:val="18"/>
          <w:szCs w:val="18"/>
          <w:i w:val="1"/>
          <w:iCs w:val="1"/>
          <w:color w:val="auto"/>
        </w:rPr>
        <w:t xml:space="preserve">Industrial Segment. </w:t>
      </w:r>
      <w:r>
        <w:rPr>
          <w:rFonts w:ascii="Arial" w:cs="Arial" w:eastAsia="Arial" w:hAnsi="Arial"/>
          <w:sz w:val="18"/>
          <w:szCs w:val="18"/>
          <w:color w:val="auto"/>
        </w:rPr>
        <w:t>Industrial segment sales increased $69.6 million, or 41%, to $238.6 million for the six months ended October 2, 2022,</w:t>
      </w:r>
      <w:r>
        <w:rPr>
          <w:rFonts w:ascii="Arial" w:cs="Arial" w:eastAsia="Arial" w:hAnsi="Arial"/>
          <w:sz w:val="18"/>
          <w:szCs w:val="18"/>
          <w:i w:val="1"/>
          <w:iCs w:val="1"/>
          <w:color w:val="auto"/>
        </w:rPr>
        <w:t xml:space="preserve"> </w:t>
      </w:r>
      <w:r>
        <w:rPr>
          <w:rFonts w:ascii="Arial" w:cs="Arial" w:eastAsia="Arial" w:hAnsi="Arial"/>
          <w:sz w:val="18"/>
          <w:szCs w:val="18"/>
          <w:color w:val="auto"/>
        </w:rPr>
        <w:t>from sales of $169.0 million in the same period a year ago. Sales of bulk commodity products in the Industrial segment were approximately 16% of sales dollars in the six months ended October 2, 2022 and 15% in the same period of the prior year. Sales increased as a result of increased selling prices on many of our products driven by higher costs on many of our raw materials as well as a product mix shift.</w:t>
      </w:r>
    </w:p>
    <w:p>
      <w:pPr>
        <w:spacing w:after="0" w:line="204"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i w:val="1"/>
          <w:iCs w:val="1"/>
          <w:color w:val="auto"/>
        </w:rPr>
        <w:t xml:space="preserve">Water Treatment Segment. </w:t>
      </w:r>
      <w:r>
        <w:rPr>
          <w:rFonts w:ascii="Arial" w:cs="Arial" w:eastAsia="Arial" w:hAnsi="Arial"/>
          <w:sz w:val="18"/>
          <w:szCs w:val="18"/>
          <w:color w:val="auto"/>
        </w:rPr>
        <w:t>Water Treatment segment sales increased $46.7 million, or 39%, to $165.0 million for the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October 2, 2022, from sales of $118.3 million in the same period a year ago. Sales of bulk commodity products in the Water Treatment segment were approximately 9% of sales dollars in the six months ended October 2, 2022 and 8% in the same period of the prior year. Sales increased as a result of increased selling prices on many of our products driven by higher costs on many of our raw materials, the added sales from acquisitions and increased demand for our products.</w:t>
      </w:r>
    </w:p>
    <w:p>
      <w:pPr>
        <w:spacing w:after="0" w:line="204" w:lineRule="exact"/>
        <w:rPr>
          <w:sz w:val="20"/>
          <w:szCs w:val="20"/>
          <w:color w:val="auto"/>
        </w:rPr>
      </w:pPr>
    </w:p>
    <w:p>
      <w:pPr>
        <w:jc w:val="both"/>
        <w:ind w:right="400"/>
        <w:spacing w:after="0" w:line="258" w:lineRule="auto"/>
        <w:rPr>
          <w:sz w:val="20"/>
          <w:szCs w:val="20"/>
          <w:color w:val="auto"/>
        </w:rPr>
      </w:pPr>
      <w:r>
        <w:rPr>
          <w:rFonts w:ascii="Arial" w:cs="Arial" w:eastAsia="Arial" w:hAnsi="Arial"/>
          <w:sz w:val="18"/>
          <w:szCs w:val="18"/>
          <w:i w:val="1"/>
          <w:iCs w:val="1"/>
          <w:color w:val="auto"/>
        </w:rPr>
        <w:t xml:space="preserve">Health &amp; Nutrition Segment. </w:t>
      </w:r>
      <w:r>
        <w:rPr>
          <w:rFonts w:ascii="Arial" w:cs="Arial" w:eastAsia="Arial" w:hAnsi="Arial"/>
          <w:sz w:val="18"/>
          <w:szCs w:val="18"/>
          <w:color w:val="auto"/>
        </w:rPr>
        <w:t>Health and Nutrition segment sales increased $6.9 million, or 9%, to $84.1 million for the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October 2, 2022, from sales of $77.2 million in the same period a year ago. Sales increased due to increased sales of our manufactured products.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70" w:lineRule="exact"/>
        <w:rPr>
          <w:sz w:val="20"/>
          <w:szCs w:val="20"/>
          <w:color w:val="auto"/>
        </w:rPr>
      </w:pPr>
    </w:p>
    <w:p>
      <w:pPr>
        <w:jc w:val="both"/>
        <w:ind w:right="100"/>
        <w:spacing w:after="0" w:line="254" w:lineRule="auto"/>
        <w:rPr>
          <w:sz w:val="20"/>
          <w:szCs w:val="20"/>
          <w:color w:val="auto"/>
        </w:rPr>
      </w:pPr>
      <w:r>
        <w:rPr>
          <w:rFonts w:ascii="Arial" w:cs="Arial" w:eastAsia="Arial" w:hAnsi="Arial"/>
          <w:sz w:val="18"/>
          <w:szCs w:val="18"/>
          <w:color w:val="auto"/>
        </w:rPr>
        <w:t>Gross profit increased $16.8 million, or 22%, to $93.1 million, or 19% of sales, for the six months ended October 2, 2022, from $ 76.3 million, or 21% of sales, in the same period a year ago. During the six months ended October 2, 2022, the LIFO reserve increased, and gross profit decreased, by $9.0 million, due primarily to rising raw material costs. In the same period a year ago, the LIFO reserve increased, and gross profit decreased, by $4.8 million.</w:t>
      </w:r>
    </w:p>
    <w:p>
      <w:pPr>
        <w:spacing w:after="0" w:line="213" w:lineRule="exact"/>
        <w:rPr>
          <w:sz w:val="20"/>
          <w:szCs w:val="20"/>
          <w:color w:val="auto"/>
        </w:rPr>
      </w:pPr>
    </w:p>
    <w:p>
      <w:pPr>
        <w:spacing w:after="0" w:line="246" w:lineRule="auto"/>
        <w:rPr>
          <w:sz w:val="20"/>
          <w:szCs w:val="20"/>
          <w:color w:val="auto"/>
        </w:rPr>
      </w:pPr>
      <w:r>
        <w:rPr>
          <w:rFonts w:ascii="Arial" w:cs="Arial" w:eastAsia="Arial" w:hAnsi="Arial"/>
          <w:sz w:val="18"/>
          <w:szCs w:val="18"/>
          <w:i w:val="1"/>
          <w:iCs w:val="1"/>
          <w:color w:val="auto"/>
        </w:rPr>
        <w:t xml:space="preserve">Industrial Segment. </w:t>
      </w:r>
      <w:r>
        <w:rPr>
          <w:rFonts w:ascii="Arial" w:cs="Arial" w:eastAsia="Arial" w:hAnsi="Arial"/>
          <w:sz w:val="18"/>
          <w:szCs w:val="18"/>
          <w:color w:val="auto"/>
        </w:rPr>
        <w:t>Gross profit for the Industrial segment increased $ 10.9 million, or 41%, to $37.7 million, or 16% of sales, for the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October 2, 2022, from $ 26.8 million, or 16% of sales, in the same period a year ago. During the six months ended October 2, 2022, the LIFO reserve increased, and gross profit decreased, by $6.6 million, due primarily to rising raw material costs. In the same period a year ago, the LIFO reserve increased, and gross profit decreased, by $3.7 million. Gross profit increased as a result of increased sales and a product mix shift, partially offset by the unfavorable year-over-year impact of the increase in the LIFO reserve.</w:t>
      </w:r>
    </w:p>
    <w:p>
      <w:pPr>
        <w:spacing w:after="0" w:line="222"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i w:val="1"/>
          <w:iCs w:val="1"/>
          <w:color w:val="auto"/>
        </w:rPr>
        <w:t>Water Treatment Segment</w:t>
      </w:r>
      <w:r>
        <w:rPr>
          <w:rFonts w:ascii="Arial" w:cs="Arial" w:eastAsia="Arial" w:hAnsi="Arial"/>
          <w:sz w:val="18"/>
          <w:szCs w:val="18"/>
          <w:color w:val="auto"/>
        </w:rPr>
        <w:t>. Gross profit for the Water Treatment segment increased $5.7 million, or 17%, to $39.5 million, or 24% of sales,</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six months ended October 2, 2022, from $33.8 million, or 29% of sales, in the same period a year ago. During the six months ended October 2, 2022, the LIFO reserve increased, and gross profit decreased, by $2.4 million due primarily to rising raw material costs. In the same period a year ago, the LIFO reserve increased and gross profit decreased by $1.1 million. Gross profit increased as a result of increased sales, partially offset by the unfavorable year-over-year impact of the increased LIFO reserve.</w:t>
      </w:r>
    </w:p>
    <w:p>
      <w:pPr>
        <w:spacing w:after="0" w:line="208" w:lineRule="exact"/>
        <w:rPr>
          <w:sz w:val="20"/>
          <w:szCs w:val="20"/>
          <w:color w:val="auto"/>
        </w:rPr>
      </w:pPr>
    </w:p>
    <w:p>
      <w:pPr>
        <w:jc w:val="both"/>
        <w:ind w:right="80"/>
        <w:spacing w:after="0" w:line="258" w:lineRule="auto"/>
        <w:rPr>
          <w:sz w:val="20"/>
          <w:szCs w:val="20"/>
          <w:color w:val="auto"/>
        </w:rPr>
      </w:pPr>
      <w:r>
        <w:rPr>
          <w:rFonts w:ascii="Arial" w:cs="Arial" w:eastAsia="Arial" w:hAnsi="Arial"/>
          <w:sz w:val="18"/>
          <w:szCs w:val="18"/>
          <w:i w:val="1"/>
          <w:iCs w:val="1"/>
          <w:color w:val="auto"/>
        </w:rPr>
        <w:t>Health and Nutrition Segment</w:t>
      </w:r>
      <w:r>
        <w:rPr>
          <w:rFonts w:ascii="Arial" w:cs="Arial" w:eastAsia="Arial" w:hAnsi="Arial"/>
          <w:sz w:val="18"/>
          <w:szCs w:val="18"/>
          <w:color w:val="auto"/>
        </w:rPr>
        <w:t>. Gross profit for our Health and Nutrition segment increased $0.2 million, to $15.9 million, or 19% of sales,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six months ended October 2, 2022, from $15.7 million, or 20% of sales, in the same period a year ago. Gross profit increased as a result of increased sales.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7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SG&amp;A expenses increased $4.2 million to $38.7 million, or 8% of sales, for the six months ended October 2, 2022, from $ 34.5 million, or 9% of sales, in the same period a year ago. Expenses increased due to the added costs from the acquired businesses in our Water Treatment segment, as well as increased variable expenses, partially offset by a $1.6 million decrease in compensation expense relating to the non-qualified deferred compensation plan liability which is offset in "Other (Expense) Income" as described below.</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270"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Operating income increased $ 12.7 million, or 30%, to $54.4 million, or 11% of sales, for the six months ended October 2, 2022, from $41.7 million, or 11% of sales, in the same period a year ago due to the combined impact of the factors discussed above.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270" w:lineRule="exact"/>
        <w:rPr>
          <w:sz w:val="20"/>
          <w:szCs w:val="20"/>
          <w:color w:val="auto"/>
        </w:rPr>
      </w:pPr>
    </w:p>
    <w:p>
      <w:pPr>
        <w:jc w:val="both"/>
        <w:ind w:right="120"/>
        <w:spacing w:after="0" w:line="248" w:lineRule="auto"/>
        <w:rPr>
          <w:sz w:val="20"/>
          <w:szCs w:val="20"/>
          <w:color w:val="auto"/>
        </w:rPr>
      </w:pPr>
      <w:r>
        <w:rPr>
          <w:rFonts w:ascii="Arial" w:cs="Arial" w:eastAsia="Arial" w:hAnsi="Arial"/>
          <w:sz w:val="18"/>
          <w:szCs w:val="18"/>
          <w:color w:val="auto"/>
        </w:rPr>
        <w:t>Interest expense was $2.3 million for the six months ended October 2, 2022 and $0.7 million for the six months ended September 26, 2021. The increase was due to an increase in borrowing interest rates as well as an increase in outstanding borrowings due to increased working capital needs.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 Income</w:t>
      </w:r>
    </w:p>
    <w:p>
      <w:pPr>
        <w:spacing w:after="0" w:line="257" w:lineRule="exact"/>
        <w:rPr>
          <w:sz w:val="20"/>
          <w:szCs w:val="20"/>
          <w:color w:val="auto"/>
        </w:rPr>
      </w:pPr>
    </w:p>
    <w:p>
      <w:pPr>
        <w:ind w:right="360"/>
        <w:spacing w:after="0" w:line="226" w:lineRule="auto"/>
        <w:rPr>
          <w:sz w:val="20"/>
          <w:szCs w:val="20"/>
          <w:color w:val="auto"/>
        </w:rPr>
      </w:pPr>
      <w:r>
        <w:rPr>
          <w:rFonts w:ascii="Arial" w:cs="Arial" w:eastAsia="Arial" w:hAnsi="Arial"/>
          <w:sz w:val="18"/>
          <w:szCs w:val="18"/>
          <w:color w:val="auto"/>
        </w:rPr>
        <w:t>Other expense was $1.2 million for the six months ended October 2, 2022 compared to other income of $0.4 million in the same period a year ago. The current year expense represents losses recorded on investments held for our non-qualified deferred compensation plan,</w:t>
      </w:r>
    </w:p>
    <w:p>
      <w:pPr>
        <w:spacing w:after="0" w:line="2"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whereas the income in the prior year represented gains recorded on those investments. The amounts recorded as a gain or loss were offset by a similar amounts recorded as a decrease or increase to compensation expense within SG&amp;A expenses</w:t>
      </w:r>
      <w:r>
        <w:rPr>
          <w:rFonts w:ascii="Arial" w:cs="Arial" w:eastAsia="Arial" w:hAnsi="Arial"/>
          <w:sz w:val="18"/>
          <w:szCs w:val="18"/>
          <w:i w:val="1"/>
          <w:iCs w:val="1"/>
          <w:color w:val="auto"/>
        </w:rPr>
        <w:t>.</w:t>
      </w:r>
    </w:p>
    <w:p>
      <w:pPr>
        <w:sectPr>
          <w:pgSz w:w="11900" w:h="16838" w:orient="portrait"/>
          <w:cols w:equalWidth="0" w:num="1">
            <w:col w:w="11220"/>
          </w:cols>
          <w:pgMar w:left="320" w:top="603" w:right="359" w:bottom="176" w:gutter="0" w:footer="0" w:header="0"/>
        </w:sect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Income Tax Provision</w:t>
      </w:r>
    </w:p>
    <w:p>
      <w:pPr>
        <w:sectPr>
          <w:pgSz w:w="11900" w:h="16838" w:orient="portrait"/>
          <w:cols w:equalWidth="0" w:num="1">
            <w:col w:w="11220"/>
          </w:cols>
          <w:pgMar w:left="320" w:top="603" w:right="359" w:bottom="176" w:gutter="0" w:footer="0" w:header="0"/>
          <w:type w:val="continuous"/>
        </w:sectPr>
      </w:pPr>
    </w:p>
    <w:bookmarkStart w:id="17" w:name="page18"/>
    <w:bookmarkEnd w:id="17"/>
    <w:p>
      <w:pPr>
        <w:spacing w:after="0" w:line="10"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Our effective income tax rate was 26% for both the six months ended October 2, 2022 and in the same period a year ago. The effective tax rate is impacted by projected levels of annual taxable income, permanent items, and state taxes. Our effective tax rate for the full year is currently expected to be approximately 26 to 27%.</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Cash was $3.9 million at October 2, 2022, an increase of $0.4 million as compared with the $3.5 million available as of April 3, 2022.</w:t>
      </w:r>
    </w:p>
    <w:p>
      <w:pPr>
        <w:spacing w:after="0" w:line="25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Cash provided by operating activities was $18.8 million for the six months ended October 2, 2022, compared to cash provided by operating activities of $40.1 million in the same period a year ago. The year-over-year decrease in cash provided by operating activities was primarily driven by an increase in year-over-year changes in uses of working capital, including more cash expended in the first six months of the current year for inventory, customer receivables, and accounts payable, partially offset by increased net income for the six months ended October 2, 2022 compared to the same period a year ago. The current year increase in inventory and accounts receivable was largely due to increased raw material prices and increased sales. Due to the nature of our operations, which includes purchases of large quantities of bulk chemicals, timing of purchases can result in significant changes in working capital investment and the resulting operating cash flow.</w:t>
      </w:r>
    </w:p>
    <w:p>
      <w:pPr>
        <w:spacing w:after="0" w:line="234" w:lineRule="exact"/>
        <w:rPr>
          <w:sz w:val="20"/>
          <w:szCs w:val="20"/>
          <w:color w:val="auto"/>
        </w:rPr>
      </w:pPr>
    </w:p>
    <w:p>
      <w:pPr>
        <w:ind w:right="160"/>
        <w:spacing w:after="0" w:line="250" w:lineRule="auto"/>
        <w:rPr>
          <w:sz w:val="20"/>
          <w:szCs w:val="20"/>
          <w:color w:val="auto"/>
        </w:rPr>
      </w:pPr>
      <w:r>
        <w:rPr>
          <w:rFonts w:ascii="Arial" w:cs="Arial" w:eastAsia="Arial" w:hAnsi="Arial"/>
          <w:sz w:val="18"/>
          <w:szCs w:val="18"/>
          <w:color w:val="auto"/>
        </w:rPr>
        <w:t>Cash used in investing activities was $20.4 million for the six months ended October 2, 2022, compared to $7.9 million in the same period a year ago. Capital expenditures were $ 20.7 million for the six months ended October 2, 2022, compared to $6.9 million in the same period a year ago. In the first six months of the current year, we invested an additional $1.1 million to complete the expansion of our Illinois manufacturing facility, purchased a previously leased facility for $0.9 million, and had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significantly larger investments in trucks, containers and new and replacement equipment compared to the first six months of the prior year.</w:t>
      </w:r>
    </w:p>
    <w:p>
      <w:pPr>
        <w:spacing w:after="0" w:line="252"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Cash provided by financing activities was $2.0 million for the six months ended October 2, 2022, compared to $28.4 million of cash used in financing activities in the same period a year ago. Included in financing activities in the first six months of the current year were net debt proceeds of $15.0 million, compared to net debt payments of $ 15.0 million in the first six months of the prior year. The large increase in our working capital needs in the current year, as discussed above, required us to increase our borrowings. In addition, we repurchased $6.6 million of shares of our common stock in the first six months of the current fiscal year, compared to $7.4 million of shares repurchased in the same period a year ago.</w:t>
      </w:r>
    </w:p>
    <w:p>
      <w:pPr>
        <w:spacing w:after="0" w:line="23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We expect our cash balances and funds available under our credit facility, discussed below, along with cash flows generated from operations, will be sufficient to fund the cash requirements of our ongoing operations for the foreseeable future.</w:t>
      </w:r>
    </w:p>
    <w:p>
      <w:pPr>
        <w:spacing w:after="0" w:line="22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Our Board has authorized the repurchase of up to 2.6 million shares of our outstanding common stock. The shares may be purchased on the open market or in privately negotiated transactions subject to applicable securities laws and regulations. The primary objective of the share repurchase program is to offset the impact of dilution from issuances relating to employee and director equity grants and our employee stock purchase program. During the six months ended October 2, 2022, we repurchased 181,657 shares of common stock with an aggregate purchase price of $6.6 million. During the six months ended September 26, 2021, 209,963 shares were repurchased with an aggregate purchase price of $7.4 million. As of October 2, 2022, 1,129,348 shares remained available to be repurchased under the share repurchase program.</w:t>
      </w:r>
    </w:p>
    <w:p>
      <w:pPr>
        <w:spacing w:after="0" w:line="23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are party to a second amended and restated credit agreement (the “Credit Agreement”) with U.S. Bank National Association (“U.S. Bank”) as Sole Lead Arranger and Sole Book Runner, and other lenders from time to time party thereto (collectively, the “Lenders”), whereby U.S. Bank is also serving as Administrative Agent. The Credit Agreement refinanced the revolving loan under our previous credit agreement with U.S. Bank and provides us with senior secured revolving credit facilities (the “Revolving Loan Facility”) totaling $250 million. The Revolving Loan Facility includes a $10 million letter of credit subfacility and $25 million swingline subfacility. The Revolving Loan Facility has a five-year maturity date, maturing on April 30, 2027. The Revolving Loan Facility is secured by substantially all of our personal property assets and those of our subsidiaries. We may use the amount available under the Revolving Loan Facility for working capital, capital expenditures, share repurchases, restricted payments and acquisitions permitted under the Credit Agreement, and other general corporate purposes.</w:t>
      </w:r>
    </w:p>
    <w:p>
      <w:pPr>
        <w:spacing w:after="0" w:line="239"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Borrowings under the Revolving Loan Facility bear interest at a rate per annum equal to one of the following, plus, in both cases, an applicable margin based upon our leverage ratio: (a) Term SOFR, which includes a credit spread adjustment of 0.10%, for an interest period of one, three or six months as selected by us, reset at the end of the selected interest period, or (b) a base rate determined by reference to the highest of (1) U. S. Bank’s prime rate, (2) the Federal Funds Effective Rate plus 0.5%, or (3) one-month Term SOFR for U.S. dollars plus 1.0%. The Term SOFR margin is between 0.85% and 1.35%, depending on our leverage ratio. The base rate margin is between 0.00% and</w:t>
      </w:r>
    </w:p>
    <w:p>
      <w:pPr>
        <w:spacing w:after="0"/>
        <w:rPr>
          <w:sz w:val="20"/>
          <w:szCs w:val="20"/>
          <w:color w:val="auto"/>
        </w:rPr>
      </w:pPr>
      <w:r>
        <w:rPr>
          <w:rFonts w:ascii="Arial" w:cs="Arial" w:eastAsia="Arial" w:hAnsi="Arial"/>
          <w:sz w:val="18"/>
          <w:szCs w:val="18"/>
          <w:color w:val="auto"/>
        </w:rPr>
        <w:t>0.35%, depending on our leverage ratio. At October 2, 2022, the effective interest rate on our borrowings was 3.4%.</w:t>
      </w:r>
    </w:p>
    <w:p>
      <w:pPr>
        <w:spacing w:after="0" w:line="23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addition to paying interest on the outstanding principal under the Revolving Loan Facility, we are required to pay a commitment fee on the unutilized commitments thereunder. The commitment fee is between 0.15% and 0.25%, depending on our leverage ratio.</w:t>
      </w:r>
    </w:p>
    <w:p>
      <w:pPr>
        <w:spacing w:after="0" w:line="225"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Debt issuance costs paid to the Lenders are being amortized as interest expense over the term of the Credit Agreement. As of October 2, 2022, the unamortized balance of these costs was $0.4 million, and is reflected as a reduction of debt on our balance sheet.</w:t>
      </w:r>
    </w:p>
    <w:p>
      <w:pPr>
        <w:spacing w:after="0" w:line="2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Credit Agreement requires us to maintain (a) a minimum fixed charge coverage ratio of 1.15 to 1.00 and (b) a maximum total cash flow leverage ratio of 3.0 to 1.0. The Credit Agreement also contains other customary affirmative and negative covenants, including covenants that restrict our ability to incur additional indebtedness, dispose of significant assets, make certain investments, including any acquisitions other than permitted acquisitions, make certain payments, enter into sale and leaseback transactions, grant liens on our assets or enter into rate management transactions, subject to certain limitations. We are permitted to make distributions, pay dividends and repurchase shares so long as no default or event of default exists or would exist as a result thereof. We were in compliance with all covenants of the Credit Agreement as of October 2, 2022 and expect to remain in compliance with all covenants for the next 12 months.</w:t>
      </w:r>
    </w:p>
    <w:p>
      <w:pPr>
        <w:spacing w:after="0" w:line="23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Credit Agreement contains customary events of default, including failure to comply with covenants in the Credit Agreement and other loan documents, cross default to other material indebtedness, failure by us to pay or discharge material judgments, bankruptcy, and change of control. The occurrence of an event of default would permit the lenders to terminate their commitments and accelerate loans under the Credit Facility.</w:t>
      </w:r>
    </w:p>
    <w:p>
      <w:pPr>
        <w:sectPr>
          <w:pgSz w:w="11900" w:h="16848" w:orient="portrait"/>
          <w:cols w:equalWidth="0" w:num="1">
            <w:col w:w="11240"/>
          </w:cols>
          <w:pgMar w:left="320" w:top="140" w:right="339" w:bottom="0" w:gutter="0" w:footer="0" w:header="0"/>
        </w:sectPr>
      </w:pPr>
    </w:p>
    <w:bookmarkStart w:id="18" w:name="page19"/>
    <w:bookmarkEnd w:id="18"/>
    <w:p>
      <w:pPr>
        <w:jc w:val="both"/>
        <w:spacing w:after="0" w:line="254" w:lineRule="auto"/>
        <w:rPr>
          <w:sz w:val="20"/>
          <w:szCs w:val="20"/>
          <w:color w:val="auto"/>
        </w:rPr>
      </w:pPr>
      <w:r>
        <w:rPr>
          <w:rFonts w:ascii="Arial" w:cs="Arial" w:eastAsia="Arial" w:hAnsi="Arial"/>
          <w:sz w:val="18"/>
          <w:szCs w:val="18"/>
          <w:color w:val="auto"/>
        </w:rPr>
        <w:t>We have in place an interest rate swap agreement to manage the risk associated with a portion of our variable-rate long-term debt. We do not utilize derivative instruments for speculative purposes. The interest rate swap involves the exchange of fixed-rate and variable-rate payments without the exchange of the underlying notional amount on which the interest payments are calculated. The notional amount of the swap agreement is $60 million and it will terminate on May 1, 2027.</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part of our growth strategy, we have acquired businesses and may pursue acquisitions or other strategic relationships in the future that we believe will complement or expand our existing businesses or increase our customer base. We believe we could borrow additional funds under our current or new credit facilities or sell equity for strategic reasons or to further strengthen our financial position.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Estimates</w:t>
      </w:r>
    </w:p>
    <w:p>
      <w:pPr>
        <w:spacing w:after="0" w:line="193" w:lineRule="exact"/>
        <w:rPr>
          <w:sz w:val="20"/>
          <w:szCs w:val="20"/>
          <w:color w:val="auto"/>
        </w:rPr>
      </w:pPr>
    </w:p>
    <w:p>
      <w:pPr>
        <w:ind w:right="380"/>
        <w:spacing w:after="0" w:line="261" w:lineRule="auto"/>
        <w:rPr>
          <w:rFonts w:ascii="Arial" w:cs="Arial" w:eastAsia="Arial" w:hAnsi="Arial"/>
          <w:sz w:val="18"/>
          <w:szCs w:val="18"/>
          <w:color w:val="0000FF"/>
        </w:rPr>
      </w:pPr>
      <w:hyperlink r:id="rId18">
        <w:r>
          <w:rPr>
            <w:rFonts w:ascii="Arial" w:cs="Arial" w:eastAsia="Arial" w:hAnsi="Arial"/>
            <w:sz w:val="18"/>
            <w:szCs w:val="18"/>
            <w:color w:val="auto"/>
          </w:rPr>
          <w:t xml:space="preserve">There were no material changes in our critical accounting estimates since the filing of our </w:t>
        </w:r>
        <w:r>
          <w:rPr>
            <w:rFonts w:ascii="Arial" w:cs="Arial" w:eastAsia="Arial" w:hAnsi="Arial"/>
            <w:sz w:val="18"/>
            <w:szCs w:val="18"/>
            <w:u w:val="single" w:color="auto"/>
            <w:color w:val="0000FF"/>
          </w:rPr>
          <w:t>Annual Report on Form 10-K for the fiscal year</w:t>
        </w:r>
      </w:hyperlink>
      <w:r>
        <w:rPr>
          <w:rFonts w:ascii="Arial" w:cs="Arial" w:eastAsia="Arial" w:hAnsi="Arial"/>
          <w:sz w:val="18"/>
          <w:szCs w:val="18"/>
          <w:color w:val="auto"/>
        </w:rPr>
        <w:t xml:space="preserve"> </w:t>
      </w:r>
      <w:hyperlink r:id="rId18">
        <w:r>
          <w:rPr>
            <w:rFonts w:ascii="Arial" w:cs="Arial" w:eastAsia="Arial" w:hAnsi="Arial"/>
            <w:sz w:val="18"/>
            <w:szCs w:val="18"/>
            <w:u w:val="single" w:color="auto"/>
            <w:color w:val="0000FF"/>
          </w:rPr>
          <w:t>ended April 3, 2022</w:t>
        </w:r>
        <w:r>
          <w:rPr>
            <w:rFonts w:ascii="Arial" w:cs="Arial" w:eastAsia="Arial" w:hAnsi="Arial"/>
            <w:sz w:val="18"/>
            <w:szCs w:val="18"/>
            <w:color w:val="000000"/>
          </w:rPr>
          <w:t>.</w:t>
        </w:r>
      </w:hyperlink>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139" w:lineRule="exact"/>
        <w:rPr>
          <w:sz w:val="20"/>
          <w:szCs w:val="20"/>
          <w:color w:val="auto"/>
        </w:rPr>
      </w:pPr>
    </w:p>
    <w:p>
      <w:pPr>
        <w:spacing w:after="0" w:line="251" w:lineRule="auto"/>
        <w:rPr>
          <w:rFonts w:ascii="Arial" w:cs="Arial" w:eastAsia="Arial" w:hAnsi="Arial"/>
          <w:sz w:val="18"/>
          <w:szCs w:val="18"/>
          <w:color w:val="0000FF"/>
        </w:rPr>
      </w:pPr>
      <w:r>
        <w:rPr>
          <w:rFonts w:ascii="Arial" w:cs="Arial" w:eastAsia="Arial" w:hAnsi="Arial"/>
          <w:sz w:val="18"/>
          <w:szCs w:val="18"/>
          <w:color w:val="auto"/>
        </w:rPr>
        <w:t xml:space="preserve">The information presented in this Quarterly Report on Form 10-Q contains forward-looking statements within the meaning of Section 21E of the Securities Exchange Act of 1934, as amended (the “Exchange Act”). These forward-looking statements have been made pursuant to the provisions of the Private Securities Litigation Reform Act of 1995. These statements are not historical facts, but rather are based on our current expectations, estimates and projections, and our beliefs and assumptions. Words such as “anticipate,” “believe,” “estimate,”“expect,” “intend,” “plan,” “will” and similar expressions to identify forward-looking statements. These statements are not guarantees of future performance and are subject to certain risks, uncertainties and other factors, some of which are beyond our control and are difficult to predict. These factors could cause actual results to differ materially from those expressed or forecasted in the forward-looking statements. Additional </w:t>
      </w:r>
      <w:hyperlink r:id="rId18">
        <w:r>
          <w:rPr>
            <w:rFonts w:ascii="Arial" w:cs="Arial" w:eastAsia="Arial" w:hAnsi="Arial"/>
            <w:sz w:val="18"/>
            <w:szCs w:val="18"/>
            <w:color w:val="auto"/>
          </w:rPr>
          <w:t xml:space="preserve">information concerning potential factors that could affect future financial results is included in our </w:t>
        </w:r>
        <w:r>
          <w:rPr>
            <w:rFonts w:ascii="Arial" w:cs="Arial" w:eastAsia="Arial" w:hAnsi="Arial"/>
            <w:sz w:val="18"/>
            <w:szCs w:val="18"/>
            <w:u w:val="single" w:color="auto"/>
            <w:color w:val="0000FF"/>
          </w:rPr>
          <w:t>Annual Report on Form 10-K for the fiscal</w:t>
        </w:r>
      </w:hyperlink>
      <w:r>
        <w:rPr>
          <w:rFonts w:ascii="Arial" w:cs="Arial" w:eastAsia="Arial" w:hAnsi="Arial"/>
          <w:sz w:val="18"/>
          <w:szCs w:val="18"/>
          <w:color w:val="auto"/>
        </w:rPr>
        <w:t xml:space="preserve"> </w:t>
      </w:r>
      <w:hyperlink r:id="rId18">
        <w:r>
          <w:rPr>
            <w:rFonts w:ascii="Arial" w:cs="Arial" w:eastAsia="Arial" w:hAnsi="Arial"/>
            <w:sz w:val="18"/>
            <w:szCs w:val="18"/>
            <w:u w:val="single" w:color="auto"/>
            <w:color w:val="0000FF"/>
          </w:rPr>
          <w:t>year ended April 3, 2022</w:t>
        </w:r>
        <w:r>
          <w:rPr>
            <w:rFonts w:ascii="Arial" w:cs="Arial" w:eastAsia="Arial" w:hAnsi="Arial"/>
            <w:sz w:val="18"/>
            <w:szCs w:val="18"/>
            <w:color w:val="000000"/>
          </w:rPr>
          <w:t>. We caution you not to place undue reliance on these forward-looking statements, which reflect our management’s</w:t>
        </w:r>
      </w:hyperlink>
      <w:r>
        <w:rPr>
          <w:rFonts w:ascii="Arial" w:cs="Arial" w:eastAsia="Arial" w:hAnsi="Arial"/>
          <w:sz w:val="18"/>
          <w:szCs w:val="18"/>
          <w:color w:val="0000FF"/>
        </w:rPr>
        <w:t xml:space="preserve"> </w:t>
      </w:r>
      <w:r>
        <w:rPr>
          <w:rFonts w:ascii="Arial" w:cs="Arial" w:eastAsia="Arial" w:hAnsi="Arial"/>
          <w:sz w:val="18"/>
          <w:szCs w:val="18"/>
          <w:color w:val="000000"/>
        </w:rPr>
        <w:t>view only as of the date of this Quarterly Report on Form 10-Q. We are not obligated to update these statements or publicly release the result of any revisions to them to reflect events or circumstances after the date of this Quarterly Report on Form 10-Q or to reflect the occurrence of unanticipated events.</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9" w:name="page20"/>
    <w:bookmarkEnd w:id="19"/>
    <w:p>
      <w:pPr>
        <w:spacing w:after="0"/>
        <w:tabs>
          <w:tab w:leader="none" w:pos="102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7"/>
          <w:szCs w:val="17"/>
          <w:color w:val="auto"/>
        </w:rPr>
        <w:t>QUANTITATIVE AND QUALITATIVE DISCLOSURES ABOUT MARKET RISK</w:t>
      </w:r>
    </w:p>
    <w:p>
      <w:pPr>
        <w:spacing w:after="0" w:line="17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are subject to the risk inherent in the cyclical nature of commodity chemical prices. However, we do not currently purchase forward contracts or otherwise engage in hedging activities with respect to the purchase of commodity chemicals. We attempt to pass changes in the cost of our materials to our customers. However, there are no assurances that we will be able to pass on the increases in the future.</w:t>
      </w:r>
    </w:p>
    <w:p>
      <w:pPr>
        <w:spacing w:after="0" w:line="22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are exposed to market risks related to interest rates. Our exposure to changes in interest rates is primarily related to borrowings under our Revolving Loan Facility. We have in place an interest rate swap agreement to manage the risk associated with a portion of our variable-rate long-term debt. The interest rate swap involves the exchange of fixed-rate and variable-rate payments without the exchange of the underlying notional amount on which the interest payments are calculated. The notional amount of the swap agreement is $60.0 million and it will terminate on May 1, 2027. As of October 2, 2022, a 25-basis point change in interest rates on our unhedged variable-rate debt would potentially increase or decrease our annual interest expense by approximately $0.2 million.</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Other types of market risk, such as foreign currency risk, do not arise in the normal course of our business activities.</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7"/>
          <w:szCs w:val="17"/>
          <w:color w:val="auto"/>
        </w:rPr>
        <w:t>CONTROLS AND PROCEDURES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1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As of the end of the period covered by this Quarterly Report on Form 10-Q, we conducted an evaluation, under supervision and with the participation of management, including the chief executive officer and chief financial officer, of the effectiveness of the design and operation of our disclosure controls and procedures pursuant to Rules 13a-15 and 15d-15 of the Exchange Act. Based upon that evaluation, our chief executive officer and chief financial officer concluded that our disclosure controls and procedures were effective as of October 2, 2022. Disclosure controls and procedures are defined by Rules 13a-15(e) and 15d-15(e) of the Exchange Act as controls and other procedures that are designed to ensure that information required to be disclosed by us in reports filed with the SEC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reports filed under the Exchange Act is accumulated and communicated to our management, including our principal executive and principal financial officers, or person performing similar functions, as appropriate to allow timely decisions regarding required disclosure.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w:t>
      </w:r>
    </w:p>
    <w:p>
      <w:pPr>
        <w:spacing w:after="0" w:line="126"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There was no change in our internal control over financial reporting during the second quarter of fiscal 2023 that has materially affected, or is reasonably likely to materially affect, our internal control over financial reporting.</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LEGAL PROCEEDINGS</w:t>
      </w:r>
    </w:p>
    <w:p>
      <w:pPr>
        <w:spacing w:after="0" w:line="171"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There are no material pending legal proceedings, other than ordinary routine litigation incidental to the business, to which we or any of our subsidiaries are a party or of which any of our property is the subject.</w:t>
      </w:r>
    </w:p>
    <w:p>
      <w:pPr>
        <w:spacing w:after="0" w:line="19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ITEM 1A.</w:t>
      </w:r>
      <w:r>
        <w:rPr>
          <w:sz w:val="20"/>
          <w:szCs w:val="20"/>
          <w:color w:val="auto"/>
        </w:rPr>
        <w:tab/>
      </w:r>
      <w:r>
        <w:rPr>
          <w:rFonts w:ascii="Arial" w:cs="Arial" w:eastAsia="Arial" w:hAnsi="Arial"/>
          <w:sz w:val="17"/>
          <w:szCs w:val="17"/>
          <w:color w:val="auto"/>
        </w:rPr>
        <w:t>RISK FACTORS</w:t>
      </w:r>
    </w:p>
    <w:p>
      <w:pPr>
        <w:spacing w:after="0" w:line="171" w:lineRule="exact"/>
        <w:rPr>
          <w:sz w:val="20"/>
          <w:szCs w:val="20"/>
          <w:color w:val="auto"/>
        </w:rPr>
      </w:pPr>
    </w:p>
    <w:p>
      <w:pPr>
        <w:ind w:right="260"/>
        <w:spacing w:after="0" w:line="261" w:lineRule="auto"/>
        <w:rPr>
          <w:rFonts w:ascii="Arial" w:cs="Arial" w:eastAsia="Arial" w:hAnsi="Arial"/>
          <w:sz w:val="18"/>
          <w:szCs w:val="18"/>
          <w:color w:val="0000FF"/>
        </w:rPr>
      </w:pPr>
      <w:hyperlink r:id="rId18">
        <w:r>
          <w:rPr>
            <w:rFonts w:ascii="Arial" w:cs="Arial" w:eastAsia="Arial" w:hAnsi="Arial"/>
            <w:sz w:val="18"/>
            <w:szCs w:val="18"/>
            <w:color w:val="auto"/>
          </w:rPr>
          <w:t xml:space="preserve">There have been no material changes to our risk factors from those disclosed in our </w:t>
        </w:r>
        <w:r>
          <w:rPr>
            <w:rFonts w:ascii="Arial" w:cs="Arial" w:eastAsia="Arial" w:hAnsi="Arial"/>
            <w:sz w:val="18"/>
            <w:szCs w:val="18"/>
            <w:u w:val="single" w:color="auto"/>
            <w:color w:val="0000FF"/>
          </w:rPr>
          <w:t>Annual Report on Form 10-K for the fiscal year ended</w:t>
        </w:r>
      </w:hyperlink>
      <w:r>
        <w:rPr>
          <w:rFonts w:ascii="Arial" w:cs="Arial" w:eastAsia="Arial" w:hAnsi="Arial"/>
          <w:sz w:val="18"/>
          <w:szCs w:val="18"/>
          <w:color w:val="auto"/>
        </w:rPr>
        <w:t xml:space="preserve"> </w:t>
      </w:r>
      <w:hyperlink r:id="rId18">
        <w:r>
          <w:rPr>
            <w:rFonts w:ascii="Arial" w:cs="Arial" w:eastAsia="Arial" w:hAnsi="Arial"/>
            <w:sz w:val="18"/>
            <w:szCs w:val="18"/>
            <w:u w:val="single" w:color="auto"/>
            <w:color w:val="0000FF"/>
          </w:rPr>
          <w:t>April 3, 2022</w:t>
        </w:r>
        <w:r>
          <w:rPr>
            <w:rFonts w:ascii="Arial" w:cs="Arial" w:eastAsia="Arial" w:hAnsi="Arial"/>
            <w:sz w:val="18"/>
            <w:szCs w:val="18"/>
            <w:color w:val="000000"/>
          </w:rPr>
          <w:t>.</w:t>
        </w:r>
      </w:hyperlink>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UNREGISTERED SALES OF EQUITY SECURITIES AND USE OF PROCEEDS</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Board has authorized the repurchase of up to 2.6 million shares of our outstanding common stock. The shares may be purchased on the open market or in privately negotiated transactions subject to applicable securities laws and regulations. The following table sets forth information concerning purchases of our common stock for the three months ended October 2, 2022:</w:t>
      </w:r>
    </w:p>
    <w:tbl>
      <w:tblPr>
        <w:tblLayout w:type="fixed"/>
        <w:tblInd w:w="0" w:type="dxa"/>
        <w:tblCellMar>
          <w:top w:w="0" w:type="dxa"/>
          <w:left w:w="0" w:type="dxa"/>
          <w:bottom w:w="0" w:type="dxa"/>
          <w:right w:w="0" w:type="dxa"/>
        </w:tblCellMar>
      </w:tblPr>
      <w:tr>
        <w:trPr>
          <w:trHeight w:val="176"/>
        </w:trPr>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60" w:type="dxa"/>
            <w:vAlign w:val="bottom"/>
          </w:tcPr>
          <w:p>
            <w:pPr>
              <w:jc w:val="right"/>
              <w:spacing w:after="0" w:line="175" w:lineRule="exact"/>
              <w:rPr>
                <w:sz w:val="20"/>
                <w:szCs w:val="20"/>
                <w:color w:val="auto"/>
              </w:rPr>
            </w:pPr>
            <w:r>
              <w:rPr>
                <w:rFonts w:ascii="Arial" w:cs="Arial" w:eastAsia="Arial" w:hAnsi="Arial"/>
                <w:sz w:val="16"/>
                <w:szCs w:val="16"/>
                <w:b w:val="1"/>
                <w:bCs w:val="1"/>
                <w:color w:val="auto"/>
              </w:rPr>
              <w:t>Total Number of Shares</w:t>
            </w:r>
          </w:p>
        </w:tc>
        <w:tc>
          <w:tcPr>
            <w:tcW w:w="100" w:type="dxa"/>
            <w:vAlign w:val="bottom"/>
          </w:tcPr>
          <w:p>
            <w:pPr>
              <w:spacing w:after="0"/>
              <w:rPr>
                <w:sz w:val="15"/>
                <w:szCs w:val="15"/>
                <w:color w:val="auto"/>
              </w:rPr>
            </w:pPr>
          </w:p>
        </w:tc>
        <w:tc>
          <w:tcPr>
            <w:tcW w:w="210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rPr>
              <w:t>Maximum Number of</w:t>
            </w:r>
          </w:p>
        </w:tc>
        <w:tc>
          <w:tcPr>
            <w:tcW w:w="0" w:type="dxa"/>
            <w:vAlign w:val="bottom"/>
          </w:tcPr>
          <w:p>
            <w:pPr>
              <w:spacing w:after="0"/>
              <w:rPr>
                <w:sz w:val="1"/>
                <w:szCs w:val="1"/>
                <w:color w:val="auto"/>
              </w:rPr>
            </w:pPr>
          </w:p>
        </w:tc>
      </w:tr>
      <w:tr>
        <w:trPr>
          <w:trHeight w:val="162"/>
        </w:trPr>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Total Number of</w:t>
            </w:r>
          </w:p>
        </w:tc>
        <w:tc>
          <w:tcPr>
            <w:tcW w:w="300" w:type="dxa"/>
            <w:vAlign w:val="bottom"/>
          </w:tcPr>
          <w:p>
            <w:pPr>
              <w:spacing w:after="0"/>
              <w:rPr>
                <w:sz w:val="14"/>
                <w:szCs w:val="14"/>
                <w:color w:val="auto"/>
              </w:rPr>
            </w:pPr>
          </w:p>
        </w:tc>
        <w:tc>
          <w:tcPr>
            <w:tcW w:w="166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Average Price Paid</w:t>
            </w:r>
          </w:p>
        </w:tc>
        <w:tc>
          <w:tcPr>
            <w:tcW w:w="19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Purchased as Part of a</w:t>
            </w:r>
          </w:p>
        </w:tc>
        <w:tc>
          <w:tcPr>
            <w:tcW w:w="100" w:type="dxa"/>
            <w:vAlign w:val="bottom"/>
          </w:tcPr>
          <w:p>
            <w:pPr>
              <w:spacing w:after="0"/>
              <w:rPr>
                <w:sz w:val="14"/>
                <w:szCs w:val="14"/>
                <w:color w:val="auto"/>
              </w:rPr>
            </w:pPr>
          </w:p>
        </w:tc>
        <w:tc>
          <w:tcPr>
            <w:tcW w:w="21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Shares that May Yet be</w:t>
            </w:r>
          </w:p>
        </w:tc>
        <w:tc>
          <w:tcPr>
            <w:tcW w:w="0" w:type="dxa"/>
            <w:vAlign w:val="bottom"/>
          </w:tcPr>
          <w:p>
            <w:pPr>
              <w:spacing w:after="0"/>
              <w:rPr>
                <w:sz w:val="1"/>
                <w:szCs w:val="1"/>
                <w:color w:val="auto"/>
              </w:rPr>
            </w:pPr>
          </w:p>
        </w:tc>
      </w:tr>
      <w:tr>
        <w:trPr>
          <w:trHeight w:val="162"/>
        </w:trPr>
        <w:tc>
          <w:tcPr>
            <w:tcW w:w="540" w:type="dxa"/>
            <w:vAlign w:val="bottom"/>
          </w:tcPr>
          <w:p>
            <w:pPr>
              <w:spacing w:after="0"/>
              <w:rPr>
                <w:sz w:val="14"/>
                <w:szCs w:val="14"/>
                <w:color w:val="auto"/>
              </w:rPr>
            </w:pPr>
          </w:p>
        </w:tc>
        <w:tc>
          <w:tcPr>
            <w:tcW w:w="24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Period</w:t>
            </w:r>
          </w:p>
        </w:tc>
        <w:tc>
          <w:tcPr>
            <w:tcW w:w="100" w:type="dxa"/>
            <w:vAlign w:val="bottom"/>
            <w:vMerge w:val="restart"/>
          </w:tcPr>
          <w:p>
            <w:pPr>
              <w:spacing w:after="0"/>
              <w:rPr>
                <w:sz w:val="14"/>
                <w:szCs w:val="14"/>
                <w:color w:val="auto"/>
              </w:rPr>
            </w:pPr>
          </w:p>
        </w:tc>
        <w:tc>
          <w:tcPr>
            <w:tcW w:w="15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gridSpan w:val="3"/>
            <w:vMerge w:val="continue"/>
          </w:tcPr>
          <w:p>
            <w:pPr>
              <w:spacing w:after="0"/>
              <w:rPr>
                <w:sz w:val="14"/>
                <w:szCs w:val="14"/>
                <w:color w:val="auto"/>
              </w:rPr>
            </w:pPr>
          </w:p>
        </w:tc>
        <w:tc>
          <w:tcPr>
            <w:tcW w:w="19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Publicly Announced</w:t>
            </w:r>
          </w:p>
        </w:tc>
        <w:tc>
          <w:tcPr>
            <w:tcW w:w="100" w:type="dxa"/>
            <w:vAlign w:val="bottom"/>
          </w:tcPr>
          <w:p>
            <w:pPr>
              <w:spacing w:after="0"/>
              <w:rPr>
                <w:sz w:val="14"/>
                <w:szCs w:val="14"/>
                <w:color w:val="auto"/>
              </w:rPr>
            </w:pPr>
          </w:p>
        </w:tc>
        <w:tc>
          <w:tcPr>
            <w:tcW w:w="21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Purchased under Plans or</w:t>
            </w:r>
          </w:p>
        </w:tc>
        <w:tc>
          <w:tcPr>
            <w:tcW w:w="0" w:type="dxa"/>
            <w:vAlign w:val="bottom"/>
          </w:tcPr>
          <w:p>
            <w:pPr>
              <w:spacing w:after="0"/>
              <w:rPr>
                <w:sz w:val="1"/>
                <w:szCs w:val="1"/>
                <w:color w:val="auto"/>
              </w:rPr>
            </w:pPr>
          </w:p>
        </w:tc>
      </w:tr>
      <w:tr>
        <w:trPr>
          <w:trHeight w:val="215"/>
        </w:trPr>
        <w:tc>
          <w:tcPr>
            <w:tcW w:w="540" w:type="dxa"/>
            <w:vAlign w:val="bottom"/>
          </w:tcPr>
          <w:p>
            <w:pPr>
              <w:spacing w:after="0"/>
              <w:rPr>
                <w:sz w:val="18"/>
                <w:szCs w:val="18"/>
                <w:color w:val="auto"/>
              </w:rPr>
            </w:pPr>
          </w:p>
        </w:tc>
        <w:tc>
          <w:tcPr>
            <w:tcW w:w="2460" w:type="dxa"/>
            <w:vAlign w:val="bottom"/>
            <w:tcBorders>
              <w:bottom w:val="single" w:sz="8" w:color="auto"/>
            </w:tcBorders>
            <w:gridSpan w:val="2"/>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5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Shares Purchased</w:t>
            </w:r>
          </w:p>
        </w:tc>
        <w:tc>
          <w:tcPr>
            <w:tcW w:w="3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Per Share</w:t>
            </w:r>
          </w:p>
        </w:tc>
        <w:tc>
          <w:tcPr>
            <w:tcW w:w="120" w:type="dxa"/>
            <w:vAlign w:val="bottom"/>
            <w:tcBorders>
              <w:bottom w:val="single" w:sz="8" w:color="CCEEFF"/>
            </w:tcBorders>
          </w:tcPr>
          <w:p>
            <w:pPr>
              <w:spacing w:after="0"/>
              <w:rPr>
                <w:sz w:val="18"/>
                <w:szCs w:val="18"/>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Plan or Program</w:t>
            </w:r>
          </w:p>
        </w:tc>
        <w:tc>
          <w:tcPr>
            <w:tcW w:w="100" w:type="dxa"/>
            <w:vAlign w:val="bottom"/>
            <w:tcBorders>
              <w:bottom w:val="single" w:sz="8" w:color="CCEEFF"/>
            </w:tcBorders>
          </w:tcPr>
          <w:p>
            <w:pPr>
              <w:spacing w:after="0"/>
              <w:rPr>
                <w:sz w:val="18"/>
                <w:szCs w:val="18"/>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Programs</w:t>
            </w:r>
          </w:p>
        </w:tc>
        <w:tc>
          <w:tcPr>
            <w:tcW w:w="0" w:type="dxa"/>
            <w:vAlign w:val="bottom"/>
          </w:tcPr>
          <w:p>
            <w:pPr>
              <w:spacing w:after="0"/>
              <w:rPr>
                <w:sz w:val="1"/>
                <w:szCs w:val="1"/>
                <w:color w:val="auto"/>
              </w:rPr>
            </w:pPr>
          </w:p>
        </w:tc>
      </w:tr>
      <w:tr>
        <w:trPr>
          <w:trHeight w:val="224"/>
        </w:trPr>
        <w:tc>
          <w:tcPr>
            <w:tcW w:w="540" w:type="dxa"/>
            <w:vAlign w:val="bottom"/>
          </w:tcPr>
          <w:p>
            <w:pPr>
              <w:spacing w:after="0"/>
              <w:rPr>
                <w:sz w:val="19"/>
                <w:szCs w:val="19"/>
                <w:color w:val="auto"/>
              </w:rPr>
            </w:pPr>
          </w:p>
        </w:tc>
        <w:tc>
          <w:tcPr>
            <w:tcW w:w="2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07/04/2022-07/31/2022</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1,129,348</w:t>
            </w:r>
          </w:p>
        </w:tc>
        <w:tc>
          <w:tcPr>
            <w:tcW w:w="0" w:type="dxa"/>
            <w:vAlign w:val="bottom"/>
          </w:tcPr>
          <w:p>
            <w:pPr>
              <w:spacing w:after="0"/>
              <w:rPr>
                <w:sz w:val="1"/>
                <w:szCs w:val="1"/>
                <w:color w:val="auto"/>
              </w:rPr>
            </w:pPr>
          </w:p>
        </w:tc>
      </w:tr>
      <w:tr>
        <w:trPr>
          <w:trHeight w:val="230"/>
        </w:trPr>
        <w:tc>
          <w:tcPr>
            <w:tcW w:w="3000" w:type="dxa"/>
            <w:vAlign w:val="bottom"/>
            <w:gridSpan w:val="3"/>
          </w:tcPr>
          <w:p>
            <w:pPr>
              <w:ind w:left="560"/>
              <w:spacing w:after="0"/>
              <w:rPr>
                <w:sz w:val="20"/>
                <w:szCs w:val="20"/>
                <w:color w:val="auto"/>
              </w:rPr>
            </w:pPr>
            <w:r>
              <w:rPr>
                <w:rFonts w:ascii="Arial" w:cs="Arial" w:eastAsia="Arial" w:hAnsi="Arial"/>
                <w:sz w:val="18"/>
                <w:szCs w:val="18"/>
                <w:color w:val="auto"/>
              </w:rPr>
              <w:t>08/01/2022-08/28/2022</w:t>
            </w:r>
          </w:p>
        </w:tc>
        <w:tc>
          <w:tcPr>
            <w:tcW w:w="100" w:type="dxa"/>
            <w:vAlign w:val="bottom"/>
          </w:tcPr>
          <w:p>
            <w:pPr>
              <w:spacing w:after="0"/>
              <w:rPr>
                <w:sz w:val="19"/>
                <w:szCs w:val="19"/>
                <w:color w:val="auto"/>
              </w:rPr>
            </w:pPr>
          </w:p>
        </w:tc>
        <w:tc>
          <w:tcPr>
            <w:tcW w:w="1500" w:type="dxa"/>
            <w:vAlign w:val="bottom"/>
          </w:tcPr>
          <w:p>
            <w:pPr>
              <w:ind w:left="1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1,129,348</w:t>
            </w:r>
          </w:p>
        </w:tc>
        <w:tc>
          <w:tcPr>
            <w:tcW w:w="0" w:type="dxa"/>
            <w:vAlign w:val="bottom"/>
          </w:tcPr>
          <w:p>
            <w:pPr>
              <w:spacing w:after="0"/>
              <w:rPr>
                <w:sz w:val="1"/>
                <w:szCs w:val="1"/>
                <w:color w:val="auto"/>
              </w:rPr>
            </w:pPr>
          </w:p>
        </w:tc>
      </w:tr>
      <w:tr>
        <w:trPr>
          <w:trHeight w:val="229"/>
        </w:trPr>
        <w:tc>
          <w:tcPr>
            <w:tcW w:w="540" w:type="dxa"/>
            <w:vAlign w:val="bottom"/>
          </w:tcPr>
          <w:p>
            <w:pPr>
              <w:spacing w:after="0"/>
              <w:rPr>
                <w:sz w:val="19"/>
                <w:szCs w:val="19"/>
                <w:color w:val="auto"/>
              </w:rPr>
            </w:pPr>
          </w:p>
        </w:tc>
        <w:tc>
          <w:tcPr>
            <w:tcW w:w="2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08/29/2022-10/02/2022</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1,129,348</w:t>
            </w:r>
          </w:p>
        </w:tc>
        <w:tc>
          <w:tcPr>
            <w:tcW w:w="0" w:type="dxa"/>
            <w:vAlign w:val="bottom"/>
          </w:tcPr>
          <w:p>
            <w:pPr>
              <w:spacing w:after="0"/>
              <w:rPr>
                <w:sz w:val="1"/>
                <w:szCs w:val="1"/>
                <w:color w:val="auto"/>
              </w:rPr>
            </w:pPr>
          </w:p>
        </w:tc>
      </w:tr>
      <w:tr>
        <w:trPr>
          <w:trHeight w:val="223"/>
        </w:trPr>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8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1500" w:type="dxa"/>
            <w:vAlign w:val="bottom"/>
          </w:tcPr>
          <w:p>
            <w:pPr>
              <w:ind w:left="1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96"/>
        </w:trPr>
        <w:tc>
          <w:tcPr>
            <w:tcW w:w="8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3780" w:type="dxa"/>
            <w:vAlign w:val="bottom"/>
            <w:gridSpan w:val="3"/>
          </w:tcPr>
          <w:p>
            <w:pPr>
              <w:ind w:left="220"/>
              <w:spacing w:after="0"/>
              <w:rPr>
                <w:sz w:val="20"/>
                <w:szCs w:val="20"/>
                <w:color w:val="auto"/>
              </w:rPr>
            </w:pPr>
            <w:r>
              <w:rPr>
                <w:rFonts w:ascii="Arial" w:cs="Arial" w:eastAsia="Arial" w:hAnsi="Arial"/>
                <w:sz w:val="18"/>
                <w:szCs w:val="18"/>
                <w:color w:val="auto"/>
              </w:rPr>
              <w:t>DEFAULTS UPON SENIOR SECURITIES</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20" w:type="dxa"/>
            <w:vAlign w:val="bottom"/>
            <w:gridSpan w:val="2"/>
          </w:tcPr>
          <w:p>
            <w:pPr>
              <w:spacing w:after="0"/>
              <w:rPr>
                <w:sz w:val="20"/>
                <w:szCs w:val="20"/>
                <w:color w:val="auto"/>
              </w:rPr>
            </w:pPr>
            <w:r>
              <w:rPr>
                <w:rFonts w:ascii="Arial" w:cs="Arial" w:eastAsia="Arial" w:hAnsi="Arial"/>
                <w:sz w:val="18"/>
                <w:szCs w:val="18"/>
                <w:color w:val="auto"/>
              </w:rPr>
              <w:t>None.</w:t>
            </w:r>
          </w:p>
        </w:tc>
        <w:tc>
          <w:tcPr>
            <w:tcW w:w="2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3780" w:type="dxa"/>
            <w:vAlign w:val="bottom"/>
            <w:gridSpan w:val="3"/>
          </w:tcPr>
          <w:p>
            <w:pPr>
              <w:ind w:left="220"/>
              <w:spacing w:after="0"/>
              <w:rPr>
                <w:sz w:val="20"/>
                <w:szCs w:val="20"/>
                <w:color w:val="auto"/>
              </w:rPr>
            </w:pPr>
            <w:r>
              <w:rPr>
                <w:rFonts w:ascii="Arial" w:cs="Arial" w:eastAsia="Arial" w:hAnsi="Arial"/>
                <w:sz w:val="18"/>
                <w:szCs w:val="18"/>
                <w:color w:val="auto"/>
              </w:rPr>
              <w:t>MINE SAFETY DISCLOSURES</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7"/>
          <w:szCs w:val="17"/>
          <w:color w:val="auto"/>
        </w:rPr>
        <w:t>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17"/>
        </w:trPr>
        <w:tc>
          <w:tcPr>
            <w:tcW w:w="840" w:type="dxa"/>
            <w:vAlign w:val="bottom"/>
          </w:tcPr>
          <w:p>
            <w:pPr>
              <w:jc w:val="right"/>
              <w:ind w:right="112"/>
              <w:spacing w:after="0"/>
              <w:rPr>
                <w:sz w:val="20"/>
                <w:szCs w:val="20"/>
                <w:color w:val="auto"/>
              </w:rPr>
            </w:pPr>
            <w:r>
              <w:rPr>
                <w:rFonts w:ascii="Arial" w:cs="Arial" w:eastAsia="Arial" w:hAnsi="Arial"/>
                <w:sz w:val="18"/>
                <w:szCs w:val="18"/>
                <w:color w:val="auto"/>
                <w:w w:val="98"/>
              </w:rPr>
              <w:t>ITEM 6.</w:t>
            </w:r>
          </w:p>
        </w:tc>
        <w:tc>
          <w:tcPr>
            <w:tcW w:w="7920" w:type="dxa"/>
            <w:vAlign w:val="bottom"/>
            <w:gridSpan w:val="7"/>
          </w:tcPr>
          <w:p>
            <w:pPr>
              <w:ind w:left="200"/>
              <w:spacing w:after="0"/>
              <w:rPr>
                <w:sz w:val="20"/>
                <w:szCs w:val="20"/>
                <w:color w:val="auto"/>
              </w:rPr>
            </w:pPr>
            <w:r>
              <w:rPr>
                <w:rFonts w:ascii="Arial" w:cs="Arial" w:eastAsia="Arial" w:hAnsi="Arial"/>
                <w:sz w:val="18"/>
                <w:szCs w:val="18"/>
                <w:color w:val="auto"/>
              </w:rPr>
              <w:t>EXHIBITS</w:t>
            </w:r>
          </w:p>
        </w:tc>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189"/>
        </w:trPr>
        <w:tc>
          <w:tcPr>
            <w:tcW w:w="840" w:type="dxa"/>
            <w:vAlign w:val="bottom"/>
          </w:tcPr>
          <w:p>
            <w:pPr>
              <w:jc w:val="right"/>
              <w:ind w:right="52"/>
              <w:spacing w:after="0"/>
              <w:rPr>
                <w:sz w:val="20"/>
                <w:szCs w:val="20"/>
                <w:color w:val="auto"/>
              </w:rPr>
            </w:pPr>
            <w:r>
              <w:rPr>
                <w:rFonts w:ascii="Arial" w:cs="Arial" w:eastAsia="Arial" w:hAnsi="Arial"/>
                <w:sz w:val="14"/>
                <w:szCs w:val="14"/>
                <w:color w:val="auto"/>
              </w:rPr>
              <w:t>Exhibit</w:t>
            </w:r>
          </w:p>
        </w:tc>
        <w:tc>
          <w:tcPr>
            <w:tcW w:w="2700" w:type="dxa"/>
            <w:vAlign w:val="bottom"/>
          </w:tcPr>
          <w:p>
            <w:pPr>
              <w:spacing w:after="0"/>
              <w:rPr>
                <w:sz w:val="16"/>
                <w:szCs w:val="16"/>
                <w:color w:val="auto"/>
              </w:rPr>
            </w:pPr>
          </w:p>
        </w:tc>
        <w:tc>
          <w:tcPr>
            <w:tcW w:w="5220" w:type="dxa"/>
            <w:vAlign w:val="bottom"/>
            <w:gridSpan w:val="6"/>
          </w:tcPr>
          <w:p>
            <w:pPr>
              <w:ind w:left="840"/>
              <w:spacing w:after="0"/>
              <w:rPr>
                <w:sz w:val="20"/>
                <w:szCs w:val="20"/>
                <w:color w:val="auto"/>
              </w:rPr>
            </w:pPr>
            <w:r>
              <w:rPr>
                <w:rFonts w:ascii="Arial" w:cs="Arial" w:eastAsia="Arial" w:hAnsi="Arial"/>
                <w:sz w:val="14"/>
                <w:szCs w:val="14"/>
                <w:color w:val="auto"/>
              </w:rPr>
              <w:t>Description</w:t>
            </w:r>
          </w:p>
        </w:tc>
        <w:tc>
          <w:tcPr>
            <w:tcW w:w="740" w:type="dxa"/>
            <w:vAlign w:val="bottom"/>
          </w:tcPr>
          <w:p>
            <w:pPr>
              <w:spacing w:after="0"/>
              <w:rPr>
                <w:sz w:val="16"/>
                <w:szCs w:val="16"/>
                <w:color w:val="auto"/>
              </w:rPr>
            </w:pPr>
          </w:p>
        </w:tc>
        <w:tc>
          <w:tcPr>
            <w:tcW w:w="1580" w:type="dxa"/>
            <w:vAlign w:val="bottom"/>
            <w:gridSpan w:val="2"/>
          </w:tcPr>
          <w:p>
            <w:pPr>
              <w:jc w:val="center"/>
              <w:ind w:right="560"/>
              <w:spacing w:after="0"/>
              <w:rPr>
                <w:sz w:val="20"/>
                <w:szCs w:val="20"/>
                <w:color w:val="auto"/>
              </w:rPr>
            </w:pPr>
            <w:r>
              <w:rPr>
                <w:rFonts w:ascii="Arial" w:cs="Arial" w:eastAsia="Arial" w:hAnsi="Arial"/>
                <w:sz w:val="14"/>
                <w:szCs w:val="14"/>
                <w:color w:val="auto"/>
              </w:rPr>
              <w:t>Method of Filing</w:t>
            </w:r>
          </w:p>
        </w:tc>
      </w:tr>
      <w:tr>
        <w:trPr>
          <w:trHeight w:val="20"/>
        </w:trPr>
        <w:tc>
          <w:tcPr>
            <w:tcW w:w="8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09"/>
        </w:trPr>
        <w:tc>
          <w:tcPr>
            <w:tcW w:w="840" w:type="dxa"/>
            <w:vAlign w:val="bottom"/>
          </w:tcPr>
          <w:p>
            <w:pPr>
              <w:jc w:val="right"/>
              <w:ind w:right="112"/>
              <w:spacing w:after="0"/>
              <w:rPr>
                <w:sz w:val="20"/>
                <w:szCs w:val="20"/>
                <w:color w:val="auto"/>
              </w:rPr>
            </w:pPr>
            <w:r>
              <w:rPr>
                <w:rFonts w:ascii="Arial" w:cs="Arial" w:eastAsia="Arial" w:hAnsi="Arial"/>
                <w:sz w:val="18"/>
                <w:szCs w:val="18"/>
                <w:color w:val="auto"/>
              </w:rPr>
              <w:t>3.1</w:t>
            </w:r>
          </w:p>
        </w:tc>
        <w:tc>
          <w:tcPr>
            <w:tcW w:w="3540" w:type="dxa"/>
            <w:vAlign w:val="bottom"/>
            <w:gridSpan w:val="2"/>
          </w:tcPr>
          <w:p>
            <w:pPr>
              <w:spacing w:after="0"/>
              <w:rPr>
                <w:rFonts w:ascii="Arial" w:cs="Arial" w:eastAsia="Arial" w:hAnsi="Arial"/>
                <w:sz w:val="18"/>
                <w:szCs w:val="18"/>
                <w:color w:val="0000FF"/>
              </w:rPr>
            </w:pPr>
            <w:hyperlink r:id="rId31">
              <w:r>
                <w:rPr>
                  <w:rFonts w:ascii="Arial" w:cs="Arial" w:eastAsia="Arial" w:hAnsi="Arial"/>
                  <w:sz w:val="18"/>
                  <w:szCs w:val="18"/>
                  <w:color w:val="0000FF"/>
                </w:rPr>
                <w:t xml:space="preserve">Restated Articles of Incorporation. </w:t>
              </w:r>
            </w:hyperlink>
            <w:r>
              <w:rPr>
                <w:rFonts w:ascii="Arial" w:cs="Arial" w:eastAsia="Arial" w:hAnsi="Arial"/>
                <w:sz w:val="18"/>
                <w:szCs w:val="18"/>
                <w:color w:val="000000"/>
              </w:rPr>
              <w:t>(1)</w:t>
            </w:r>
          </w:p>
        </w:tc>
        <w:tc>
          <w:tcPr>
            <w:tcW w:w="720" w:type="dxa"/>
            <w:vAlign w:val="bottom"/>
            <w:gridSpan w:val="2"/>
          </w:tcPr>
          <w:p>
            <w:pPr>
              <w:spacing w:after="0"/>
              <w:rPr>
                <w:sz w:val="18"/>
                <w:szCs w:val="18"/>
                <w:color w:val="auto"/>
              </w:rPr>
            </w:pPr>
          </w:p>
        </w:tc>
        <w:tc>
          <w:tcPr>
            <w:tcW w:w="3660" w:type="dxa"/>
            <w:vAlign w:val="bottom"/>
            <w:gridSpan w:val="3"/>
          </w:tcPr>
          <w:p>
            <w:pPr>
              <w:spacing w:after="0"/>
              <w:rPr>
                <w:sz w:val="18"/>
                <w:szCs w:val="18"/>
                <w:color w:val="auto"/>
              </w:rPr>
            </w:pPr>
          </w:p>
        </w:tc>
        <w:tc>
          <w:tcPr>
            <w:tcW w:w="2320" w:type="dxa"/>
            <w:vAlign w:val="bottom"/>
            <w:gridSpan w:val="3"/>
          </w:tcPr>
          <w:p>
            <w:pPr>
              <w:jc w:val="center"/>
              <w:ind w:left="90"/>
              <w:spacing w:after="0"/>
              <w:rPr>
                <w:sz w:val="20"/>
                <w:szCs w:val="20"/>
                <w:color w:val="auto"/>
              </w:rPr>
            </w:pPr>
            <w:r>
              <w:rPr>
                <w:rFonts w:ascii="Arial" w:cs="Arial" w:eastAsia="Arial" w:hAnsi="Arial"/>
                <w:sz w:val="18"/>
                <w:szCs w:val="18"/>
                <w:color w:val="auto"/>
              </w:rPr>
              <w:t>Incorporated by Reference</w:t>
            </w:r>
          </w:p>
        </w:tc>
      </w:tr>
      <w:tr>
        <w:trPr>
          <w:trHeight w:val="20"/>
        </w:trPr>
        <w:tc>
          <w:tcPr>
            <w:tcW w:w="840" w:type="dxa"/>
            <w:vAlign w:val="bottom"/>
          </w:tcPr>
          <w:p>
            <w:pPr>
              <w:spacing w:after="0" w:line="20" w:lineRule="exact"/>
              <w:rPr>
                <w:sz w:val="1"/>
                <w:szCs w:val="1"/>
                <w:color w:val="auto"/>
              </w:rPr>
            </w:pPr>
          </w:p>
        </w:tc>
        <w:tc>
          <w:tcPr>
            <w:tcW w:w="2700" w:type="dxa"/>
            <w:vAlign w:val="bottom"/>
            <w:shd w:val="clear" w:color="auto" w:fill="0000FF"/>
          </w:tcPr>
          <w:p>
            <w:pPr>
              <w:spacing w:after="0" w:line="20" w:lineRule="exact"/>
              <w:rPr>
                <w:sz w:val="1"/>
                <w:szCs w:val="1"/>
                <w:color w:val="auto"/>
              </w:rPr>
            </w:pPr>
          </w:p>
        </w:tc>
        <w:tc>
          <w:tcPr>
            <w:tcW w:w="1460" w:type="dxa"/>
            <w:vAlign w:val="bottom"/>
            <w:tcBorders>
              <w:left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r>
      <w:tr>
        <w:trPr>
          <w:trHeight w:val="209"/>
        </w:trPr>
        <w:tc>
          <w:tcPr>
            <w:tcW w:w="840" w:type="dxa"/>
            <w:vAlign w:val="bottom"/>
          </w:tcPr>
          <w:p>
            <w:pPr>
              <w:jc w:val="right"/>
              <w:ind w:right="112"/>
              <w:spacing w:after="0"/>
              <w:rPr>
                <w:sz w:val="20"/>
                <w:szCs w:val="20"/>
                <w:color w:val="auto"/>
              </w:rPr>
            </w:pPr>
            <w:r>
              <w:rPr>
                <w:rFonts w:ascii="Arial" w:cs="Arial" w:eastAsia="Arial" w:hAnsi="Arial"/>
                <w:sz w:val="18"/>
                <w:szCs w:val="18"/>
                <w:color w:val="auto"/>
              </w:rPr>
              <w:t>3.2</w:t>
            </w:r>
          </w:p>
        </w:tc>
        <w:tc>
          <w:tcPr>
            <w:tcW w:w="7920" w:type="dxa"/>
            <w:vAlign w:val="bottom"/>
            <w:gridSpan w:val="7"/>
          </w:tcPr>
          <w:p>
            <w:pPr>
              <w:spacing w:after="0"/>
              <w:rPr>
                <w:rFonts w:ascii="Arial" w:cs="Arial" w:eastAsia="Arial" w:hAnsi="Arial"/>
                <w:sz w:val="18"/>
                <w:szCs w:val="18"/>
                <w:color w:val="0000FF"/>
              </w:rPr>
            </w:pPr>
            <w:hyperlink r:id="rId32">
              <w:r>
                <w:rPr>
                  <w:rFonts w:ascii="Arial" w:cs="Arial" w:eastAsia="Arial" w:hAnsi="Arial"/>
                  <w:sz w:val="18"/>
                  <w:szCs w:val="18"/>
                  <w:color w:val="0000FF"/>
                </w:rPr>
                <w:t xml:space="preserve">Amended and Restated By-Laws. </w:t>
              </w:r>
            </w:hyperlink>
            <w:r>
              <w:rPr>
                <w:rFonts w:ascii="Arial" w:cs="Arial" w:eastAsia="Arial" w:hAnsi="Arial"/>
                <w:sz w:val="18"/>
                <w:szCs w:val="18"/>
                <w:color w:val="000000"/>
              </w:rPr>
              <w:t>(2)</w:t>
            </w:r>
          </w:p>
        </w:tc>
        <w:tc>
          <w:tcPr>
            <w:tcW w:w="2320" w:type="dxa"/>
            <w:vAlign w:val="bottom"/>
            <w:gridSpan w:val="3"/>
          </w:tcPr>
          <w:p>
            <w:pPr>
              <w:jc w:val="center"/>
              <w:ind w:left="90"/>
              <w:spacing w:after="0"/>
              <w:rPr>
                <w:sz w:val="20"/>
                <w:szCs w:val="20"/>
                <w:color w:val="auto"/>
              </w:rPr>
            </w:pPr>
            <w:r>
              <w:rPr>
                <w:rFonts w:ascii="Arial" w:cs="Arial" w:eastAsia="Arial" w:hAnsi="Arial"/>
                <w:sz w:val="18"/>
                <w:szCs w:val="18"/>
                <w:color w:val="auto"/>
              </w:rPr>
              <w:t>Incorporated by Reference</w:t>
            </w:r>
          </w:p>
        </w:tc>
      </w:tr>
      <w:tr>
        <w:trPr>
          <w:trHeight w:val="20"/>
        </w:trPr>
        <w:tc>
          <w:tcPr>
            <w:tcW w:w="840" w:type="dxa"/>
            <w:vAlign w:val="bottom"/>
          </w:tcPr>
          <w:p>
            <w:pPr>
              <w:spacing w:after="0" w:line="20" w:lineRule="exact"/>
              <w:rPr>
                <w:sz w:val="1"/>
                <w:szCs w:val="1"/>
                <w:color w:val="auto"/>
              </w:rPr>
            </w:pPr>
          </w:p>
        </w:tc>
        <w:tc>
          <w:tcPr>
            <w:tcW w:w="2700" w:type="dxa"/>
            <w:vAlign w:val="bottom"/>
            <w:shd w:val="clear" w:color="auto" w:fill="0000FF"/>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r>
      <w:tr>
        <w:trPr>
          <w:trHeight w:val="209"/>
        </w:trPr>
        <w:tc>
          <w:tcPr>
            <w:tcW w:w="840" w:type="dxa"/>
            <w:vAlign w:val="bottom"/>
          </w:tcPr>
          <w:p>
            <w:pPr>
              <w:jc w:val="right"/>
              <w:ind w:right="112"/>
              <w:spacing w:after="0"/>
              <w:rPr>
                <w:sz w:val="20"/>
                <w:szCs w:val="20"/>
                <w:color w:val="auto"/>
              </w:rPr>
            </w:pPr>
            <w:r>
              <w:rPr>
                <w:rFonts w:ascii="Arial" w:cs="Arial" w:eastAsia="Arial" w:hAnsi="Arial"/>
                <w:sz w:val="18"/>
                <w:szCs w:val="18"/>
                <w:color w:val="auto"/>
              </w:rPr>
              <w:t>31.1</w:t>
            </w:r>
          </w:p>
        </w:tc>
        <w:tc>
          <w:tcPr>
            <w:tcW w:w="7920" w:type="dxa"/>
            <w:vAlign w:val="bottom"/>
            <w:gridSpan w:val="7"/>
          </w:tcPr>
          <w:p>
            <w:pPr>
              <w:spacing w:after="0"/>
              <w:rPr>
                <w:sz w:val="20"/>
                <w:szCs w:val="20"/>
                <w:color w:val="auto"/>
              </w:rPr>
            </w:pPr>
            <w:r>
              <w:rPr>
                <w:rFonts w:ascii="Arial" w:cs="Arial" w:eastAsia="Arial" w:hAnsi="Arial"/>
                <w:sz w:val="18"/>
                <w:szCs w:val="18"/>
                <w:color w:val="0000FF"/>
              </w:rPr>
              <w:t>Certification by Chief Executive Officer pursuant to Rule 13a-14(a) of the Exchange Act.</w:t>
            </w:r>
          </w:p>
        </w:tc>
        <w:tc>
          <w:tcPr>
            <w:tcW w:w="2320" w:type="dxa"/>
            <w:vAlign w:val="bottom"/>
            <w:gridSpan w:val="3"/>
          </w:tcPr>
          <w:p>
            <w:pPr>
              <w:jc w:val="center"/>
              <w:ind w:left="90"/>
              <w:spacing w:after="0"/>
              <w:rPr>
                <w:sz w:val="20"/>
                <w:szCs w:val="20"/>
                <w:color w:val="auto"/>
              </w:rPr>
            </w:pPr>
            <w:r>
              <w:rPr>
                <w:rFonts w:ascii="Arial" w:cs="Arial" w:eastAsia="Arial" w:hAnsi="Arial"/>
                <w:sz w:val="18"/>
                <w:szCs w:val="18"/>
                <w:color w:val="auto"/>
                <w:w w:val="99"/>
              </w:rPr>
              <w:t>Filed Electronically</w:t>
            </w:r>
          </w:p>
        </w:tc>
      </w:tr>
      <w:tr>
        <w:trPr>
          <w:trHeight w:val="210"/>
        </w:trPr>
        <w:tc>
          <w:tcPr>
            <w:tcW w:w="840" w:type="dxa"/>
            <w:vAlign w:val="bottom"/>
          </w:tcPr>
          <w:p>
            <w:pPr>
              <w:jc w:val="right"/>
              <w:ind w:right="112"/>
              <w:spacing w:after="0"/>
              <w:rPr>
                <w:sz w:val="20"/>
                <w:szCs w:val="20"/>
                <w:color w:val="auto"/>
              </w:rPr>
            </w:pPr>
            <w:r>
              <w:rPr>
                <w:rFonts w:ascii="Arial" w:cs="Arial" w:eastAsia="Arial" w:hAnsi="Arial"/>
                <w:sz w:val="18"/>
                <w:szCs w:val="18"/>
                <w:color w:val="auto"/>
              </w:rPr>
              <w:t>31.2</w:t>
            </w:r>
          </w:p>
        </w:tc>
        <w:tc>
          <w:tcPr>
            <w:tcW w:w="6980" w:type="dxa"/>
            <w:vAlign w:val="bottom"/>
            <w:tcBorders>
              <w:top w:val="single" w:sz="8" w:color="0000FF"/>
            </w:tcBorders>
            <w:gridSpan w:val="6"/>
          </w:tcPr>
          <w:p>
            <w:pPr>
              <w:spacing w:after="0"/>
              <w:rPr>
                <w:sz w:val="20"/>
                <w:szCs w:val="20"/>
                <w:color w:val="auto"/>
              </w:rPr>
            </w:pPr>
            <w:r>
              <w:rPr>
                <w:rFonts w:ascii="Arial" w:cs="Arial" w:eastAsia="Arial" w:hAnsi="Arial"/>
                <w:sz w:val="18"/>
                <w:szCs w:val="18"/>
                <w:color w:val="0000FF"/>
              </w:rPr>
              <w:t>Certification by Chief Financial Officer pursuant to Rule 13a-14(a) of the Exchange Act.</w:t>
            </w:r>
          </w:p>
        </w:tc>
        <w:tc>
          <w:tcPr>
            <w:tcW w:w="940" w:type="dxa"/>
            <w:vAlign w:val="bottom"/>
          </w:tcPr>
          <w:p>
            <w:pPr>
              <w:spacing w:after="0"/>
              <w:rPr>
                <w:sz w:val="18"/>
                <w:szCs w:val="18"/>
                <w:color w:val="auto"/>
              </w:rPr>
            </w:pPr>
          </w:p>
        </w:tc>
        <w:tc>
          <w:tcPr>
            <w:tcW w:w="2320" w:type="dxa"/>
            <w:vAlign w:val="bottom"/>
            <w:gridSpan w:val="3"/>
          </w:tcPr>
          <w:p>
            <w:pPr>
              <w:jc w:val="center"/>
              <w:ind w:left="90"/>
              <w:spacing w:after="0"/>
              <w:rPr>
                <w:sz w:val="20"/>
                <w:szCs w:val="20"/>
                <w:color w:val="auto"/>
              </w:rPr>
            </w:pPr>
            <w:r>
              <w:rPr>
                <w:rFonts w:ascii="Arial" w:cs="Arial" w:eastAsia="Arial" w:hAnsi="Arial"/>
                <w:sz w:val="18"/>
                <w:szCs w:val="18"/>
                <w:color w:val="auto"/>
                <w:w w:val="99"/>
              </w:rPr>
              <w:t>Filed Electronically</w:t>
            </w:r>
          </w:p>
        </w:tc>
      </w:tr>
      <w:tr>
        <w:trPr>
          <w:trHeight w:val="209"/>
        </w:trPr>
        <w:tc>
          <w:tcPr>
            <w:tcW w:w="840" w:type="dxa"/>
            <w:vAlign w:val="bottom"/>
          </w:tcPr>
          <w:p>
            <w:pPr>
              <w:jc w:val="right"/>
              <w:ind w:right="112"/>
              <w:spacing w:after="0"/>
              <w:rPr>
                <w:sz w:val="20"/>
                <w:szCs w:val="20"/>
                <w:color w:val="auto"/>
              </w:rPr>
            </w:pPr>
            <w:r>
              <w:rPr>
                <w:rFonts w:ascii="Arial" w:cs="Arial" w:eastAsia="Arial" w:hAnsi="Arial"/>
                <w:sz w:val="18"/>
                <w:szCs w:val="18"/>
                <w:color w:val="auto"/>
              </w:rPr>
              <w:t>32.1</w:t>
            </w:r>
          </w:p>
        </w:tc>
        <w:tc>
          <w:tcPr>
            <w:tcW w:w="426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8"/>
                <w:szCs w:val="18"/>
                <w:color w:val="0000FF"/>
                <w:w w:val="99"/>
              </w:rPr>
              <w:t>Section 1350 Certification by Chief Executive Officer.</w:t>
            </w:r>
          </w:p>
        </w:tc>
        <w:tc>
          <w:tcPr>
            <w:tcW w:w="2660" w:type="dxa"/>
            <w:vAlign w:val="bottom"/>
            <w:tcBorders>
              <w:top w:val="single" w:sz="8" w:color="0000FF"/>
            </w:tcBorders>
          </w:tcPr>
          <w:p>
            <w:pPr>
              <w:spacing w:after="0"/>
              <w:rPr>
                <w:sz w:val="18"/>
                <w:szCs w:val="18"/>
                <w:color w:val="auto"/>
              </w:rPr>
            </w:pPr>
          </w:p>
        </w:tc>
        <w:tc>
          <w:tcPr>
            <w:tcW w:w="1000" w:type="dxa"/>
            <w:vAlign w:val="bottom"/>
            <w:gridSpan w:val="2"/>
          </w:tcPr>
          <w:p>
            <w:pPr>
              <w:spacing w:after="0"/>
              <w:rPr>
                <w:sz w:val="18"/>
                <w:szCs w:val="18"/>
                <w:color w:val="auto"/>
              </w:rPr>
            </w:pPr>
          </w:p>
        </w:tc>
        <w:tc>
          <w:tcPr>
            <w:tcW w:w="2320" w:type="dxa"/>
            <w:vAlign w:val="bottom"/>
            <w:gridSpan w:val="3"/>
          </w:tcPr>
          <w:p>
            <w:pPr>
              <w:jc w:val="center"/>
              <w:ind w:left="90"/>
              <w:spacing w:after="0"/>
              <w:rPr>
                <w:sz w:val="20"/>
                <w:szCs w:val="20"/>
                <w:color w:val="auto"/>
              </w:rPr>
            </w:pPr>
            <w:r>
              <w:rPr>
                <w:rFonts w:ascii="Arial" w:cs="Arial" w:eastAsia="Arial" w:hAnsi="Arial"/>
                <w:sz w:val="18"/>
                <w:szCs w:val="18"/>
                <w:color w:val="auto"/>
                <w:w w:val="99"/>
              </w:rPr>
              <w:t>Filed Electronically</w:t>
            </w:r>
          </w:p>
        </w:tc>
      </w:tr>
      <w:tr>
        <w:trPr>
          <w:trHeight w:val="209"/>
        </w:trPr>
        <w:tc>
          <w:tcPr>
            <w:tcW w:w="840" w:type="dxa"/>
            <w:vAlign w:val="bottom"/>
          </w:tcPr>
          <w:p>
            <w:pPr>
              <w:jc w:val="right"/>
              <w:ind w:right="112"/>
              <w:spacing w:after="0"/>
              <w:rPr>
                <w:sz w:val="20"/>
                <w:szCs w:val="20"/>
                <w:color w:val="auto"/>
              </w:rPr>
            </w:pPr>
            <w:r>
              <w:rPr>
                <w:rFonts w:ascii="Arial" w:cs="Arial" w:eastAsia="Arial" w:hAnsi="Arial"/>
                <w:sz w:val="18"/>
                <w:szCs w:val="18"/>
                <w:color w:val="auto"/>
              </w:rPr>
              <w:t>32.2</w:t>
            </w:r>
          </w:p>
        </w:tc>
        <w:tc>
          <w:tcPr>
            <w:tcW w:w="416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9"/>
              </w:rPr>
              <w:t>Section 1350 Certification by Chief Financial Officer.</w:t>
            </w:r>
          </w:p>
        </w:tc>
        <w:tc>
          <w:tcPr>
            <w:tcW w:w="3760" w:type="dxa"/>
            <w:vAlign w:val="bottom"/>
            <w:gridSpan w:val="4"/>
          </w:tcPr>
          <w:p>
            <w:pPr>
              <w:spacing w:after="0"/>
              <w:rPr>
                <w:sz w:val="18"/>
                <w:szCs w:val="18"/>
                <w:color w:val="auto"/>
              </w:rPr>
            </w:pPr>
          </w:p>
        </w:tc>
        <w:tc>
          <w:tcPr>
            <w:tcW w:w="2320" w:type="dxa"/>
            <w:vAlign w:val="bottom"/>
            <w:gridSpan w:val="3"/>
          </w:tcPr>
          <w:p>
            <w:pPr>
              <w:jc w:val="center"/>
              <w:ind w:left="90"/>
              <w:spacing w:after="0"/>
              <w:rPr>
                <w:sz w:val="20"/>
                <w:szCs w:val="20"/>
                <w:color w:val="auto"/>
              </w:rPr>
            </w:pPr>
            <w:r>
              <w:rPr>
                <w:rFonts w:ascii="Arial" w:cs="Arial" w:eastAsia="Arial" w:hAnsi="Arial"/>
                <w:sz w:val="18"/>
                <w:szCs w:val="18"/>
                <w:color w:val="auto"/>
                <w:w w:val="99"/>
              </w:rPr>
              <w:t>Filed Electronically</w:t>
            </w:r>
          </w:p>
        </w:tc>
      </w:tr>
      <w:tr>
        <w:trPr>
          <w:trHeight w:val="209"/>
        </w:trPr>
        <w:tc>
          <w:tcPr>
            <w:tcW w:w="840" w:type="dxa"/>
            <w:vAlign w:val="bottom"/>
          </w:tcPr>
          <w:p>
            <w:pPr>
              <w:jc w:val="right"/>
              <w:ind w:right="112"/>
              <w:spacing w:after="0"/>
              <w:rPr>
                <w:sz w:val="20"/>
                <w:szCs w:val="20"/>
                <w:color w:val="auto"/>
              </w:rPr>
            </w:pPr>
            <w:r>
              <w:rPr>
                <w:rFonts w:ascii="Arial" w:cs="Arial" w:eastAsia="Arial" w:hAnsi="Arial"/>
                <w:sz w:val="18"/>
                <w:szCs w:val="18"/>
                <w:color w:val="auto"/>
              </w:rPr>
              <w:t>101</w:t>
            </w:r>
          </w:p>
        </w:tc>
        <w:tc>
          <w:tcPr>
            <w:tcW w:w="7920" w:type="dxa"/>
            <w:vAlign w:val="bottom"/>
            <w:gridSpan w:val="7"/>
          </w:tcPr>
          <w:p>
            <w:pPr>
              <w:spacing w:after="0"/>
              <w:rPr>
                <w:sz w:val="20"/>
                <w:szCs w:val="20"/>
                <w:color w:val="auto"/>
              </w:rPr>
            </w:pPr>
            <w:r>
              <w:rPr>
                <w:rFonts w:ascii="Arial" w:cs="Arial" w:eastAsia="Arial" w:hAnsi="Arial"/>
                <w:sz w:val="18"/>
                <w:szCs w:val="18"/>
                <w:color w:val="auto"/>
              </w:rPr>
              <w:t>Financial statements from the Quarterly Report on Form 10-Q of Hawkins, Inc. for the period</w:t>
            </w:r>
          </w:p>
        </w:tc>
        <w:tc>
          <w:tcPr>
            <w:tcW w:w="2320" w:type="dxa"/>
            <w:vAlign w:val="bottom"/>
            <w:gridSpan w:val="3"/>
          </w:tcPr>
          <w:p>
            <w:pPr>
              <w:jc w:val="center"/>
              <w:ind w:left="90"/>
              <w:spacing w:after="0"/>
              <w:rPr>
                <w:sz w:val="20"/>
                <w:szCs w:val="20"/>
                <w:color w:val="auto"/>
              </w:rPr>
            </w:pPr>
            <w:r>
              <w:rPr>
                <w:rFonts w:ascii="Arial" w:cs="Arial" w:eastAsia="Arial" w:hAnsi="Arial"/>
                <w:sz w:val="18"/>
                <w:szCs w:val="18"/>
                <w:color w:val="auto"/>
                <w:w w:val="99"/>
              </w:rPr>
              <w:t>Filed Electronically</w:t>
            </w:r>
          </w:p>
        </w:tc>
      </w:tr>
      <w:tr>
        <w:trPr>
          <w:trHeight w:val="189"/>
        </w:trPr>
        <w:tc>
          <w:tcPr>
            <w:tcW w:w="840" w:type="dxa"/>
            <w:vAlign w:val="bottom"/>
          </w:tcPr>
          <w:p>
            <w:pPr>
              <w:spacing w:after="0"/>
              <w:rPr>
                <w:sz w:val="16"/>
                <w:szCs w:val="16"/>
                <w:color w:val="auto"/>
              </w:rPr>
            </w:pPr>
          </w:p>
        </w:tc>
        <w:tc>
          <w:tcPr>
            <w:tcW w:w="7920" w:type="dxa"/>
            <w:vAlign w:val="bottom"/>
            <w:gridSpan w:val="7"/>
          </w:tcPr>
          <w:p>
            <w:pPr>
              <w:spacing w:after="0" w:line="189" w:lineRule="exact"/>
              <w:rPr>
                <w:sz w:val="20"/>
                <w:szCs w:val="20"/>
                <w:color w:val="auto"/>
              </w:rPr>
            </w:pPr>
            <w:r>
              <w:rPr>
                <w:rFonts w:ascii="Arial" w:cs="Arial" w:eastAsia="Arial" w:hAnsi="Arial"/>
                <w:sz w:val="18"/>
                <w:szCs w:val="18"/>
                <w:color w:val="auto"/>
              </w:rPr>
              <w:t>ended October 2, 2022 filed with the SEC on November 2, 2022 formatted in Inline Extensible</w:t>
            </w:r>
          </w:p>
        </w:tc>
        <w:tc>
          <w:tcPr>
            <w:tcW w:w="7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75"/>
        </w:trPr>
        <w:tc>
          <w:tcPr>
            <w:tcW w:w="840" w:type="dxa"/>
            <w:vAlign w:val="bottom"/>
          </w:tcPr>
          <w:p>
            <w:pPr>
              <w:spacing w:after="0"/>
              <w:rPr>
                <w:sz w:val="15"/>
                <w:szCs w:val="15"/>
                <w:color w:val="auto"/>
              </w:rPr>
            </w:pPr>
          </w:p>
        </w:tc>
        <w:tc>
          <w:tcPr>
            <w:tcW w:w="7920" w:type="dxa"/>
            <w:vAlign w:val="bottom"/>
            <w:gridSpan w:val="7"/>
          </w:tcPr>
          <w:p>
            <w:pPr>
              <w:spacing w:after="0" w:line="176" w:lineRule="exact"/>
              <w:rPr>
                <w:sz w:val="20"/>
                <w:szCs w:val="20"/>
                <w:color w:val="auto"/>
              </w:rPr>
            </w:pPr>
            <w:r>
              <w:rPr>
                <w:rFonts w:ascii="Arial" w:cs="Arial" w:eastAsia="Arial" w:hAnsi="Arial"/>
                <w:sz w:val="18"/>
                <w:szCs w:val="18"/>
                <w:color w:val="auto"/>
              </w:rPr>
              <w:t>Business Reporting Language (iXBRL); (i) the Condensed Consolidated Balance Sheets at</w:t>
            </w: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6"/>
        </w:trPr>
        <w:tc>
          <w:tcPr>
            <w:tcW w:w="840" w:type="dxa"/>
            <w:vAlign w:val="bottom"/>
          </w:tcPr>
          <w:p>
            <w:pPr>
              <w:spacing w:after="0"/>
              <w:rPr>
                <w:sz w:val="15"/>
                <w:szCs w:val="15"/>
                <w:color w:val="auto"/>
              </w:rPr>
            </w:pPr>
          </w:p>
        </w:tc>
        <w:tc>
          <w:tcPr>
            <w:tcW w:w="7920" w:type="dxa"/>
            <w:vAlign w:val="bottom"/>
            <w:gridSpan w:val="7"/>
          </w:tcPr>
          <w:p>
            <w:pPr>
              <w:spacing w:after="0" w:line="176" w:lineRule="exact"/>
              <w:rPr>
                <w:sz w:val="20"/>
                <w:szCs w:val="20"/>
                <w:color w:val="auto"/>
              </w:rPr>
            </w:pPr>
            <w:r>
              <w:rPr>
                <w:rFonts w:ascii="Arial" w:cs="Arial" w:eastAsia="Arial" w:hAnsi="Arial"/>
                <w:sz w:val="18"/>
                <w:szCs w:val="18"/>
                <w:color w:val="auto"/>
              </w:rPr>
              <w:t>October 2, 2022 and April 3, 2022, (ii) the Condensed Consolidated Statements of Income for the</w:t>
            </w: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89"/>
        </w:trPr>
        <w:tc>
          <w:tcPr>
            <w:tcW w:w="840" w:type="dxa"/>
            <w:vAlign w:val="bottom"/>
          </w:tcPr>
          <w:p>
            <w:pPr>
              <w:spacing w:after="0"/>
              <w:rPr>
                <w:sz w:val="16"/>
                <w:szCs w:val="16"/>
                <w:color w:val="auto"/>
              </w:rPr>
            </w:pPr>
          </w:p>
        </w:tc>
        <w:tc>
          <w:tcPr>
            <w:tcW w:w="7920" w:type="dxa"/>
            <w:vAlign w:val="bottom"/>
            <w:gridSpan w:val="7"/>
          </w:tcPr>
          <w:p>
            <w:pPr>
              <w:spacing w:after="0" w:line="189" w:lineRule="exact"/>
              <w:rPr>
                <w:sz w:val="20"/>
                <w:szCs w:val="20"/>
                <w:color w:val="auto"/>
              </w:rPr>
            </w:pPr>
            <w:r>
              <w:rPr>
                <w:rFonts w:ascii="Arial" w:cs="Arial" w:eastAsia="Arial" w:hAnsi="Arial"/>
                <w:sz w:val="18"/>
                <w:szCs w:val="18"/>
                <w:color w:val="auto"/>
              </w:rPr>
              <w:t>three and six months ended October 2, 2022 and September 26, 2021, (iii) the Condensed</w:t>
            </w:r>
          </w:p>
        </w:tc>
        <w:tc>
          <w:tcPr>
            <w:tcW w:w="7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76"/>
        </w:trPr>
        <w:tc>
          <w:tcPr>
            <w:tcW w:w="840" w:type="dxa"/>
            <w:vAlign w:val="bottom"/>
          </w:tcPr>
          <w:p>
            <w:pPr>
              <w:spacing w:after="0"/>
              <w:rPr>
                <w:sz w:val="15"/>
                <w:szCs w:val="15"/>
                <w:color w:val="auto"/>
              </w:rPr>
            </w:pPr>
          </w:p>
        </w:tc>
        <w:tc>
          <w:tcPr>
            <w:tcW w:w="7920" w:type="dxa"/>
            <w:vAlign w:val="bottom"/>
            <w:gridSpan w:val="7"/>
          </w:tcPr>
          <w:p>
            <w:pPr>
              <w:spacing w:after="0" w:line="176" w:lineRule="exact"/>
              <w:rPr>
                <w:sz w:val="20"/>
                <w:szCs w:val="20"/>
                <w:color w:val="auto"/>
              </w:rPr>
            </w:pPr>
            <w:r>
              <w:rPr>
                <w:rFonts w:ascii="Arial" w:cs="Arial" w:eastAsia="Arial" w:hAnsi="Arial"/>
                <w:sz w:val="18"/>
                <w:szCs w:val="18"/>
                <w:color w:val="auto"/>
              </w:rPr>
              <w:t>Consolidated Statements of Comprehensive Income for the three and six months ended October</w:t>
            </w: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6"/>
        </w:trPr>
        <w:tc>
          <w:tcPr>
            <w:tcW w:w="840" w:type="dxa"/>
            <w:vAlign w:val="bottom"/>
          </w:tcPr>
          <w:p>
            <w:pPr>
              <w:spacing w:after="0"/>
              <w:rPr>
                <w:sz w:val="15"/>
                <w:szCs w:val="15"/>
                <w:color w:val="auto"/>
              </w:rPr>
            </w:pPr>
          </w:p>
        </w:tc>
        <w:tc>
          <w:tcPr>
            <w:tcW w:w="7920" w:type="dxa"/>
            <w:vAlign w:val="bottom"/>
            <w:gridSpan w:val="7"/>
          </w:tcPr>
          <w:p>
            <w:pPr>
              <w:spacing w:after="0" w:line="176" w:lineRule="exact"/>
              <w:rPr>
                <w:sz w:val="20"/>
                <w:szCs w:val="20"/>
                <w:color w:val="auto"/>
              </w:rPr>
            </w:pPr>
            <w:r>
              <w:rPr>
                <w:rFonts w:ascii="Arial" w:cs="Arial" w:eastAsia="Arial" w:hAnsi="Arial"/>
                <w:sz w:val="18"/>
                <w:szCs w:val="18"/>
                <w:color w:val="auto"/>
              </w:rPr>
              <w:t>2, 2022 and September 26, 2021, (iv) the Condensed Consolidated Statements of Shareholder's</w:t>
            </w: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89"/>
        </w:trPr>
        <w:tc>
          <w:tcPr>
            <w:tcW w:w="840" w:type="dxa"/>
            <w:vAlign w:val="bottom"/>
          </w:tcPr>
          <w:p>
            <w:pPr>
              <w:spacing w:after="0"/>
              <w:rPr>
                <w:sz w:val="16"/>
                <w:szCs w:val="16"/>
                <w:color w:val="auto"/>
              </w:rPr>
            </w:pPr>
          </w:p>
        </w:tc>
        <w:tc>
          <w:tcPr>
            <w:tcW w:w="7920" w:type="dxa"/>
            <w:vAlign w:val="bottom"/>
            <w:gridSpan w:val="7"/>
          </w:tcPr>
          <w:p>
            <w:pPr>
              <w:spacing w:after="0" w:line="189" w:lineRule="exact"/>
              <w:rPr>
                <w:sz w:val="20"/>
                <w:szCs w:val="20"/>
                <w:color w:val="auto"/>
              </w:rPr>
            </w:pPr>
            <w:r>
              <w:rPr>
                <w:rFonts w:ascii="Arial" w:cs="Arial" w:eastAsia="Arial" w:hAnsi="Arial"/>
                <w:sz w:val="18"/>
                <w:szCs w:val="18"/>
                <w:color w:val="auto"/>
              </w:rPr>
              <w:t>Equity for the three and six months ended October 2, 2022 and September 26, 2021, (v) the</w:t>
            </w:r>
          </w:p>
        </w:tc>
        <w:tc>
          <w:tcPr>
            <w:tcW w:w="7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76"/>
        </w:trPr>
        <w:tc>
          <w:tcPr>
            <w:tcW w:w="840" w:type="dxa"/>
            <w:vAlign w:val="bottom"/>
          </w:tcPr>
          <w:p>
            <w:pPr>
              <w:spacing w:after="0"/>
              <w:rPr>
                <w:sz w:val="15"/>
                <w:szCs w:val="15"/>
                <w:color w:val="auto"/>
              </w:rPr>
            </w:pPr>
          </w:p>
        </w:tc>
        <w:tc>
          <w:tcPr>
            <w:tcW w:w="7920" w:type="dxa"/>
            <w:vAlign w:val="bottom"/>
            <w:gridSpan w:val="7"/>
          </w:tcPr>
          <w:p>
            <w:pPr>
              <w:spacing w:after="0" w:line="176" w:lineRule="exact"/>
              <w:rPr>
                <w:sz w:val="20"/>
                <w:szCs w:val="20"/>
                <w:color w:val="auto"/>
              </w:rPr>
            </w:pPr>
            <w:r>
              <w:rPr>
                <w:rFonts w:ascii="Arial" w:cs="Arial" w:eastAsia="Arial" w:hAnsi="Arial"/>
                <w:sz w:val="18"/>
                <w:szCs w:val="18"/>
                <w:color w:val="auto"/>
              </w:rPr>
              <w:t>Condensed Consolidated Statements of Cash Flows for the six months ended October 2, 2022</w:t>
            </w: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217"/>
        </w:trPr>
        <w:tc>
          <w:tcPr>
            <w:tcW w:w="840" w:type="dxa"/>
            <w:vAlign w:val="bottom"/>
          </w:tcPr>
          <w:p>
            <w:pPr>
              <w:spacing w:after="0"/>
              <w:rPr>
                <w:sz w:val="18"/>
                <w:szCs w:val="18"/>
                <w:color w:val="auto"/>
              </w:rPr>
            </w:pPr>
          </w:p>
        </w:tc>
        <w:tc>
          <w:tcPr>
            <w:tcW w:w="7920" w:type="dxa"/>
            <w:vAlign w:val="bottom"/>
            <w:gridSpan w:val="7"/>
          </w:tcPr>
          <w:p>
            <w:pPr>
              <w:spacing w:after="0"/>
              <w:rPr>
                <w:sz w:val="20"/>
                <w:szCs w:val="20"/>
                <w:color w:val="auto"/>
              </w:rPr>
            </w:pPr>
            <w:r>
              <w:rPr>
                <w:rFonts w:ascii="Arial" w:cs="Arial" w:eastAsia="Arial" w:hAnsi="Arial"/>
                <w:sz w:val="18"/>
                <w:szCs w:val="18"/>
                <w:color w:val="auto"/>
              </w:rPr>
              <w:t>and September 26, 2021, and (vi) Notes to Condensed Consolidated Financial Statements.</w:t>
            </w:r>
          </w:p>
        </w:tc>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30"/>
        </w:trPr>
        <w:tc>
          <w:tcPr>
            <w:tcW w:w="840" w:type="dxa"/>
            <w:vAlign w:val="bottom"/>
          </w:tcPr>
          <w:p>
            <w:pPr>
              <w:jc w:val="right"/>
              <w:ind w:right="112"/>
              <w:spacing w:after="0"/>
              <w:rPr>
                <w:sz w:val="20"/>
                <w:szCs w:val="20"/>
                <w:color w:val="auto"/>
              </w:rPr>
            </w:pPr>
            <w:r>
              <w:rPr>
                <w:rFonts w:ascii="Arial" w:cs="Arial" w:eastAsia="Arial" w:hAnsi="Arial"/>
                <w:sz w:val="18"/>
                <w:szCs w:val="18"/>
                <w:color w:val="auto"/>
              </w:rPr>
              <w:t>104</w:t>
            </w:r>
          </w:p>
        </w:tc>
        <w:tc>
          <w:tcPr>
            <w:tcW w:w="7920" w:type="dxa"/>
            <w:vAlign w:val="bottom"/>
            <w:gridSpan w:val="7"/>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2320" w:type="dxa"/>
            <w:vAlign w:val="bottom"/>
            <w:gridSpan w:val="3"/>
          </w:tcPr>
          <w:p>
            <w:pPr>
              <w:jc w:val="center"/>
              <w:ind w:left="90"/>
              <w:spacing w:after="0"/>
              <w:rPr>
                <w:sz w:val="20"/>
                <w:szCs w:val="20"/>
                <w:color w:val="auto"/>
              </w:rPr>
            </w:pPr>
            <w:r>
              <w:rPr>
                <w:rFonts w:ascii="Arial" w:cs="Arial" w:eastAsia="Arial" w:hAnsi="Arial"/>
                <w:sz w:val="18"/>
                <w:szCs w:val="18"/>
                <w:color w:val="auto"/>
                <w:w w:val="99"/>
              </w:rPr>
              <w:t>Filed Electronically</w:t>
            </w:r>
          </w:p>
        </w:tc>
      </w:tr>
    </w:tbl>
    <w:p>
      <w:pPr>
        <w:spacing w:after="0" w:line="200" w:lineRule="exact"/>
        <w:rPr>
          <w:sz w:val="20"/>
          <w:szCs w:val="20"/>
          <w:color w:val="auto"/>
        </w:rPr>
      </w:pPr>
    </w:p>
    <w:p>
      <w:pPr>
        <w:spacing w:after="0" w:line="380" w:lineRule="exact"/>
        <w:rPr>
          <w:sz w:val="20"/>
          <w:szCs w:val="20"/>
          <w:color w:val="auto"/>
        </w:rPr>
      </w:pPr>
    </w:p>
    <w:p>
      <w:pPr>
        <w:ind w:left="580" w:right="260" w:hanging="329"/>
        <w:spacing w:after="0" w:line="250" w:lineRule="auto"/>
        <w:tabs>
          <w:tab w:leader="none" w:pos="597"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Incorporated by reference to Exhibit 3.2 to the Company’s Current Report on Form 8-K dated February 26, 2021 and filed March 2, 2021.</w:t>
      </w:r>
    </w:p>
    <w:p>
      <w:pPr>
        <w:ind w:left="580" w:hanging="329"/>
        <w:spacing w:after="0" w:line="261" w:lineRule="auto"/>
        <w:tabs>
          <w:tab w:leader="none" w:pos="597"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Incorporated by reference to Exhibit 3.1 to the Company’s Current Report on Form 8-K dated October 28, 2009 and filed November 3, 2009.</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 w:name="page23"/>
    <w:bookmarkEnd w:id="22"/>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9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 w:lineRule="exact"/>
        <w:rPr>
          <w:sz w:val="20"/>
          <w:szCs w:val="20"/>
          <w:color w:val="auto"/>
        </w:rPr>
      </w:pPr>
    </w:p>
    <w:p>
      <w:pPr>
        <w:ind w:left="80"/>
        <w:spacing w:after="0"/>
        <w:rPr>
          <w:sz w:val="20"/>
          <w:szCs w:val="20"/>
          <w:color w:val="auto"/>
        </w:rPr>
      </w:pPr>
      <w:r>
        <w:rPr>
          <w:rFonts w:ascii="Arial" w:cs="Arial" w:eastAsia="Arial" w:hAnsi="Arial"/>
          <w:sz w:val="18"/>
          <w:szCs w:val="18"/>
          <w:color w:val="auto"/>
        </w:rPr>
        <w:t>HAWKINS, INC.</w:t>
      </w:r>
    </w:p>
    <w:p>
      <w:pPr>
        <w:spacing w:after="0" w:line="77" w:lineRule="exact"/>
        <w:rPr>
          <w:sz w:val="20"/>
          <w:szCs w:val="20"/>
          <w:color w:val="auto"/>
        </w:rPr>
      </w:pPr>
    </w:p>
    <w:tbl>
      <w:tblPr>
        <w:tblLayout w:type="fixed"/>
        <w:tblInd w:w="80" w:type="dxa"/>
        <w:tblCellMar>
          <w:top w:w="0" w:type="dxa"/>
          <w:left w:w="0" w:type="dxa"/>
          <w:bottom w:w="0" w:type="dxa"/>
          <w:right w:w="0" w:type="dxa"/>
        </w:tblCellMar>
      </w:tblPr>
      <w:tr>
        <w:trPr>
          <w:trHeight w:val="217"/>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Jeffrey P. Oldenkamp</w:t>
            </w:r>
          </w:p>
        </w:tc>
      </w:tr>
      <w:tr>
        <w:trPr>
          <w:trHeight w:val="223"/>
        </w:trPr>
        <w:tc>
          <w:tcPr>
            <w:tcW w:w="800" w:type="dxa"/>
            <w:vAlign w:val="bottom"/>
          </w:tcPr>
          <w:p>
            <w:pPr>
              <w:spacing w:after="0"/>
              <w:rPr>
                <w:sz w:val="19"/>
                <w:szCs w:val="19"/>
                <w:color w:val="auto"/>
              </w:rPr>
            </w:pPr>
          </w:p>
        </w:tc>
        <w:tc>
          <w:tcPr>
            <w:tcW w:w="5140" w:type="dxa"/>
            <w:vAlign w:val="bottom"/>
          </w:tcPr>
          <w:p>
            <w:pPr>
              <w:jc w:val="center"/>
              <w:spacing w:after="0"/>
              <w:rPr>
                <w:sz w:val="20"/>
                <w:szCs w:val="20"/>
                <w:color w:val="auto"/>
              </w:rPr>
            </w:pPr>
            <w:r>
              <w:rPr>
                <w:rFonts w:ascii="Arial" w:cs="Arial" w:eastAsia="Arial" w:hAnsi="Arial"/>
                <w:sz w:val="18"/>
                <w:szCs w:val="18"/>
                <w:color w:val="auto"/>
                <w:w w:val="98"/>
              </w:rPr>
              <w:t>Jeffrey P. Oldenkamp</w:t>
            </w:r>
          </w:p>
        </w:tc>
      </w:tr>
      <w:tr>
        <w:trPr>
          <w:trHeight w:val="229"/>
        </w:trPr>
        <w:tc>
          <w:tcPr>
            <w:tcW w:w="800" w:type="dxa"/>
            <w:vAlign w:val="bottom"/>
          </w:tcPr>
          <w:p>
            <w:pPr>
              <w:spacing w:after="0"/>
              <w:rPr>
                <w:sz w:val="19"/>
                <w:szCs w:val="19"/>
                <w:color w:val="auto"/>
              </w:rPr>
            </w:pPr>
          </w:p>
        </w:tc>
        <w:tc>
          <w:tcPr>
            <w:tcW w:w="5140" w:type="dxa"/>
            <w:vAlign w:val="bottom"/>
          </w:tcPr>
          <w:p>
            <w:pPr>
              <w:jc w:val="center"/>
              <w:spacing w:after="0"/>
              <w:rPr>
                <w:sz w:val="20"/>
                <w:szCs w:val="20"/>
                <w:color w:val="auto"/>
              </w:rPr>
            </w:pPr>
            <w:r>
              <w:rPr>
                <w:rFonts w:ascii="Arial" w:cs="Arial" w:eastAsia="Arial" w:hAnsi="Arial"/>
                <w:sz w:val="18"/>
                <w:szCs w:val="18"/>
                <w:color w:val="auto"/>
                <w:w w:val="99"/>
              </w:rPr>
              <w:t>Executive Vice President and Chief Financial Officer</w:t>
            </w:r>
          </w:p>
        </w:tc>
      </w:tr>
      <w:tr>
        <w:trPr>
          <w:trHeight w:val="188"/>
        </w:trPr>
        <w:tc>
          <w:tcPr>
            <w:tcW w:w="800" w:type="dxa"/>
            <w:vAlign w:val="bottom"/>
          </w:tcPr>
          <w:p>
            <w:pPr>
              <w:spacing w:after="0"/>
              <w:rPr>
                <w:sz w:val="16"/>
                <w:szCs w:val="16"/>
                <w:color w:val="auto"/>
              </w:rPr>
            </w:pPr>
          </w:p>
        </w:tc>
        <w:tc>
          <w:tcPr>
            <w:tcW w:w="5140" w:type="dxa"/>
            <w:vAlign w:val="bottom"/>
          </w:tcPr>
          <w:p>
            <w:pPr>
              <w:jc w:val="center"/>
              <w:spacing w:after="0" w:line="189" w:lineRule="exact"/>
              <w:rPr>
                <w:sz w:val="20"/>
                <w:szCs w:val="20"/>
                <w:color w:val="auto"/>
              </w:rPr>
            </w:pPr>
            <w:r>
              <w:rPr>
                <w:rFonts w:ascii="Arial" w:cs="Arial" w:eastAsia="Arial" w:hAnsi="Arial"/>
                <w:sz w:val="18"/>
                <w:szCs w:val="18"/>
                <w:color w:val="auto"/>
              </w:rPr>
              <w:t>(On behalf of the registrant and as principal financial and</w:t>
            </w:r>
          </w:p>
        </w:tc>
      </w:tr>
      <w:tr>
        <w:trPr>
          <w:trHeight w:val="217"/>
        </w:trPr>
        <w:tc>
          <w:tcPr>
            <w:tcW w:w="800" w:type="dxa"/>
            <w:vAlign w:val="bottom"/>
          </w:tcPr>
          <w:p>
            <w:pPr>
              <w:spacing w:after="0"/>
              <w:rPr>
                <w:sz w:val="18"/>
                <w:szCs w:val="18"/>
                <w:color w:val="auto"/>
              </w:rPr>
            </w:pPr>
          </w:p>
        </w:tc>
        <w:tc>
          <w:tcPr>
            <w:tcW w:w="5140" w:type="dxa"/>
            <w:vAlign w:val="bottom"/>
          </w:tcPr>
          <w:p>
            <w:pPr>
              <w:jc w:val="center"/>
              <w:spacing w:after="0"/>
              <w:rPr>
                <w:sz w:val="20"/>
                <w:szCs w:val="20"/>
                <w:color w:val="auto"/>
              </w:rPr>
            </w:pPr>
            <w:r>
              <w:rPr>
                <w:rFonts w:ascii="Arial" w:cs="Arial" w:eastAsia="Arial" w:hAnsi="Arial"/>
                <w:sz w:val="18"/>
                <w:szCs w:val="18"/>
                <w:color w:val="auto"/>
              </w:rPr>
              <w:t>accounting officer)</w:t>
            </w: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2, 2022</w:t>
      </w:r>
    </w:p>
    <w:p>
      <w:pPr>
        <w:sectPr>
          <w:pgSz w:w="11900" w:h="16838" w:orient="portrait"/>
          <w:cols w:equalWidth="0" w:num="1">
            <w:col w:w="11120"/>
          </w:cols>
          <w:pgMar w:left="320" w:top="886" w:right="45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 Patrick H. Hawkins, certify that:</w:t>
      </w:r>
    </w:p>
    <w:p>
      <w:pPr>
        <w:spacing w:after="0" w:line="333"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Hawkins, Inc.;</w:t>
      </w:r>
    </w:p>
    <w:p>
      <w:pPr>
        <w:spacing w:after="0" w:line="103" w:lineRule="exact"/>
        <w:rPr>
          <w:rFonts w:ascii="Arial" w:cs="Arial" w:eastAsia="Arial" w:hAnsi="Arial"/>
          <w:sz w:val="18"/>
          <w:szCs w:val="18"/>
          <w:color w:val="auto"/>
        </w:rPr>
      </w:pPr>
    </w:p>
    <w:p>
      <w:pPr>
        <w:ind w:left="660" w:right="80" w:hanging="328"/>
        <w:spacing w:after="0" w:line="256" w:lineRule="auto"/>
        <w:tabs>
          <w:tab w:leader="none" w:pos="661"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0" w:lineRule="exact"/>
        <w:rPr>
          <w:rFonts w:ascii="Arial" w:cs="Arial" w:eastAsia="Arial" w:hAnsi="Arial"/>
          <w:sz w:val="18"/>
          <w:szCs w:val="18"/>
          <w:color w:val="auto"/>
        </w:rPr>
      </w:pPr>
    </w:p>
    <w:p>
      <w:pPr>
        <w:ind w:left="660" w:right="120" w:hanging="328"/>
        <w:spacing w:after="0" w:line="256" w:lineRule="auto"/>
        <w:tabs>
          <w:tab w:leader="none" w:pos="661"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6" w:lineRule="exact"/>
        <w:rPr>
          <w:rFonts w:ascii="Arial" w:cs="Arial" w:eastAsia="Arial" w:hAnsi="Arial"/>
          <w:sz w:val="18"/>
          <w:szCs w:val="18"/>
          <w:color w:val="auto"/>
        </w:rPr>
      </w:pPr>
    </w:p>
    <w:p>
      <w:pPr>
        <w:ind w:left="660" w:right="120" w:hanging="328"/>
        <w:spacing w:after="0" w:line="256" w:lineRule="auto"/>
        <w:tabs>
          <w:tab w:leader="none" w:pos="661"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0" w:lineRule="exact"/>
        <w:rPr>
          <w:rFonts w:ascii="Arial" w:cs="Arial" w:eastAsia="Arial" w:hAnsi="Arial"/>
          <w:sz w:val="18"/>
          <w:szCs w:val="18"/>
          <w:color w:val="auto"/>
        </w:rPr>
      </w:pPr>
    </w:p>
    <w:p>
      <w:pPr>
        <w:ind w:left="1300" w:right="20" w:hanging="320"/>
        <w:spacing w:after="0" w:line="256" w:lineRule="auto"/>
        <w:tabs>
          <w:tab w:leader="none" w:pos="1311" w:val="left"/>
        </w:tabs>
        <w:numPr>
          <w:ilvl w:val="1"/>
          <w:numId w:val="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0" w:lineRule="exact"/>
        <w:rPr>
          <w:rFonts w:ascii="Arial" w:cs="Arial" w:eastAsia="Arial" w:hAnsi="Arial"/>
          <w:sz w:val="18"/>
          <w:szCs w:val="18"/>
          <w:color w:val="auto"/>
        </w:rPr>
      </w:pPr>
    </w:p>
    <w:p>
      <w:pPr>
        <w:ind w:left="1300" w:right="20" w:hanging="320"/>
        <w:spacing w:after="0" w:line="256" w:lineRule="auto"/>
        <w:tabs>
          <w:tab w:leader="none" w:pos="1298" w:val="left"/>
        </w:tabs>
        <w:numPr>
          <w:ilvl w:val="1"/>
          <w:numId w:val="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6" w:lineRule="exact"/>
        <w:rPr>
          <w:rFonts w:ascii="Arial" w:cs="Arial" w:eastAsia="Arial" w:hAnsi="Arial"/>
          <w:sz w:val="18"/>
          <w:szCs w:val="18"/>
          <w:color w:val="auto"/>
        </w:rPr>
      </w:pPr>
    </w:p>
    <w:p>
      <w:pPr>
        <w:ind w:left="1300" w:right="300" w:hanging="320"/>
        <w:spacing w:after="0" w:line="256" w:lineRule="auto"/>
        <w:tabs>
          <w:tab w:leader="none" w:pos="1315" w:val="left"/>
        </w:tabs>
        <w:numPr>
          <w:ilvl w:val="1"/>
          <w:numId w:val="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0" w:lineRule="exact"/>
        <w:rPr>
          <w:rFonts w:ascii="Arial" w:cs="Arial" w:eastAsia="Arial" w:hAnsi="Arial"/>
          <w:sz w:val="18"/>
          <w:szCs w:val="18"/>
          <w:color w:val="auto"/>
        </w:rPr>
      </w:pPr>
    </w:p>
    <w:p>
      <w:pPr>
        <w:ind w:left="1300" w:right="60" w:hanging="320"/>
        <w:spacing w:after="0" w:line="256" w:lineRule="auto"/>
        <w:tabs>
          <w:tab w:leader="none" w:pos="1298" w:val="left"/>
        </w:tabs>
        <w:numPr>
          <w:ilvl w:val="1"/>
          <w:numId w:val="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0" w:lineRule="exact"/>
        <w:rPr>
          <w:rFonts w:ascii="Arial" w:cs="Arial" w:eastAsia="Arial" w:hAnsi="Arial"/>
          <w:sz w:val="18"/>
          <w:szCs w:val="18"/>
          <w:color w:val="auto"/>
        </w:rPr>
      </w:pPr>
    </w:p>
    <w:p>
      <w:pPr>
        <w:ind w:left="660" w:right="340" w:hanging="328"/>
        <w:spacing w:after="0" w:line="256" w:lineRule="auto"/>
        <w:tabs>
          <w:tab w:leader="none" w:pos="661"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6" w:lineRule="exact"/>
        <w:rPr>
          <w:rFonts w:ascii="Arial" w:cs="Arial" w:eastAsia="Arial" w:hAnsi="Arial"/>
          <w:sz w:val="18"/>
          <w:szCs w:val="18"/>
          <w:color w:val="auto"/>
        </w:rPr>
      </w:pPr>
    </w:p>
    <w:p>
      <w:pPr>
        <w:jc w:val="both"/>
        <w:ind w:left="1300" w:right="440" w:hanging="320"/>
        <w:spacing w:after="0" w:line="256" w:lineRule="auto"/>
        <w:tabs>
          <w:tab w:leader="none" w:pos="1311" w:val="left"/>
        </w:tabs>
        <w:numPr>
          <w:ilvl w:val="1"/>
          <w:numId w:val="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0" w:lineRule="exact"/>
        <w:rPr>
          <w:rFonts w:ascii="Arial" w:cs="Arial" w:eastAsia="Arial" w:hAnsi="Arial"/>
          <w:sz w:val="18"/>
          <w:szCs w:val="18"/>
          <w:color w:val="auto"/>
        </w:rPr>
      </w:pPr>
    </w:p>
    <w:p>
      <w:pPr>
        <w:ind w:left="1300" w:right="800" w:hanging="320"/>
        <w:spacing w:after="0" w:line="261" w:lineRule="auto"/>
        <w:tabs>
          <w:tab w:leader="none" w:pos="1298" w:val="left"/>
        </w:tabs>
        <w:numPr>
          <w:ilvl w:val="1"/>
          <w:numId w:val="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2022</w:t>
      </w:r>
    </w:p>
    <w:p>
      <w:pPr>
        <w:spacing w:after="0" w:line="23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 Patrick H.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6350</wp:posOffset>
            </wp:positionV>
            <wp:extent cx="342074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3420745" cy="8255"/>
                    </a:xfrm>
                    <a:prstGeom prst="rect">
                      <a:avLst/>
                    </a:prstGeom>
                    <a:noFill/>
                  </pic:spPr>
                </pic:pic>
              </a:graphicData>
            </a:graphic>
          </wp:anchor>
        </w:drawing>
      </w:r>
    </w:p>
    <w:p>
      <w:pPr>
        <w:spacing w:after="0" w:line="16"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Patrick H. Hawkins</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Chief Executive Officer and President</w:t>
      </w:r>
    </w:p>
    <w:p>
      <w:pPr>
        <w:sectPr>
          <w:pgSz w:w="11900" w:h="16838" w:orient="portrait"/>
          <w:cols w:equalWidth="0" w:num="1">
            <w:col w:w="11240"/>
          </w:cols>
          <w:pgMar w:left="320" w:top="886" w:right="3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 Jeffrey P. Oldenkamp, certify that:</w:t>
      </w:r>
    </w:p>
    <w:p>
      <w:pPr>
        <w:spacing w:after="0" w:line="333"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Hawkins, Inc.;</w:t>
      </w:r>
    </w:p>
    <w:p>
      <w:pPr>
        <w:spacing w:after="0" w:line="103" w:lineRule="exact"/>
        <w:rPr>
          <w:rFonts w:ascii="Arial" w:cs="Arial" w:eastAsia="Arial" w:hAnsi="Arial"/>
          <w:sz w:val="18"/>
          <w:szCs w:val="18"/>
          <w:color w:val="auto"/>
        </w:rPr>
      </w:pPr>
    </w:p>
    <w:p>
      <w:pPr>
        <w:ind w:left="660" w:right="80" w:hanging="328"/>
        <w:spacing w:after="0" w:line="256" w:lineRule="auto"/>
        <w:tabs>
          <w:tab w:leader="none" w:pos="661"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0" w:lineRule="exact"/>
        <w:rPr>
          <w:rFonts w:ascii="Arial" w:cs="Arial" w:eastAsia="Arial" w:hAnsi="Arial"/>
          <w:sz w:val="18"/>
          <w:szCs w:val="18"/>
          <w:color w:val="auto"/>
        </w:rPr>
      </w:pPr>
    </w:p>
    <w:p>
      <w:pPr>
        <w:ind w:left="660" w:right="120" w:hanging="328"/>
        <w:spacing w:after="0" w:line="256" w:lineRule="auto"/>
        <w:tabs>
          <w:tab w:leader="none" w:pos="661"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6" w:lineRule="exact"/>
        <w:rPr>
          <w:rFonts w:ascii="Arial" w:cs="Arial" w:eastAsia="Arial" w:hAnsi="Arial"/>
          <w:sz w:val="18"/>
          <w:szCs w:val="18"/>
          <w:color w:val="auto"/>
        </w:rPr>
      </w:pPr>
    </w:p>
    <w:p>
      <w:pPr>
        <w:ind w:left="660" w:right="120" w:hanging="328"/>
        <w:spacing w:after="0" w:line="256" w:lineRule="auto"/>
        <w:tabs>
          <w:tab w:leader="none" w:pos="661"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9" w:lineRule="exact"/>
        <w:rPr>
          <w:rFonts w:ascii="Arial" w:cs="Arial" w:eastAsia="Arial" w:hAnsi="Arial"/>
          <w:sz w:val="18"/>
          <w:szCs w:val="18"/>
          <w:color w:val="auto"/>
        </w:rPr>
      </w:pPr>
    </w:p>
    <w:p>
      <w:pPr>
        <w:ind w:left="1300" w:right="20" w:hanging="644"/>
        <w:spacing w:after="0" w:line="256" w:lineRule="auto"/>
        <w:tabs>
          <w:tab w:leader="none" w:pos="1311"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 w:lineRule="exact"/>
        <w:rPr>
          <w:rFonts w:ascii="Arial" w:cs="Arial" w:eastAsia="Arial" w:hAnsi="Arial"/>
          <w:sz w:val="18"/>
          <w:szCs w:val="18"/>
          <w:color w:val="auto"/>
        </w:rPr>
      </w:pPr>
    </w:p>
    <w:p>
      <w:pPr>
        <w:ind w:left="1300" w:right="20" w:hanging="644"/>
        <w:spacing w:after="0" w:line="256" w:lineRule="auto"/>
        <w:tabs>
          <w:tab w:leader="none" w:pos="1298"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 w:lineRule="exact"/>
        <w:rPr>
          <w:rFonts w:ascii="Arial" w:cs="Arial" w:eastAsia="Arial" w:hAnsi="Arial"/>
          <w:sz w:val="18"/>
          <w:szCs w:val="18"/>
          <w:color w:val="auto"/>
        </w:rPr>
      </w:pPr>
    </w:p>
    <w:p>
      <w:pPr>
        <w:ind w:left="1300" w:right="300" w:hanging="644"/>
        <w:spacing w:after="0" w:line="256" w:lineRule="auto"/>
        <w:tabs>
          <w:tab w:leader="none" w:pos="1315" w:val="left"/>
        </w:tabs>
        <w:numPr>
          <w:ilvl w:val="1"/>
          <w:numId w:val="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rFonts w:ascii="Arial" w:cs="Arial" w:eastAsia="Arial" w:hAnsi="Arial"/>
          <w:sz w:val="18"/>
          <w:szCs w:val="18"/>
          <w:color w:val="auto"/>
        </w:rPr>
      </w:pPr>
    </w:p>
    <w:p>
      <w:pPr>
        <w:ind w:left="1300" w:right="60" w:hanging="644"/>
        <w:spacing w:after="0" w:line="256" w:lineRule="auto"/>
        <w:tabs>
          <w:tab w:leader="none" w:pos="1298" w:val="left"/>
        </w:tabs>
        <w:numPr>
          <w:ilvl w:val="1"/>
          <w:numId w:val="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0" w:lineRule="exact"/>
        <w:rPr>
          <w:rFonts w:ascii="Arial" w:cs="Arial" w:eastAsia="Arial" w:hAnsi="Arial"/>
          <w:sz w:val="18"/>
          <w:szCs w:val="18"/>
          <w:color w:val="auto"/>
        </w:rPr>
      </w:pPr>
    </w:p>
    <w:p>
      <w:pPr>
        <w:ind w:left="660" w:right="340" w:hanging="328"/>
        <w:spacing w:after="0" w:line="256" w:lineRule="auto"/>
        <w:tabs>
          <w:tab w:leader="none" w:pos="661"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Arial" w:cs="Arial" w:eastAsia="Arial" w:hAnsi="Arial"/>
          <w:sz w:val="18"/>
          <w:szCs w:val="18"/>
          <w:color w:val="auto"/>
        </w:rPr>
      </w:pPr>
    </w:p>
    <w:p>
      <w:pPr>
        <w:jc w:val="both"/>
        <w:ind w:left="1300" w:right="440" w:hanging="644"/>
        <w:spacing w:after="0" w:line="256" w:lineRule="auto"/>
        <w:tabs>
          <w:tab w:leader="none" w:pos="1311" w:val="left"/>
        </w:tabs>
        <w:numPr>
          <w:ilvl w:val="1"/>
          <w:numId w:val="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Arial" w:cs="Arial" w:eastAsia="Arial" w:hAnsi="Arial"/>
          <w:sz w:val="18"/>
          <w:szCs w:val="18"/>
          <w:color w:val="auto"/>
        </w:rPr>
      </w:pPr>
    </w:p>
    <w:p>
      <w:pPr>
        <w:ind w:left="1300" w:right="800" w:hanging="644"/>
        <w:spacing w:after="0" w:line="261" w:lineRule="auto"/>
        <w:tabs>
          <w:tab w:leader="none" w:pos="1298"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2022</w:t>
      </w:r>
    </w:p>
    <w:p>
      <w:pPr>
        <w:spacing w:after="0" w:line="239"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/s/ Jeffrey P. Oldenkamp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6350</wp:posOffset>
            </wp:positionV>
            <wp:extent cx="332613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Jeffrey P. Oldenkamp</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40"/>
          </w:cols>
          <w:pgMar w:left="320" w:top="886" w:right="3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connection with the Quarterly Report of Hawkins, Inc. (the Company) on Form 10-Q for the period ended October 2, 2022, as filed with the Securities and Exchange Commission on the date hereof (the Report), I, Patrick H. Hawkins, Chief Executive Officer and President of the Company, certify, pursuant to 18 U.S.C. § 1350, as adopted pursuant to § 906 of the Sarbanes-Oxley Act of 2002, that:</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 The Report fully complies with the requirements of section 13(a) or 15(d) of the Securities Exchange Act of 1934;</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right="240" w:firstLine="453"/>
        <w:spacing w:after="0" w:line="261" w:lineRule="auto"/>
        <w:tabs>
          <w:tab w:leader="none" w:pos="71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2" w:lineRule="exact"/>
        <w:rPr>
          <w:rFonts w:ascii="Arial" w:cs="Arial" w:eastAsia="Arial" w:hAnsi="Arial"/>
          <w:sz w:val="18"/>
          <w:szCs w:val="18"/>
          <w:color w:val="auto"/>
        </w:rPr>
      </w:pPr>
    </w:p>
    <w:p>
      <w:pPr>
        <w:ind w:left="80"/>
        <w:spacing w:after="0"/>
        <w:rPr>
          <w:rFonts w:ascii="Arial" w:cs="Arial" w:eastAsia="Arial" w:hAnsi="Arial"/>
          <w:sz w:val="18"/>
          <w:szCs w:val="18"/>
          <w:color w:val="auto"/>
        </w:rPr>
      </w:pPr>
      <w:r>
        <w:rPr>
          <w:rFonts w:ascii="Arial" w:cs="Arial" w:eastAsia="Arial" w:hAnsi="Arial"/>
          <w:sz w:val="18"/>
          <w:szCs w:val="18"/>
          <w:color w:val="auto"/>
        </w:rPr>
        <w:t>/s/ Patrick H. Hawkins</w:t>
      </w:r>
    </w:p>
    <w:p>
      <w:pPr>
        <w:spacing w:after="0" w:line="36" w:lineRule="exact"/>
        <w:rPr>
          <w:rFonts w:ascii="Arial" w:cs="Arial" w:eastAsia="Arial" w:hAnsi="Arial"/>
          <w:sz w:val="18"/>
          <w:szCs w:val="18"/>
          <w:color w:val="auto"/>
        </w:rPr>
      </w:pPr>
    </w:p>
    <w:p>
      <w:pPr>
        <w:ind w:left="80"/>
        <w:spacing w:after="0"/>
        <w:rPr>
          <w:rFonts w:ascii="Arial" w:cs="Arial" w:eastAsia="Arial" w:hAnsi="Arial"/>
          <w:sz w:val="18"/>
          <w:szCs w:val="18"/>
          <w:color w:val="auto"/>
        </w:rPr>
      </w:pPr>
      <w:r>
        <w:rPr>
          <w:rFonts w:ascii="Arial" w:cs="Arial" w:eastAsia="Arial" w:hAnsi="Arial"/>
          <w:sz w:val="18"/>
          <w:szCs w:val="18"/>
          <w:color w:val="auto"/>
        </w:rPr>
        <w:t>Patrick H. Hawkins</w:t>
      </w:r>
    </w:p>
    <w:p>
      <w:pPr>
        <w:spacing w:after="0" w:line="22" w:lineRule="exact"/>
        <w:rPr>
          <w:rFonts w:ascii="Arial" w:cs="Arial" w:eastAsia="Arial" w:hAnsi="Arial"/>
          <w:sz w:val="18"/>
          <w:szCs w:val="18"/>
          <w:color w:val="auto"/>
        </w:rPr>
      </w:pPr>
    </w:p>
    <w:p>
      <w:pPr>
        <w:ind w:left="80" w:right="8180"/>
        <w:spacing w:after="0" w:line="277" w:lineRule="auto"/>
        <w:rPr>
          <w:rFonts w:ascii="Arial" w:cs="Arial" w:eastAsia="Arial" w:hAnsi="Arial"/>
          <w:sz w:val="18"/>
          <w:szCs w:val="18"/>
          <w:color w:val="auto"/>
        </w:rPr>
      </w:pPr>
      <w:r>
        <w:rPr>
          <w:rFonts w:ascii="Arial" w:cs="Arial" w:eastAsia="Arial" w:hAnsi="Arial"/>
          <w:sz w:val="18"/>
          <w:szCs w:val="18"/>
          <w:color w:val="auto"/>
        </w:rPr>
        <w:t>Chief Executive Officer and President November 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-464820</wp:posOffset>
            </wp:positionV>
            <wp:extent cx="258889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connection with the Quarterly Report of Hawkins, Inc. (the Company) on Form 10-Q for the period ended October 2, 2022, as filed with the Securities and Exchange Commission on the date hereof (the Report), I, Jeffrey P. Oldenkamp, Chief Financial Officer of the Company, certify, pursuant to 18 U.S.C. § 1350, as adopted pursuant to § 906 of the Sarbanes-Oxley Act of 2002, that:</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 The Report fully complies with the requirements of section 13(a) or 15(d) of the Securities Exchange Act of 1934;</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right="240" w:firstLine="453"/>
        <w:spacing w:after="0" w:line="261" w:lineRule="auto"/>
        <w:tabs>
          <w:tab w:leader="none" w:pos="71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2" w:lineRule="exact"/>
        <w:rPr>
          <w:rFonts w:ascii="Arial" w:cs="Arial" w:eastAsia="Arial" w:hAnsi="Arial"/>
          <w:sz w:val="18"/>
          <w:szCs w:val="18"/>
          <w:color w:val="auto"/>
        </w:rPr>
      </w:pPr>
    </w:p>
    <w:p>
      <w:pPr>
        <w:ind w:left="80"/>
        <w:spacing w:after="0"/>
        <w:rPr>
          <w:rFonts w:ascii="Arial" w:cs="Arial" w:eastAsia="Arial" w:hAnsi="Arial"/>
          <w:sz w:val="18"/>
          <w:szCs w:val="18"/>
          <w:color w:val="auto"/>
        </w:rPr>
      </w:pPr>
      <w:r>
        <w:rPr>
          <w:rFonts w:ascii="Arial" w:cs="Arial" w:eastAsia="Arial" w:hAnsi="Arial"/>
          <w:sz w:val="18"/>
          <w:szCs w:val="18"/>
          <w:color w:val="auto"/>
        </w:rPr>
        <w:t>/s/ Jeffrey P. Oldenkamp</w:t>
      </w:r>
    </w:p>
    <w:p>
      <w:pPr>
        <w:spacing w:after="0" w:line="36" w:lineRule="exact"/>
        <w:rPr>
          <w:rFonts w:ascii="Arial" w:cs="Arial" w:eastAsia="Arial" w:hAnsi="Arial"/>
          <w:sz w:val="18"/>
          <w:szCs w:val="18"/>
          <w:color w:val="auto"/>
        </w:rPr>
      </w:pPr>
    </w:p>
    <w:p>
      <w:pPr>
        <w:ind w:left="80"/>
        <w:spacing w:after="0"/>
        <w:rPr>
          <w:rFonts w:ascii="Arial" w:cs="Arial" w:eastAsia="Arial" w:hAnsi="Arial"/>
          <w:sz w:val="18"/>
          <w:szCs w:val="18"/>
          <w:color w:val="auto"/>
        </w:rPr>
      </w:pPr>
      <w:r>
        <w:rPr>
          <w:rFonts w:ascii="Arial" w:cs="Arial" w:eastAsia="Arial" w:hAnsi="Arial"/>
          <w:sz w:val="18"/>
          <w:szCs w:val="18"/>
          <w:color w:val="auto"/>
        </w:rPr>
        <w:t>Jeffrey P. Oldenkamp</w:t>
      </w:r>
    </w:p>
    <w:p>
      <w:pPr>
        <w:spacing w:after="0" w:line="22" w:lineRule="exact"/>
        <w:rPr>
          <w:rFonts w:ascii="Arial" w:cs="Arial" w:eastAsia="Arial" w:hAnsi="Arial"/>
          <w:sz w:val="18"/>
          <w:szCs w:val="18"/>
          <w:color w:val="auto"/>
        </w:rPr>
      </w:pPr>
    </w:p>
    <w:p>
      <w:pPr>
        <w:ind w:left="80" w:right="7020"/>
        <w:spacing w:after="0" w:line="277" w:lineRule="auto"/>
        <w:rPr>
          <w:rFonts w:ascii="Arial" w:cs="Arial" w:eastAsia="Arial" w:hAnsi="Arial"/>
          <w:sz w:val="18"/>
          <w:szCs w:val="18"/>
          <w:color w:val="auto"/>
        </w:rPr>
      </w:pPr>
      <w:r>
        <w:rPr>
          <w:rFonts w:ascii="Arial" w:cs="Arial" w:eastAsia="Arial" w:hAnsi="Arial"/>
          <w:sz w:val="18"/>
          <w:szCs w:val="18"/>
          <w:color w:val="auto"/>
        </w:rPr>
        <w:t>Executive Vice President and Chief Financial Officer November 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-464820</wp:posOffset>
            </wp:positionV>
            <wp:extent cx="325755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sectPr>
      <w:pgSz w:w="11900" w:h="16838" w:orient="portrait"/>
      <w:cols w:equalWidth="0" w:num="1">
        <w:col w:w="11240"/>
      </w:cols>
      <w:pgMar w:left="320" w:top="8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1"/>
    </w:lvl>
    <w:lvl w:ilvl="1">
      <w:lvlJc w:val="left"/>
      <w:lvlText w:val="%2)"/>
      <w:numFmt w:val="lowerLetter"/>
      <w:start w:val="1"/>
    </w:lvl>
  </w:abstractNum>
  <w:abstractNum w:abstractNumId="3">
    <w:nsid w:val="46E87CCD"/>
    <w:multiLevelType w:val="hybridMultilevel"/>
    <w:lvl w:ilvl="0">
      <w:lvlJc w:val="left"/>
      <w:lvlText w:val="%1."/>
      <w:numFmt w:val="decimal"/>
      <w:start w:val="1"/>
    </w:lvl>
    <w:lvl w:ilvl="1">
      <w:lvlJc w:val="left"/>
      <w:lvlText w:val="%2)"/>
      <w:numFmt w:val="lowerLetter"/>
      <w:start w:val="1"/>
    </w:lvl>
  </w:abstractNum>
  <w:abstractNum w:abstractNumId="4">
    <w:nsid w:val="3D1B58BA"/>
    <w:multiLevelType w:val="hybridMultilevel"/>
    <w:lvl w:ilvl="0">
      <w:lvlJc w:val="left"/>
      <w:lvlText w:val="(%1)"/>
      <w:numFmt w:val="decimal"/>
      <w:start w:val="2"/>
    </w:lvl>
  </w:abstractNum>
  <w:abstractNum w:abstractNumId="5">
    <w:nsid w:val="507ED7AB"/>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18" Type="http://schemas.openxmlformats.org/officeDocument/2006/relationships/hyperlink" Target="http://www.sec.gov/ix?doc=/Archives/edgar/data/46250/000004625022000016/hwkn-20220403.htm" TargetMode="External"/><Relationship Id="rId31" Type="http://schemas.openxmlformats.org/officeDocument/2006/relationships/hyperlink" Target="http://www.sec.gov/Archives/edgar/data/46250/000004625021000012/exhibit32.htm" TargetMode="External"/><Relationship Id="rId32" Type="http://schemas.openxmlformats.org/officeDocument/2006/relationships/hyperlink" Target="http://www.sec.gov/Archives/edgar/data/46250/000089710109002205/hawkins095018_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2022-11-02T15:46:35Z</dcterms:created>
  <dcterms:modified xsi:type="dcterms:W3CDTF">2022-11-02T15:46:35Z</dcterms:modified>
</cp:coreProperties>
</file>