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Hawkins Patrick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CEO and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ROSEVILLE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MN</w:t>
            </w:r>
          </w:p>
        </w:tc>
        <w:tc>
          <w:tcPr>
            <w:tcW w:w="1260" w:type="dxa"/>
            <w:vAlign w:val="bottom"/>
          </w:tcPr>
          <w:p>
            <w:pPr>
              <w:spacing w:after="0"/>
              <w:rPr>
                <w:sz w:val="20"/>
                <w:szCs w:val="20"/>
                <w:color w:val="auto"/>
              </w:rPr>
            </w:pPr>
            <w:r>
              <w:rPr>
                <w:rFonts w:ascii="Arial" w:cs="Arial" w:eastAsia="Arial" w:hAnsi="Arial"/>
                <w:sz w:val="18"/>
                <w:szCs w:val="18"/>
                <w:color w:val="0000FF"/>
              </w:rPr>
              <w:t>55113</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2"/>
          </w:tcPr>
          <w:p>
            <w:pPr>
              <w:ind w:left="840"/>
              <w:spacing w:after="0"/>
              <w:rPr>
                <w:sz w:val="20"/>
                <w:szCs w:val="20"/>
                <w:color w:val="auto"/>
              </w:rPr>
            </w:pPr>
            <w:r>
              <w:rPr>
                <w:rFonts w:ascii="Arial" w:cs="Arial" w:eastAsia="Arial" w:hAnsi="Arial"/>
                <w:sz w:val="18"/>
                <w:szCs w:val="18"/>
                <w:color w:val="0000FF"/>
              </w:rPr>
              <w:t>05/22/2017</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right"/>
              <w:ind w:right="52"/>
              <w:spacing w:after="0"/>
              <w:rPr>
                <w:sz w:val="20"/>
                <w:szCs w:val="20"/>
                <w:color w:val="auto"/>
              </w:rPr>
            </w:pPr>
            <w:r>
              <w:rPr>
                <w:rFonts w:ascii="Arial" w:cs="Arial" w:eastAsia="Arial" w:hAnsi="Arial"/>
                <w:sz w:val="18"/>
                <w:szCs w:val="18"/>
                <w:color w:val="0000FF"/>
              </w:rPr>
              <w:t>580</w:t>
            </w:r>
          </w:p>
        </w:tc>
        <w:tc>
          <w:tcPr>
            <w:tcW w:w="720" w:type="dxa"/>
            <w:vAlign w:val="bottom"/>
          </w:tcPr>
          <w:p>
            <w:pPr>
              <w:ind w:left="36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65,615.516</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04/04/2018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3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ind w:right="14"/>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32.75</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63,834.774</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13,036.5815</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680" w:type="dxa"/>
            <w:vAlign w:val="bottom"/>
            <w:tcBorders>
              <w:bottom w:val="single" w:sz="8" w:color="2C2C2C"/>
            </w:tcBorders>
            <w:gridSpan w:val="4"/>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1"/>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330 shares acquired in July 2017 and 435 shares acquired in January 2018 pursuant to the Issuer's employee stock purchase plan and 54.258 shares acquired in October 2017 pursuant to the Issuer's dividend reinvestment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04/06/2018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8673"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2019-12-23T22:31:04Z</dcterms:created>
  <dcterms:modified xsi:type="dcterms:W3CDTF">2019-12-23T22:31:04Z</dcterms:modified>
</cp:coreProperties>
</file>