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Hawkins Patrick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CEO and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ROSEVILLE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MN</w:t>
            </w:r>
          </w:p>
        </w:tc>
        <w:tc>
          <w:tcPr>
            <w:tcW w:w="1260" w:type="dxa"/>
            <w:vAlign w:val="bottom"/>
          </w:tcPr>
          <w:p>
            <w:pPr>
              <w:spacing w:after="0"/>
              <w:rPr>
                <w:sz w:val="20"/>
                <w:szCs w:val="20"/>
                <w:color w:val="auto"/>
              </w:rPr>
            </w:pPr>
            <w:r>
              <w:rPr>
                <w:rFonts w:ascii="Arial" w:cs="Arial" w:eastAsia="Arial" w:hAnsi="Arial"/>
                <w:sz w:val="18"/>
                <w:szCs w:val="18"/>
                <w:color w:val="0000FF"/>
              </w:rPr>
              <w:t>55113</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56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03/30/2017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3,618</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34"/>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48.45</w:t>
            </w:r>
          </w:p>
        </w:tc>
        <w:tc>
          <w:tcPr>
            <w:tcW w:w="126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96"/>
              </w:rPr>
              <w:t>55,615.536</w:t>
            </w:r>
            <w:r>
              <w:rPr>
                <w:rFonts w:ascii="Arial" w:cs="Arial" w:eastAsia="Arial" w:hAnsi="Arial"/>
                <w:sz w:val="22"/>
                <w:szCs w:val="22"/>
                <w:color w:val="008000"/>
                <w:w w:val="96"/>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8"/>
                <w:szCs w:val="18"/>
                <w:color w:val="0000FF"/>
              </w:rPr>
              <w:t>13,036.5815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4"/>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0"/>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412 shares acquired in June 2016 and 379 shares acquired in January 2017 pursuant to the Issuer's employee stock purchase plan and 42.777 shares acquired in October 2016 pursuant to the Issuer's dividend reinvestment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04/03/2017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867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2019-12-23T22:27:33Z</dcterms:created>
  <dcterms:modified xsi:type="dcterms:W3CDTF">2019-12-23T22:27:33Z</dcterms:modified>
</cp:coreProperties>
</file>