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 INFORMATION</w:t>
      </w: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139"/>
        <w:spacing w:after="0"/>
        <w:tabs>
          <w:tab w:leader="none" w:pos="24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 w:lineRule="exact"/>
        <w:rPr>
          <w:sz w:val="24"/>
          <w:szCs w:val="24"/>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820" w:hanging="812"/>
        <w:spacing w:after="0"/>
        <w:tabs>
          <w:tab w:leader="none" w:pos="8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 w:lineRule="exact"/>
        <w:rPr>
          <w:sz w:val="24"/>
          <w:szCs w:val="24"/>
          <w:color w:val="auto"/>
        </w:rPr>
      </w:pPr>
    </w:p>
    <w:p>
      <w:pPr>
        <w:ind w:left="1720" w:hanging="902"/>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347980</wp:posOffset>
            </wp:positionV>
            <wp:extent cx="61614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1720" w:hanging="902"/>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351790</wp:posOffset>
            </wp:positionV>
            <wp:extent cx="616140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720" w:hanging="902"/>
        <w:spacing w:after="0" w:line="268" w:lineRule="auto"/>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327025</wp:posOffset>
            </wp:positionV>
            <wp:extent cx="616140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720" w:hanging="902"/>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351790</wp:posOffset>
            </wp:positionV>
            <wp:extent cx="616140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720" w:hanging="902"/>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351790</wp:posOffset>
            </wp:positionV>
            <wp:extent cx="616140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820" w:right="220" w:hanging="812"/>
        <w:spacing w:after="0" w:line="332"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sz w:val="24"/>
          <w:szCs w:val="24"/>
          <w:color w:val="auto"/>
        </w:rPr>
      </w:pPr>
    </w:p>
    <w:p>
      <w:pPr>
        <w:ind w:left="1720" w:hanging="902"/>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616140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720" w:hanging="902"/>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616140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720" w:hanging="902"/>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61614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720" w:hanging="902"/>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61614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140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69" w:right="359" w:bottom="242" w:gutter="0" w:footer="0" w:header="0"/>
        </w:sectPr>
      </w:pPr>
    </w:p>
    <w:bookmarkStart w:id="1" w:name="page2"/>
    <w:bookmarkEnd w:id="1"/>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88900</wp:posOffset>
            </wp:positionV>
            <wp:extent cx="1672590" cy="909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72590" cy="9093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NOTICE OF MEETING OF SHAREHOLDERS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14, 2002</w:t>
      </w:r>
    </w:p>
    <w:p>
      <w:pPr>
        <w:spacing w:after="0" w:line="219"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meeting of shareholders of Hawkins, Inc. (the "Company") will be held at the Four Points Sheraton Hotel, 1330 Industrial Boulevard, Minneapolis, Minnesota, on Wednesday, August 14, 2002, at 3:30 P.M., Central Standard Time, for the following purposes:</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right="180" w:firstLine="348"/>
        <w:spacing w:after="0" w:line="298" w:lineRule="auto"/>
        <w:rPr>
          <w:sz w:val="20"/>
          <w:szCs w:val="20"/>
          <w:color w:val="auto"/>
        </w:rPr>
      </w:pPr>
      <w:r>
        <w:rPr>
          <w:rFonts w:ascii="Arial" w:cs="Arial" w:eastAsia="Arial" w:hAnsi="Arial"/>
          <w:sz w:val="16"/>
          <w:szCs w:val="16"/>
          <w:color w:val="auto"/>
        </w:rPr>
        <w:t>The Board of Directors has called an additional meeting of shareholders in 2002 to reflect the change in the Company's fiscal year end to March 31, 2002, rather than wait until the next annual meeting, which will be scheduled for August of 2003, to comport with the new fiscal year end. The Board of Directors has fixed the close of business on July 5, 2002 as the record date for determining the shareholders entitled to vote at the meeting. Accordingly, only shareholders of record at the close of business on that date will be entitled to vote at the meeting. The Company's transfer books will not be closed.</w:t>
      </w:r>
    </w:p>
    <w:p>
      <w:pPr>
        <w:spacing w:after="0" w:line="383"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Dated: July 15, 2002.</w:t>
      </w:r>
      <w:r>
        <w:rPr>
          <w:sz w:val="20"/>
          <w:szCs w:val="20"/>
          <w:color w:val="auto"/>
        </w:rPr>
        <w:tab/>
      </w:r>
      <w:r>
        <w:rPr>
          <w:rFonts w:ascii="Arial" w:cs="Arial" w:eastAsia="Arial" w:hAnsi="Arial"/>
          <w:sz w:val="16"/>
          <w:szCs w:val="16"/>
          <w:color w:val="auto"/>
        </w:rPr>
        <w:t>BY ORDER OF THE BOARD OF DIRECTORS</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IMPORTANT: To assure the necessary representation at the meeting, you are urged to SIGN AND RETURN THE ENCLOSED PROXY PROMPTLY TO SAVE THE COMPANY THE EXPENSE OF ADDITIONAL SOLICITATION. Doing so will not prevent you from voting in person if you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15, 2002</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statement is furnished in connection with the solicitation of proxies by the Board of Directors of Hawkins, Inc. (the "Company") to be voted at the meeting of shareholders of the Company to be held on Wednesday, August 14, 2002, or at any adjournment or adjournments of such meeting. Distribution of this proxy statement and proxy to the shareholders began on or about July 15, 2002.</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cost of soliciting proxies and of the notices of the meeting, including the preparation, assembly and mailing of proxies and this statement, will be borne by the Company. In addition to the use of the mail,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REVOCATION AND VOTING OF PROXY</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meeting and casting his or her votes personally.</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Unless otherwise directed in the accompanying proxy, the persons named therein will vote FOR the nominees for director as set forth in this Proxy Statement. Management is not aware of any other business that will, or is likely to, come before the meeting. If any other business does properly come before the meeting, such persons will vote in accordance with their judgment as to what is in the Company's best interests.</w:t>
      </w:r>
    </w:p>
    <w:p>
      <w:pPr>
        <w:spacing w:after="0" w:line="161"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 majority of the outstanding shares will constitute a quorum at the meeting. Abstentions and broker non-votes are counted for purposes of determining the presence or absence of a quorum for the transaction of business. Pursuant to Minnesota law and the Company's Amended and Second Restated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ectPr>
          <w:pgSz w:w="11900" w:h="16838" w:orient="portrait"/>
          <w:cols w:equalWidth="0" w:num="1">
            <w:col w:w="11420"/>
          </w:cols>
          <w:pgMar w:left="240" w:top="1440" w:right="239" w:bottom="116"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of the close of business on July 5, 2002, there were outstanding 10,216,688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meeting is July 5, 2002. There is no 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Dean L. Hahn failed to file a report on a timely basis for a transaction in March 2002 which has since been filed.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BENEFICIAL OWNERSHIP</w:t>
      </w:r>
    </w:p>
    <w:p>
      <w:pPr>
        <w:spacing w:after="0" w:line="219" w:lineRule="exact"/>
        <w:rPr>
          <w:sz w:val="20"/>
          <w:szCs w:val="20"/>
          <w:color w:val="auto"/>
        </w:rPr>
      </w:pPr>
    </w:p>
    <w:p>
      <w:pPr>
        <w:jc w:val="both"/>
        <w:ind w:right="320" w:firstLine="348"/>
        <w:spacing w:after="0" w:line="256" w:lineRule="auto"/>
        <w:rPr>
          <w:sz w:val="20"/>
          <w:szCs w:val="20"/>
          <w:color w:val="auto"/>
        </w:rPr>
      </w:pPr>
      <w:r>
        <w:rPr>
          <w:rFonts w:ascii="Arial" w:cs="Arial" w:eastAsia="Arial" w:hAnsi="Arial"/>
          <w:sz w:val="18"/>
          <w:szCs w:val="18"/>
          <w:color w:val="auto"/>
        </w:rPr>
        <w:t>The following table contains information as of May 31, 2002 concerning the beneficial ownership of the Company's common shares by all directors and nominees, by the named executive officers in the Summary Compensation table, by all current directors and executive officers as a group and by shareholders known to the Company to beneficially own more than 5% of its common shares. Unless otherwise noted, the address for each shareholder listed below is the Company's executive offices.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240" w:type="dxa"/>
            <w:vAlign w:val="bottom"/>
          </w:tcPr>
          <w:p>
            <w:pPr>
              <w:spacing w:after="0"/>
              <w:rPr>
                <w:sz w:val="15"/>
                <w:szCs w:val="15"/>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Shares(a)</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848,745(b)</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2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200,497(c)</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L. Hahn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110,555(d)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Donald L. Shipp</w:t>
            </w:r>
          </w:p>
        </w:tc>
        <w:tc>
          <w:tcPr>
            <w:tcW w:w="2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115,608(e)</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61,024(f)</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24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21,342(g)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G. Robert Gey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4,088</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17,549(h)</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777(i)</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2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19,465(j)</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7,544(k)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All current directors and officers as a group (13 persons)</w:t>
            </w:r>
          </w:p>
        </w:tc>
        <w:tc>
          <w:tcPr>
            <w:tcW w:w="2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579,187(l)</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2,199,642(m)</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-2226945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-2226945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-2226945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-2226945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-2226945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36"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Unless otherwise noted, all shares shown are held by shareholders possessing sole voting and investment power with respect to such shares.</w:t>
      </w:r>
    </w:p>
    <w:p>
      <w:pPr>
        <w:spacing w:after="0" w:line="45" w:lineRule="exact"/>
        <w:rPr>
          <w:rFonts w:ascii="Arial" w:cs="Arial" w:eastAsia="Arial" w:hAnsi="Arial"/>
          <w:sz w:val="16"/>
          <w:szCs w:val="16"/>
          <w:color w:val="auto"/>
        </w:rPr>
      </w:pPr>
    </w:p>
    <w:p>
      <w:pPr>
        <w:ind w:left="540" w:right="320" w:hanging="532"/>
        <w:spacing w:after="0" w:line="28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Form 13F Holdings Report filed by Royce &amp; Associates, LLC with the Securities and Exchange Commission on May 7, 2002 for the period ended March 31, 2002. The address for Royce &amp; Associates is 1414 Avenue of the Americas, New York, NY 10019.</w:t>
      </w:r>
    </w:p>
    <w:p>
      <w:pPr>
        <w:spacing w:after="0" w:line="7" w:lineRule="exact"/>
        <w:rPr>
          <w:rFonts w:ascii="Arial" w:cs="Arial" w:eastAsia="Arial" w:hAnsi="Arial"/>
          <w:sz w:val="16"/>
          <w:szCs w:val="16"/>
          <w:color w:val="auto"/>
        </w:rPr>
      </w:pPr>
    </w:p>
    <w:p>
      <w:pPr>
        <w:ind w:left="540" w:hanging="532"/>
        <w:spacing w:after="0" w:line="30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64,195 shares held by Mr. Hawkins' wife as to which he may be deemed to share voting and investment power, but as to which he disclaims beneficial ownership; and 34,446 shares that Mr. Hawkins holds jointly with his wife as to which he shares voting and investment power. Does not include shares representing the beneficial interest of Mr. Hawkins as of March 31, 2002 in the Company's Employee Stock Ownership Plan (104,129 shares).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60" w:hanging="532"/>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7,018 shares that Mr. Hahn holds jointly with his wife as to which he shares voting and investment power. Does not include shares representing Mr. Hahn's beneficial interest as of March 31, 2002 in the Company's Employee Stock Ownership Plan (52,467 shares).</w:t>
      </w:r>
    </w:p>
    <w:p>
      <w:pPr>
        <w:spacing w:after="0" w:line="7" w:lineRule="exact"/>
        <w:rPr>
          <w:rFonts w:ascii="Arial" w:cs="Arial" w:eastAsia="Arial" w:hAnsi="Arial"/>
          <w:sz w:val="16"/>
          <w:szCs w:val="16"/>
          <w:color w:val="auto"/>
        </w:rPr>
      </w:pPr>
    </w:p>
    <w:p>
      <w:pPr>
        <w:jc w:val="both"/>
        <w:ind w:left="540" w:right="560" w:hanging="532"/>
        <w:spacing w:after="0" w:line="25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60,000 shares held by Mr. Shipp's wife as to which he may be deemed to share voting and investment power, but as to which he disclaims beneficial ownership. Does not include shares representing Mr. Shipp's beneficial interest as of March 31, 2002 in the Company's Employee Stock Ownership Plan (181,641 shares).</w:t>
      </w:r>
    </w:p>
    <w:p>
      <w:pPr>
        <w:spacing w:after="0" w:line="7" w:lineRule="exact"/>
        <w:rPr>
          <w:rFonts w:ascii="Arial" w:cs="Arial" w:eastAsia="Arial" w:hAnsi="Arial"/>
          <w:sz w:val="18"/>
          <w:szCs w:val="18"/>
          <w:color w:val="auto"/>
        </w:rPr>
      </w:pPr>
    </w:p>
    <w:p>
      <w:pPr>
        <w:ind w:left="540" w:right="740" w:hanging="532"/>
        <w:spacing w:after="0" w:line="305" w:lineRule="auto"/>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50,270 shares that Mr. Hawkins holds jointly with his wife as to which he shares voting and investment power. Does not include shares representing Mr. Hawkins' beneficial interest as of March 31, 2002 in the Company's Employee Stock Ownership Plan (125,300 shares).</w:t>
      </w:r>
    </w:p>
    <w:p>
      <w:pPr>
        <w:spacing w:after="0" w:line="20" w:lineRule="exact"/>
        <w:rPr>
          <w:rFonts w:ascii="Arial" w:cs="Arial" w:eastAsia="Arial" w:hAnsi="Arial"/>
          <w:sz w:val="15"/>
          <w:szCs w:val="15"/>
          <w:color w:val="auto"/>
        </w:rPr>
      </w:pPr>
    </w:p>
    <w:p>
      <w:pPr>
        <w:ind w:left="540" w:right="100" w:hanging="532"/>
        <w:spacing w:after="0" w:line="25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823 shares held by Mr. McKeon as custodian for his children as to which Mr. McKeon has sole voting and investment power, but as to which he disclaims beneficial ownership.</w:t>
      </w:r>
    </w:p>
    <w:p>
      <w:pPr>
        <w:spacing w:after="0" w:line="7" w:lineRule="exact"/>
        <w:rPr>
          <w:rFonts w:ascii="Arial" w:cs="Arial" w:eastAsia="Arial" w:hAnsi="Arial"/>
          <w:sz w:val="18"/>
          <w:szCs w:val="18"/>
          <w:color w:val="auto"/>
        </w:rPr>
      </w:pPr>
    </w:p>
    <w:p>
      <w:pPr>
        <w:ind w:left="540" w:right="200" w:hanging="532"/>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1,428 shares held by Mr. Norman's wife as custodian for their children, as to which he disclaims beneficial ownership. Does not include shares representing the beneficial interest of Mr. Norman as of March 31, 2002 in the Company's Employee Stock Ownership Plan (30,531 shares).</w:t>
      </w:r>
    </w:p>
    <w:p>
      <w:pPr>
        <w:spacing w:after="0" w:line="7" w:lineRule="exact"/>
        <w:rPr>
          <w:rFonts w:ascii="Arial" w:cs="Arial" w:eastAsia="Arial" w:hAnsi="Arial"/>
          <w:sz w:val="16"/>
          <w:szCs w:val="16"/>
          <w:color w:val="auto"/>
        </w:rPr>
      </w:pPr>
    </w:p>
    <w:p>
      <w:pPr>
        <w:ind w:left="540" w:right="240" w:hanging="532"/>
        <w:spacing w:after="0" w:line="25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Dee as of March 31, 2002 in the Company's Employee Stock Ownership Plan (2,590 shares).</w:t>
      </w:r>
    </w:p>
    <w:p>
      <w:pPr>
        <w:spacing w:after="0" w:line="21"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Sevenich as of March 31, 2002 in the Company's Employee Stock Ownership Plan (20,549 shares).</w:t>
      </w:r>
    </w:p>
    <w:p>
      <w:pPr>
        <w:sectPr>
          <w:pgSz w:w="11900" w:h="16838" w:orient="portrait"/>
          <w:cols w:equalWidth="0" w:num="1">
            <w:col w:w="11420"/>
          </w:cols>
          <w:pgMar w:left="240" w:top="341" w:right="239" w:bottom="0" w:gutter="0" w:footer="0" w:header="0"/>
        </w:sectPr>
      </w:pPr>
    </w:p>
    <w:bookmarkStart w:id="3" w:name="page4"/>
    <w:bookmarkEnd w:id="3"/>
    <w:p>
      <w:pPr>
        <w:spacing w:after="0" w:line="46" w:lineRule="exact"/>
        <w:rPr>
          <w:sz w:val="20"/>
          <w:szCs w:val="20"/>
          <w:color w:val="auto"/>
        </w:rPr>
      </w:pPr>
    </w:p>
    <w:p>
      <w:pPr>
        <w:ind w:left="540" w:right="280" w:hanging="532"/>
        <w:spacing w:after="0" w:line="25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Paulson holds these shares with her spouse and shares voting and investment power. Does not include shares representing the beneficial interest of Ms. Paulson as of March 31, 2002 in the Company's Employee Stock Ownership Plan (66,346 shares).</w:t>
      </w:r>
    </w:p>
    <w:p>
      <w:pPr>
        <w:spacing w:after="0" w:line="21" w:lineRule="exact"/>
        <w:rPr>
          <w:rFonts w:ascii="Arial" w:cs="Arial" w:eastAsia="Arial" w:hAnsi="Arial"/>
          <w:sz w:val="18"/>
          <w:szCs w:val="18"/>
          <w:color w:val="auto"/>
        </w:rPr>
      </w:pPr>
    </w:p>
    <w:p>
      <w:pPr>
        <w:ind w:left="540" w:right="740" w:hanging="532"/>
        <w:spacing w:after="0" w:line="25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the directors and officers as of March 31, 2002 in the Company's Employee Stock Ownership Plan (595,795 shares).</w:t>
      </w:r>
    </w:p>
    <w:p>
      <w:pPr>
        <w:spacing w:after="0" w:line="7" w:lineRule="exact"/>
        <w:rPr>
          <w:rFonts w:ascii="Arial" w:cs="Arial" w:eastAsia="Arial" w:hAnsi="Arial"/>
          <w:sz w:val="18"/>
          <w:szCs w:val="18"/>
          <w:color w:val="auto"/>
        </w:rPr>
      </w:pPr>
    </w:p>
    <w:p>
      <w:pPr>
        <w:ind w:left="540" w:right="20" w:hanging="532"/>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trustees of the Hawkins, Inc. Employee Stock Ownership Plan and Trust are John R. Hawkins, Kurt R. Norman, and Marvin E. Dee. Although these individuals could be deemed to "beneficially own" all of the shares held by this Plan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and Trust.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PROPOSALS TO BE ACTED UPON AT THE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19"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At the forthcoming meeting, nine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and broker non-votes have the effect of a vote against the nominees.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May 31, 2002; all positions are with the Company unless otherwise noted.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tcPr>
          <w:p>
            <w:pPr>
              <w:ind w:left="218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340" w:type="dxa"/>
            <w:vAlign w:val="bottom"/>
          </w:tcPr>
          <w:p>
            <w:pPr>
              <w:spacing w:after="0"/>
              <w:rPr>
                <w:sz w:val="15"/>
                <w:szCs w:val="15"/>
                <w:color w:val="auto"/>
              </w:rPr>
            </w:pPr>
          </w:p>
        </w:tc>
        <w:tc>
          <w:tcPr>
            <w:tcW w:w="5600" w:type="dxa"/>
            <w:vAlign w:val="bottom"/>
          </w:tcPr>
          <w:p>
            <w:pPr>
              <w:ind w:left="2300"/>
              <w:spacing w:after="0"/>
              <w:rPr>
                <w:sz w:val="20"/>
                <w:szCs w:val="20"/>
                <w:color w:val="auto"/>
              </w:rPr>
            </w:pPr>
            <w:r>
              <w:rPr>
                <w:rFonts w:ascii="Arial" w:cs="Arial" w:eastAsia="Arial" w:hAnsi="Arial"/>
                <w:sz w:val="14"/>
                <w:szCs w:val="14"/>
                <w:b w:val="1"/>
                <w:bCs w:val="1"/>
                <w:color w:val="auto"/>
              </w:rPr>
              <w:t>and Employment</w:t>
            </w:r>
          </w:p>
        </w:tc>
        <w:tc>
          <w:tcPr>
            <w:tcW w:w="34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Chairman of the Board and Chief Executive Officer since February 2000;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President from December 1998 to February 2000; Executive Vice President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from 1997 to December 1998; Vice President of Sales from 1987 to 1997;</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Secretary from 1991 to 1999.</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Kurt R. Norman</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President and Chief Operating Officer since February 2000; Vice President</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from February 1999 to February 2000; Vice President, Hawkins Water</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Treatment Group from 1996 to February 1999; General Manager of Hawkins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Water Treatment Group from 1988 to 1996.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Dean L. Hahn</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Retired; Chairman of the Board and Chief Executive Officer from 1996 to</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2000; President from 1983 to 1996.</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Donald L. Shipp</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Retired; Vice Chairman from December 1998 to September 2000; President</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67</w:t>
            </w:r>
          </w:p>
        </w:tc>
        <w:tc>
          <w:tcPr>
            <w:tcW w:w="800" w:type="dxa"/>
            <w:vAlign w:val="bottom"/>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from 1996 to December 1998; Executive Vice President from 1983 to 1996;</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0"/>
              </w:rPr>
              <w:t>President of Feed-Rite Controls, Inc., then a subsidiary of the Company, from</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1967 to 1996.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Retired; Treasurer from 1973 to 1999; Vice President from 1996 to 1999.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John S. McKeon</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of Golden Valley Microwave Foods, Inc. since August 1993;</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800" w:type="dxa"/>
            <w:vAlign w:val="bottom"/>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President of McKeon Associates, Inc. 1991 to 1993 (corporate finance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consulting); Vice President of Northstar Industries, Inc. 1976 to 1990.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1"/>
              </w:rPr>
              <w:t>Retired; Vice President of Operations, Taylor Corporation from 1985 to 1999.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 Robert Gey</w:t>
            </w: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9"/>
              </w:rPr>
              <w:t>President of The Fuller Brush Company since 2002; President, Pentair Service</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80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Equipment Business from 1996 to 2001; Vice President, Pentair Corporate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9"/>
              </w:rPr>
              <w:t>Development from 1995 to 1996; President, Niagara Paper Corp. from 1992 to</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1995; various positions with Pentair, Inc. from 1983 to 1992.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Daryl I. Skaar</w:t>
            </w: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Retired; Vice President, Chief Procurement Officer of Lucent Technologies</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1"/>
              </w:rPr>
              <w:t>from 1997 to 2000; various positions at 3M from 1965 to 1997, most recently</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 Vice President of Purchasing and Packaging Engineering.</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-3648075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-3648075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-3648075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-3648075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-3648075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-3648075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-3648075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-3648075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Howard M. Hawkins and John R. Hawkins are brothers. Donald L. Shipp is the father-in-law of Kurt R. Norman. There are no other family relationships between any executive officers or directors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Board of Directors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Board of Directors held four meetings during the twelve-month period ended March 31, 2002. All directors attended at least 75% of the total number of meetings of the Board and the committees on which they served. The Audit Committee, which presently consists of John S. McKeon, Duane M. Jergenson, G.</w:t>
      </w:r>
    </w:p>
    <w:p>
      <w:pPr>
        <w:sectPr>
          <w:pgSz w:w="11900" w:h="16885" w:orient="portrait"/>
          <w:cols w:equalWidth="0" w:num="1">
            <w:col w:w="11420"/>
          </w:cols>
          <w:pgMar w:left="240" w:top="145" w:right="239" w:bottom="0" w:gutter="0" w:footer="0" w:header="0"/>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t>Robert Gey and Daryl I. Skaar is responsible for selecting auditors, ensuring the fiscal integrity of the Company, and establishing and reviewing internal controls. The Audit Committee held four meetings during the twelve-month period ended March 31, 2002. The Compensation Committee, which consists of John S. McKeon, Duane M. Jergenson, G. Robert Gey and Daryl I. Skaar is responsible for establishing compensation policies for the Company and for reviewing and setting compensation for senior executives of the Company. The Compensation Committee held five meetings during the twelve-month period ended March 31,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Sections 8 through 11 of Article II of the Company's Second Amended and Superseding By-Laws, as currently in effect (the "Bylaws"), provide that a candidate may not be nominated for election as a director at the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During the six-month transitional period ended March 31, 2002, each director who is not an employee of the Company was paid $6,000 as a retainer plus $1,000 for each meeting attended.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Management does not know of any other business which will be presented for consideration at the meeting. If, however, any other business does properly come before the meeting, proxies will be voted in accordance with the judgment of the person or persons acting under them as to what is in the best interests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Representatives of Deloitte &amp; Touche LLP are expected to attend this meeting with the opportunity to make a statement if they desire. They will be available to respond to appropriate questions.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Audit Committee of the Board of Directors is responsible for selecting auditors, ensuring the fiscal integrity of the Company and establishing and reviewing internal controls. The Audit Committee operates under a written charter adopted by the Board of Directors, a copy of which is attached to this Proxy Statement as Appendix I. The Audit Committee was comprised of the following directors during the six-month transitional period ended March 31, 2002:</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John S. McKeon, Chair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Duane M. Jergenson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 Robert Gey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Daryl I. Skaar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-633730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-633730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the six-month transitional period ended March 31, 2002, the Committee considered the revised requirements for members of audit committees adopted by the Securities and Exchange Commission ("SEC"). All of the members of the Committee have been determined to be independent. None of the members of the Committee were officers or employees of the Company during the six-month transitional period ended March 31, 2002 or had a relationship with the Company that would, in the opinion of the Board of Directors, interfere with the exercise of his independence from management and the Company. All members of the Audit Committee have substantial experience in financial matters and business operations.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Audit Committee has (i) reviewed and discussed the Company's audited financial statements with management; (ii) discussed with the Company's independent auditors, Deloitte &amp; Touche, LLP, the matters required to be discussed by Statement on Auditing Standards No. 61; and (iii) received from the auditors disclosures regarding the auditors' independence required by Independence Standards Board Standard No. 1 and discussed with the auditors the auditors' independence (iv) considered whether the level of non-audit services provided by Deloitte &amp; Touche LLP is compatible with maintaining the independence of its auditors.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six-month transitional period ended March 31, 2002, Deloitte &amp; Touche LLP provided various audit, audit related and non-audit services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ectPr>
          <w:pgSz w:w="11900" w:h="16838" w:orient="portrait"/>
          <w:cols w:equalWidth="0" w:num="1">
            <w:col w:w="11380"/>
          </w:cols>
          <w:pgMar w:left="240" w:top="131" w:right="279" w:bottom="0" w:gutter="0" w:footer="0" w:header="0"/>
        </w:sectPr>
      </w:pPr>
    </w:p>
    <w:bookmarkStart w:id="5" w:name="page6"/>
    <w:bookmarkEnd w:id="5"/>
    <w:p>
      <w:pPr>
        <w:ind w:left="1080" w:right="40" w:hanging="532"/>
        <w:spacing w:after="0" w:line="28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 Fees: Audit fees for professional services rendered for the audit of the Company's financial statements and review of financial statements in the Company's Form 10-Q Report during the six-month transitional period ended March 31, 2002 were $80,000.</w:t>
      </w:r>
    </w:p>
    <w:p>
      <w:pPr>
        <w:spacing w:after="0" w:line="20" w:lineRule="exact"/>
        <w:rPr>
          <w:rFonts w:ascii="Arial" w:cs="Arial" w:eastAsia="Arial" w:hAnsi="Arial"/>
          <w:sz w:val="16"/>
          <w:szCs w:val="16"/>
          <w:color w:val="auto"/>
        </w:rPr>
      </w:pPr>
    </w:p>
    <w:p>
      <w:pPr>
        <w:ind w:left="1080" w:right="140" w:hanging="532"/>
        <w:spacing w:after="0" w:line="25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 Fees: Aggregate fees billed for services rendered in the six-month transitional period ended March 31, 2002 were $0.</w:t>
      </w:r>
    </w:p>
    <w:p>
      <w:pPr>
        <w:spacing w:after="0" w:line="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Fees: Fees billed during the six-month transitional period ended March 31, 2002 for all other services, including benefit plan audits and other, totaled $20,000.</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Based on the review and discussions described above, the Audit Committee recommended to the Board of Directors that the Company's audited financial statements for the six-month transitional period ended March 31, 2002 be included in the Company's Report on Form 10-KT for filing with the SEC. Additionally, the Audit Committee reviewed the Company's quarterly results prior to public release.</w:t>
      </w:r>
    </w:p>
    <w:p>
      <w:pPr>
        <w:spacing w:after="0" w:line="194" w:lineRule="exact"/>
        <w:rPr>
          <w:sz w:val="20"/>
          <w:szCs w:val="20"/>
          <w:color w:val="auto"/>
        </w:rPr>
      </w:pPr>
    </w:p>
    <w:p>
      <w:pPr>
        <w:ind w:left="560"/>
        <w:spacing w:after="0"/>
        <w:tabs>
          <w:tab w:leader="none" w:pos="3880" w:val="left"/>
          <w:tab w:leader="none" w:pos="7080" w:val="left"/>
          <w:tab w:leader="none" w:pos="9860" w:val="left"/>
        </w:tabs>
        <w:rPr>
          <w:sz w:val="20"/>
          <w:szCs w:val="20"/>
          <w:color w:val="auto"/>
        </w:rPr>
      </w:pPr>
      <w:r>
        <w:rPr>
          <w:rFonts w:ascii="Arial" w:cs="Arial" w:eastAsia="Arial" w:hAnsi="Arial"/>
          <w:sz w:val="18"/>
          <w:szCs w:val="18"/>
          <w:i w:val="1"/>
          <w:iCs w:val="1"/>
          <w:color w:val="auto"/>
        </w:rPr>
        <w:t>John S. McKeon,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AND OTHER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compensation of the Chief Executive Officer and the four highest paid executive officers (collectively, the "Named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rPr>
              <w:t>Fiscal</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5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Compensation(a)</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Compensation(b)(c)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Hawkins(1)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Chairman of the Board 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156,000</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160,000</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173,400</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560" w:type="dxa"/>
            <w:vAlign w:val="bottom"/>
            <w:gridSpan w:val="4"/>
          </w:tcPr>
          <w:p>
            <w:pPr>
              <w:spacing w:after="0"/>
              <w:rPr>
                <w:sz w:val="20"/>
                <w:szCs w:val="20"/>
                <w:color w:val="auto"/>
              </w:rPr>
            </w:pPr>
            <w:r>
              <w:rPr>
                <w:rFonts w:ascii="Arial" w:cs="Arial" w:eastAsia="Arial" w:hAnsi="Arial"/>
                <w:sz w:val="18"/>
                <w:szCs w:val="18"/>
                <w:color w:val="auto"/>
              </w:rPr>
              <w:t>Kurt R. Norman(2)</w:t>
            </w:r>
          </w:p>
        </w:tc>
        <w:tc>
          <w:tcPr>
            <w:tcW w:w="680" w:type="dxa"/>
            <w:vAlign w:val="bottom"/>
          </w:tcPr>
          <w:p>
            <w:pPr>
              <w:jc w:val="right"/>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72,500</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President and Chief</w:t>
            </w:r>
          </w:p>
        </w:tc>
        <w:tc>
          <w:tcPr>
            <w:tcW w:w="680" w:type="dxa"/>
            <w:vAlign w:val="bottom"/>
          </w:tcPr>
          <w:p>
            <w:pPr>
              <w:jc w:val="right"/>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140,000</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Operating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130,915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143,000</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149,000</w:t>
            </w: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Marvin E. Dee(3)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President—Chief Financial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72,000</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Secretary and Treasurer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64,000</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560" w:type="dxa"/>
            <w:vAlign w:val="bottom"/>
            <w:gridSpan w:val="4"/>
          </w:tcPr>
          <w:p>
            <w:pPr>
              <w:spacing w:after="0"/>
              <w:rPr>
                <w:sz w:val="20"/>
                <w:szCs w:val="20"/>
                <w:color w:val="auto"/>
              </w:rPr>
            </w:pPr>
            <w:r>
              <w:rPr>
                <w:rFonts w:ascii="Arial" w:cs="Arial" w:eastAsia="Arial" w:hAnsi="Arial"/>
                <w:sz w:val="18"/>
                <w:szCs w:val="18"/>
                <w:color w:val="auto"/>
              </w:rPr>
              <w:t>Keenan A. Paulson</w:t>
            </w:r>
          </w:p>
        </w:tc>
        <w:tc>
          <w:tcPr>
            <w:tcW w:w="680" w:type="dxa"/>
            <w:vAlign w:val="bottom"/>
          </w:tcPr>
          <w:p>
            <w:pPr>
              <w:jc w:val="right"/>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59,750</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Vice President—Water Treatment Group</w:t>
            </w:r>
          </w:p>
        </w:tc>
        <w:tc>
          <w:tcPr>
            <w:tcW w:w="680" w:type="dxa"/>
            <w:vAlign w:val="bottom"/>
          </w:tcPr>
          <w:p>
            <w:pPr>
              <w:jc w:val="right"/>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68,000</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68,000</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67,800</w:t>
            </w: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58,250</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President—Manufacturing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74,000</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Specialty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74,000</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-3804920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-3804920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-3462020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-3462020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-3462020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-3462020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-3462020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-3462020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-3462020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-3462020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-3462020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-3462020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-3462020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33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changed its fiscal year from the Sunday closest to September 30 to the Sunday closest to March 31, beginning after a six-month transitional period ended March 31, 2002. Fiscal year 2002 compensation reflects the six-month period ended March 31, 2002.</w:t>
      </w:r>
    </w:p>
    <w:p>
      <w:pPr>
        <w:spacing w:after="0" w:line="166"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Hawkins was elected Chairman and CEO effective February 16, 2000.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Norman was elected President and COO effective February 16, 2000.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Dee has been the Company's Chief Financial Officer since September 1999 and was elected Secretary and Treasurer in December 1999.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Employee Stock Purchase Plan</w:t>
      </w:r>
    </w:p>
    <w:p>
      <w:pPr>
        <w:spacing w:after="0" w:line="231"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All employees of the Company who have attained the age of 18 years and who have been employed by the Company for 90 days are eligible to participate in the Company's Employee Stock Purchase Plan. Under the Plan, each participant authorizes the Company to deduct a specified amount, not to exceed $500, from the participant's paycheck each month, to which the Company generally adds a bonus of 75% of such amount, to be used by a depository agent to purchase shares of the Company's common stock for the participant's individual account under the Plan. Historically, shares purchased with the Company's bonus vest over a five-year schedule, but effective April 1, 2002, shares purchased with the Company's bonus are immediately vested.</w:t>
      </w:r>
    </w:p>
    <w:p>
      <w:pPr>
        <w:sectPr>
          <w:pgSz w:w="11900" w:h="16838" w:orient="portrait"/>
          <w:cols w:equalWidth="0" w:num="1">
            <w:col w:w="11420"/>
          </w:cols>
          <w:pgMar w:left="240" w:top="145" w:right="239" w:bottom="72"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72"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(b) Money Purchase Pension Plan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Non-bargaining employees of the Company who have attained the age of 21 years and completed one year of service are eligible to participate in this defined contribution pension plan. Each year, the Company contributes a percentage of an eligible participant's compensation and this amount is credited to an account maintained for the participant under the Plan. The Company contributed 11% for the six-month transitional period ended March 31, 2002, 10% for the fiscal years ended September 30, 2001 and October 1, 2000, and 7% for the fiscal year ended October 3, 1999. The maximum annual compensation that may be used to determine Plan benefits is capped at $170,000 for the current plan year; this limit will be adjusted in future years under federal tax law for cost-of-living increases.</w:t>
      </w:r>
    </w:p>
    <w:p>
      <w:pPr>
        <w:spacing w:after="0" w:line="19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Ownership Plan</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Non-bargaining employees of the Company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is capped at $170,000 for the current plan year; this limit will be adjusted in future years under federal tax law for cost-of-living increases. In addition, the aggregate amount contributed in any one plan year for a participant under the Money Purchase Pension Plan and Employee Stock Ownership Plan may not exceed the lesser of 25% of compensation or $35,000.</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Option/SAR Grants and Exercises During the Six-Month Transitional Period Ended March 31, 2002</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were no options or SAR's granted to or exercised by the Named Executive Officers during the six-month transitional period ended March 31, 2002.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Repricing of Options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decisions regarding compensation of executive officers of the Company during the six-month transitional period ended March 31, 2002 were made by the Compensation Committee of the Board of Directors. During the six-month transitional period ended March 31, 2002, the Compensation Committee was made up of the following directors: John S. McKeon, Duane M. Jergenson, G. Robert Gey and Daryl I. Skaar. None of the executive officers of the Company participates in any board vote setting his or her annual salary or bonus. During the six-month transitional period, none of the members of the Compensation Committee were officers or employees of the Company and there were no interlock relationships.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 ON ANNUAL COMPENSATION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annual compensation programs of the Company are designed to create incentives and reward performance. The Company's annual compensation mix generally has lower base salaries than comparable companies, coupled with an incentive system that rewards good performance and the achievement of Company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Salaries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Salary increases of the Company's executive officers are made based on inflation, performance and increase in corporate profits.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bonus plan for executive officers uses the following factors: corporate performance, business unit performance and personal performance. The corporate performance rating is based on the Company's percentage growth in earnings per share over the prior year and its return on equity because these two factors are the primary determinants of share price over time. Business unit ratings are based primarily on profit performance (market share performance, new product development, workplace diversity and other factors are also considered). Personal ratings generally reflect such qualitative factors as quality of the strategic plan, organizational and management development progress and industry considerations, public affairs, and civic involvement.</w:t>
      </w:r>
    </w:p>
    <w:p>
      <w:pPr>
        <w:spacing w:after="0" w:line="170"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ectPr>
          <w:pgSz w:w="11900" w:h="16838" w:orient="portrait"/>
          <w:cols w:equalWidth="0" w:num="1">
            <w:col w:w="11420"/>
          </w:cols>
          <w:pgMar w:left="240" w:top="584"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compensation of John R. Hawkins, Chief Executive Officer, is determined in the same manner as set forth above for all other executive officers.</w:t>
      </w:r>
    </w:p>
    <w:p>
      <w:pPr>
        <w:spacing w:after="0" w:line="248" w:lineRule="exact"/>
        <w:rPr>
          <w:sz w:val="20"/>
          <w:szCs w:val="20"/>
          <w:color w:val="auto"/>
        </w:rPr>
      </w:pPr>
    </w:p>
    <w:p>
      <w:pPr>
        <w:ind w:left="400"/>
        <w:spacing w:after="0"/>
        <w:tabs>
          <w:tab w:leader="none" w:pos="3380" w:val="left"/>
          <w:tab w:leader="none" w:pos="6900" w:val="left"/>
          <w:tab w:leader="none" w:pos="9920" w:val="left"/>
        </w:tabs>
        <w:rPr>
          <w:sz w:val="20"/>
          <w:szCs w:val="20"/>
          <w:color w:val="auto"/>
        </w:rPr>
      </w:pPr>
      <w:r>
        <w:rPr>
          <w:rFonts w:ascii="Arial" w:cs="Arial" w:eastAsia="Arial" w:hAnsi="Arial"/>
          <w:sz w:val="18"/>
          <w:szCs w:val="18"/>
          <w:i w:val="1"/>
          <w:iCs w:val="1"/>
          <w:color w:val="auto"/>
        </w:rPr>
        <w:t>John S. McKeon</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COMPARATIVE STOCK PERFORMANCE GRAPH</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is a graph comparing the percentage change in the cumulative total shareholder return on the Company's common stock with the cumulative total returns of the NASDAQ Composite Index and the NASDAQ Industrial Index for the Company's last five fiscal years and the six-month transitional period ended March 31, 2002. The graph assumes the investment of $100 in the Company's Common Stock, the NASDAQ Composite Index and the NASDAQ Industrial Index on September 29, 1996,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130810</wp:posOffset>
            </wp:positionV>
            <wp:extent cx="5685790" cy="3481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5790"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PROPOSALS BY SHAREHOLDERS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order for a shareholder proposal to be considered for inclusion in the Company's proxy statement for next year's annual meeting, the written proposal must be received by the Company at its principal executive office no later than March 17, 2003. Any such proposals also must comply with the rules and regulations of the Securities and Exchange Commission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May 31, 2003. The persons named as proxies by the Company for that meeting will have discretionary authority to vote on any shareholder proposal for which such notice is not properly received by the Company and as otherwise permitted pursuant to the Commission's rules and regulations regarding the voting of proxies. Any director nominations made by shareholders also must comply with the relevant provisions set forth in Article I of the Company's Bylaws, as described under the caption "Election of Directors—Nominations" elsewhere in this proxy statement. A copy of the Bylaws have been filed with the Commission and are available on the Commission's website (www.sec.gov) or they may be obtained by sending a written request to the Corporate Secretary at the Company's headquarters.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10-KT</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Company's 2002 Report on Form 10-KT for the six-month transitional period ended March 31, 2002, including financial statements, are being mailed with this Proxy Statement. Shareholders who wish to obtain an additional copy of the Company's Report on Form 10-KT for the six-month transitional period ended March 31, 2002 may do so without charge by writing to: Hawkins, Inc., 3100 East Hennepin Avenue, Minneapolis, Minnesota 55413, Attention: Corporate Secretary. The report on Form 10-KT, as well as other Company reports, are also available on the Commission's website (www.sec.gov).</w:t>
      </w:r>
    </w:p>
    <w:p>
      <w:pPr>
        <w:spacing w:after="0" w:line="383"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Dated: July 15, 2002.</w:t>
      </w:r>
      <w:r>
        <w:rPr>
          <w:sz w:val="20"/>
          <w:szCs w:val="20"/>
          <w:color w:val="auto"/>
        </w:rPr>
        <w:tab/>
      </w:r>
      <w:r>
        <w:rPr>
          <w:rFonts w:ascii="Arial" w:cs="Arial" w:eastAsia="Arial" w:hAnsi="Arial"/>
          <w:sz w:val="16"/>
          <w:szCs w:val="16"/>
          <w:color w:val="auto"/>
        </w:rPr>
        <w:t>BY ORDER OF THE BOARD OF DIRECTORS</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ectPr>
          <w:pgSz w:w="11900" w:h="16838" w:orient="portrait"/>
          <w:cols w:equalWidth="0" w:num="1">
            <w:col w:w="11400"/>
          </w:cols>
          <w:pgMar w:left="240" w:top="131" w:right="25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80" w:firstLine="348"/>
        <w:spacing w:after="0" w:line="259" w:lineRule="auto"/>
        <w:rPr>
          <w:sz w:val="20"/>
          <w:szCs w:val="20"/>
          <w:color w:val="auto"/>
        </w:rPr>
      </w:pPr>
      <w:r>
        <w:rPr>
          <w:rFonts w:ascii="Arial" w:cs="Arial" w:eastAsia="Arial" w:hAnsi="Arial"/>
          <w:sz w:val="18"/>
          <w:szCs w:val="18"/>
          <w:color w:val="auto"/>
        </w:rPr>
        <w:t>The primary function of the Audit Committee is to assist the Board of Directors of Hawkins, Inc. in fulfilling its oversight responsibilities related to corporate accounting, financial reporting practices, quality and integrity of financial reports as well as legal compliance and business ethics. The Audit Committee's primary duties and responsibilities are to:</w:t>
      </w:r>
    </w:p>
    <w:p>
      <w:pPr>
        <w:spacing w:after="0" w:line="208" w:lineRule="exact"/>
        <w:rPr>
          <w:sz w:val="20"/>
          <w:szCs w:val="20"/>
          <w:color w:val="auto"/>
        </w:rPr>
      </w:pPr>
    </w:p>
    <w:p>
      <w:pPr>
        <w:ind w:left="1080" w:hanging="532"/>
        <w:spacing w:after="0"/>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Provide an open avenue of communication among the independent accountants, financial and senior management and the Board of Directors.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Serve as an independent and objective party to monitor the corporation's financial reporting process and internal control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 and appraise the audit efforts of the corporation's independent accountants.</w:t>
      </w:r>
    </w:p>
    <w:p>
      <w:pPr>
        <w:spacing w:after="0" w:line="219"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Membership</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5"/>
          <w:szCs w:val="15"/>
          <w:color w:val="auto"/>
        </w:rPr>
        <w:t>The Audit Committee shall be comprised of three or more directors as determined by the Board of Directors, each of whom shall be independent directors as</w:t>
      </w:r>
    </w:p>
    <w:p>
      <w:pPr>
        <w:spacing w:after="0" w:line="5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defined in Rule 4200 of the National Association of Securities Dealers, Inc. The members will be free from any financial, family or other material personal relationships that, in the opinion of the Board or Audit Committee members, would interfere with the exercise of his or her independence from management and the corporation. All members of the Audit Committee will have a working familiarity with basic finance and accounting practices, and at least one member of the Audit Committee must have accounting or related financial management experience.</w:t>
      </w:r>
    </w:p>
    <w:p>
      <w:pPr>
        <w:spacing w:after="0" w:line="169"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members of the Audit Committee shall be elected by the Board of Directors at the annual organizational meeting of the Board of Directors. Unless the Board of Directors elects a Chair, the members of the Audit Committee may designate a Chair by majority vote of the Committee.</w:t>
      </w:r>
    </w:p>
    <w:p>
      <w:pPr>
        <w:spacing w:after="0" w:line="133"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Meetings</w:t>
      </w:r>
    </w:p>
    <w:p>
      <w:pPr>
        <w:spacing w:after="0" w:line="231"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Audit Committee will meet at least four times annually, either in person or by conference calls. A majority shall constitute a quorum of the Audit Committee. A majority of the members in attendance shall decide any questions brought before any meeting of the Committee.</w:t>
      </w:r>
    </w:p>
    <w:p>
      <w:pPr>
        <w:spacing w:after="0" w:line="139"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part of its job to foster open communication, the Audit Committee has access to management and the independent accountants to discuss any matters that the Committee or any one of these groups feels need to be discussed privately. In addition, the Audit Committee or at least the Chair should meet with management quarterly to review the corporation's quarterly financial results prior to release.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5"/>
          <w:szCs w:val="15"/>
          <w:b w:val="1"/>
          <w:bCs w:val="1"/>
          <w:color w:val="auto"/>
        </w:rPr>
        <w:t>Responsibilities and Duties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will fulfill their duties and responsibilities as follows:</w:t>
      </w:r>
    </w:p>
    <w:p>
      <w:pPr>
        <w:spacing w:after="0" w:line="225" w:lineRule="exact"/>
        <w:rPr>
          <w:sz w:val="20"/>
          <w:szCs w:val="20"/>
          <w:color w:val="auto"/>
        </w:rPr>
      </w:pPr>
    </w:p>
    <w:p>
      <w:pPr>
        <w:ind w:left="880" w:hanging="332"/>
        <w:spacing w:after="0"/>
        <w:tabs>
          <w:tab w:leader="none" w:pos="8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annually the formal written charter that is adopted by the full Board of Directors that specifies scope of responsibility, membership, etc.</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minutes or other records of meetings and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 Committee actions to the Board of Directors with recommendations the Committee may deem appropriate.</w:t>
      </w:r>
    </w:p>
    <w:p>
      <w:pPr>
        <w:spacing w:after="0" w:line="225" w:lineRule="exact"/>
        <w:rPr>
          <w:sz w:val="20"/>
          <w:szCs w:val="20"/>
          <w:color w:val="auto"/>
        </w:rPr>
      </w:pPr>
    </w:p>
    <w:p>
      <w:pPr>
        <w:ind w:left="880" w:hanging="332"/>
        <w:spacing w:after="0"/>
        <w:tabs>
          <w:tab w:leader="none" w:pos="8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Independent Accountants</w:t>
      </w:r>
    </w:p>
    <w:p>
      <w:pPr>
        <w:spacing w:after="0" w:line="239" w:lineRule="exact"/>
        <w:rPr>
          <w:sz w:val="20"/>
          <w:szCs w:val="20"/>
          <w:color w:val="auto"/>
        </w:rPr>
      </w:pPr>
    </w:p>
    <w:p>
      <w:pPr>
        <w:ind w:left="1080" w:right="4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of Directors the selection of independent accountants for the annual financial audit, considering independence and effectiveness. Review and approve the discharge of the independent accountants.</w:t>
      </w:r>
    </w:p>
    <w:p>
      <w:pPr>
        <w:spacing w:after="0" w:line="212" w:lineRule="exact"/>
        <w:rPr>
          <w:rFonts w:ascii="Arial" w:cs="Arial" w:eastAsia="Arial" w:hAnsi="Arial"/>
          <w:sz w:val="18"/>
          <w:szCs w:val="18"/>
          <w:color w:val="auto"/>
        </w:rPr>
      </w:pPr>
    </w:p>
    <w:p>
      <w:pPr>
        <w:ind w:left="1080" w:right="780" w:hanging="532"/>
        <w:spacing w:after="0" w:line="370"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Consult with independent accountants, with and without (at least once per year without) management's presence about internal controls, disagreements between the independent accountants and management, and the completeness/accuracy of financial statements.</w:t>
      </w:r>
    </w:p>
    <w:p>
      <w:pPr>
        <w:spacing w:after="0" w:line="129" w:lineRule="exact"/>
        <w:rPr>
          <w:rFonts w:ascii="Arial" w:cs="Arial" w:eastAsia="Arial" w:hAnsi="Arial"/>
          <w:sz w:val="15"/>
          <w:szCs w:val="15"/>
          <w:color w:val="auto"/>
        </w:rPr>
      </w:pPr>
    </w:p>
    <w:p>
      <w:pPr>
        <w:ind w:left="1080" w:right="3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prior to the annual audit, the scope and general extent of the independent accountants' audit examinations, including their engagement letter.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apprised on audit work performed by other accounting firms that the independent accountants rely upon.</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annual basis, review and discuss with the accountants all significant relationships the accountants have with the corporation to determine the accountants' independence. This should include a review of management consulting services.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Consider results of the independent accountants' last peer review, litigation status and disciplinary actions, if any.</w:t>
      </w:r>
    </w:p>
    <w:p>
      <w:pPr>
        <w:sectPr>
          <w:pgSz w:w="11900" w:h="16838" w:orient="portrait"/>
          <w:cols w:equalWidth="0" w:num="1">
            <w:col w:w="11420"/>
          </w:cols>
          <w:pgMar w:left="240" w:top="131" w:right="239" w:bottom="0" w:gutter="0" w:footer="0" w:header="0"/>
        </w:sectPr>
      </w:pPr>
    </w:p>
    <w:bookmarkStart w:id="9" w:name="page10"/>
    <w:bookmarkEnd w:id="9"/>
    <w:p>
      <w:pPr>
        <w:ind w:left="1080" w:right="4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Committee shall have a clear understanding with management and the independent auditors that the independent auditors are ultimately accountable to the Board of Directors and the Audit Committee, as representatives of the Company's shareholders.</w:t>
      </w:r>
    </w:p>
    <w:p>
      <w:pPr>
        <w:spacing w:after="0" w:line="139" w:lineRule="exact"/>
        <w:rPr>
          <w:sz w:val="20"/>
          <w:szCs w:val="20"/>
          <w:color w:val="auto"/>
        </w:rPr>
      </w:pPr>
    </w:p>
    <w:p>
      <w:pPr>
        <w:ind w:left="880" w:hanging="332"/>
        <w:spacing w:after="0"/>
        <w:tabs>
          <w:tab w:leader="none" w:pos="8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Statements/Internal Controls</w:t>
      </w:r>
    </w:p>
    <w:p>
      <w:pPr>
        <w:spacing w:after="0" w:line="252" w:lineRule="exact"/>
        <w:rPr>
          <w:sz w:val="20"/>
          <w:szCs w:val="20"/>
          <w:color w:val="auto"/>
        </w:rPr>
      </w:pPr>
    </w:p>
    <w:p>
      <w:pPr>
        <w:ind w:left="1080" w:right="320" w:hanging="532"/>
        <w:spacing w:after="0" w:line="370"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Review annual financial statements with management and the independent accountants to determine that the independent auditors are satisfied with the disclosure and content of the financial statements, and approve such financial statements prior to release of the annual earnings.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the SEC Form 10-K prior to its filing.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Consider independent accountants' judgments regarding the quality and appropriateness of 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inquiries of management and independent accountants' concerning the adequacy of the corporation's system of internal controls.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Inquire of management and the independent accountants about significant risks or exposures, including legal matters, that exist and assess the steps management has taken to minimize such risks and exposures.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Following completion of the annual audit, be apprised of any significant difficulties encountered during the course of the audit, including any restrictions on the scope of work or access to required information.</w:t>
      </w:r>
    </w:p>
    <w:p>
      <w:pPr>
        <w:spacing w:after="0" w:line="186"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i w:val="1"/>
          <w:iCs w:val="1"/>
          <w:color w:val="auto"/>
        </w:rPr>
        <w:t>D.</w:t>
        <w:tab/>
        <w:t>Ethics and Business Conduct</w:t>
      </w:r>
    </w:p>
    <w:p>
      <w:pPr>
        <w:spacing w:after="0" w:line="252" w:lineRule="exact"/>
        <w:rPr>
          <w:sz w:val="20"/>
          <w:szCs w:val="20"/>
          <w:color w:val="auto"/>
        </w:rPr>
      </w:pPr>
    </w:p>
    <w:p>
      <w:pPr>
        <w:ind w:left="1080" w:right="1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the corporation's codes of conduct annually and direct management to establish a system reasonably designed to assure compliance with the code.</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above list represents examples of actions the Audit Committee may take in fulfilling their responsibilities. The list shall not be construed as mandatory functions of the committee. The Audit Committee has the power to conduct or authorize investigations into any matters within the committee's scope of responsibilities. The duties and responsibilities of a member of the Audit Committee are in addition to those duties set out for a member of the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ectPr>
          <w:pgSz w:w="11900" w:h="16838" w:orient="portrait"/>
          <w:cols w:equalWidth="0" w:num="1">
            <w:col w:w="11420"/>
          </w:cols>
          <w:pgMar w:left="240" w:top="145" w:right="239" w:bottom="0" w:gutter="0" w:footer="0" w:header="0"/>
        </w:sectPr>
      </w:pPr>
    </w:p>
    <w:p>
      <w:pPr>
        <w:spacing w:after="0" w:line="21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MEETING OF SHAREHOLDERS</w:t>
      </w:r>
    </w:p>
    <w:p>
      <w:pPr>
        <w:spacing w:after="0" w:line="225"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Wednesday, August 14, 2002</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3:30 P.M., Central Standard Time</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Four Points Sheraton Hotel</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1330 Industrial Boulevard</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Minneapolis,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144145</wp:posOffset>
            </wp:positionV>
            <wp:extent cx="771525" cy="42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42037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3100 EAST HENNEPIN AVENUE, 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238" w:lineRule="exact"/>
        <w:rPr>
          <w:sz w:val="20"/>
          <w:szCs w:val="20"/>
          <w:color w:val="auto"/>
        </w:rPr>
      </w:pPr>
    </w:p>
    <w:p>
      <w:pPr>
        <w:sectPr>
          <w:pgSz w:w="11900" w:h="16838" w:orient="portrait"/>
          <w:cols w:equalWidth="0" w:num="2">
            <w:col w:w="9900" w:space="720"/>
            <w:col w:w="800"/>
          </w:cols>
          <w:pgMar w:left="240" w:top="145" w:right="239" w:bottom="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PROXY IS SOLICITED BY THE BOARD OF DIRECTORS FOR USE AT THE MEETING OF SHAREHOLDERS ON AUGUST 14, 2002.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ITEM 1.</w:t>
      </w:r>
    </w:p>
    <w:p>
      <w:pPr>
        <w:spacing w:after="0" w:line="23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By signing the proxy, you revoke all prior proxies and appoint John R. Hawkins, Kurt R. Norman and Marvin E. Dee, and each of them, with full power of substitution, to vote your shares on the matters shown on the reverse side and any other matters that may come before the meeting and all adjournments.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8"/>
          <w:szCs w:val="18"/>
          <w:i w:val="1"/>
          <w:iCs w:val="1"/>
          <w:color w:val="auto"/>
        </w:rPr>
        <w:t>\*/</w:t>
        <w:tab/>
        <w:t>Please detach here</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ALL NOMINEES IN ITEM 1.</w:t>
      </w:r>
    </w:p>
    <w:p>
      <w:pPr>
        <w:sectPr>
          <w:pgSz w:w="11900" w:h="16838" w:orient="portrait"/>
          <w:cols w:equalWidth="0" w:num="1">
            <w:col w:w="11420"/>
          </w:cols>
          <w:pgMar w:left="240" w:top="145" w:right="239" w:bottom="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1.</w:t>
            </w:r>
          </w:p>
        </w:tc>
        <w:tc>
          <w:tcPr>
            <w:tcW w:w="1760" w:type="dxa"/>
            <w:vAlign w:val="bottom"/>
          </w:tcPr>
          <w:p>
            <w:pPr>
              <w:ind w:left="160"/>
              <w:spacing w:after="0"/>
              <w:rPr>
                <w:sz w:val="20"/>
                <w:szCs w:val="20"/>
                <w:color w:val="auto"/>
              </w:rPr>
            </w:pPr>
            <w:r>
              <w:rPr>
                <w:rFonts w:ascii="Arial" w:cs="Arial" w:eastAsia="Arial" w:hAnsi="Arial"/>
                <w:sz w:val="18"/>
                <w:szCs w:val="18"/>
                <w:color w:val="auto"/>
                <w:w w:val="96"/>
              </w:rPr>
              <w:t>Election of directors:</w:t>
            </w: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01 John R. Hawkins</w:t>
            </w:r>
          </w:p>
        </w:tc>
        <w:tc>
          <w:tcPr>
            <w:tcW w:w="1940" w:type="dxa"/>
            <w:vAlign w:val="bottom"/>
            <w:gridSpan w:val="2"/>
          </w:tcPr>
          <w:p>
            <w:pPr>
              <w:ind w:left="660"/>
              <w:spacing w:after="0"/>
              <w:rPr>
                <w:sz w:val="20"/>
                <w:szCs w:val="20"/>
                <w:color w:val="auto"/>
              </w:rPr>
            </w:pPr>
            <w:r>
              <w:rPr>
                <w:rFonts w:ascii="Arial" w:cs="Arial" w:eastAsia="Arial" w:hAnsi="Arial"/>
                <w:sz w:val="14"/>
                <w:szCs w:val="14"/>
                <w:color w:val="auto"/>
              </w:rPr>
              <w:t>06 John S. McKeon</w:t>
            </w:r>
          </w:p>
        </w:tc>
      </w:tr>
      <w:tr>
        <w:trPr>
          <w:trHeight w:val="124"/>
        </w:trPr>
        <w:tc>
          <w:tcPr>
            <w:tcW w:w="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80" w:type="dxa"/>
            <w:vAlign w:val="bottom"/>
          </w:tcPr>
          <w:p>
            <w:pPr>
              <w:ind w:left="120"/>
              <w:spacing w:after="0" w:line="125" w:lineRule="exact"/>
              <w:rPr>
                <w:sz w:val="20"/>
                <w:szCs w:val="20"/>
                <w:color w:val="auto"/>
              </w:rPr>
            </w:pPr>
            <w:r>
              <w:rPr>
                <w:rFonts w:ascii="Arial" w:cs="Arial" w:eastAsia="Arial" w:hAnsi="Arial"/>
                <w:sz w:val="14"/>
                <w:szCs w:val="14"/>
                <w:color w:val="auto"/>
                <w:w w:val="89"/>
              </w:rPr>
              <w:t>02</w:t>
            </w:r>
          </w:p>
        </w:tc>
        <w:tc>
          <w:tcPr>
            <w:tcW w:w="1600" w:type="dxa"/>
            <w:vAlign w:val="bottom"/>
          </w:tcPr>
          <w:p>
            <w:pPr>
              <w:ind w:left="20"/>
              <w:spacing w:after="0" w:line="125" w:lineRule="exact"/>
              <w:rPr>
                <w:sz w:val="20"/>
                <w:szCs w:val="20"/>
                <w:color w:val="auto"/>
              </w:rPr>
            </w:pPr>
            <w:r>
              <w:rPr>
                <w:rFonts w:ascii="Arial" w:cs="Arial" w:eastAsia="Arial" w:hAnsi="Arial"/>
                <w:sz w:val="14"/>
                <w:szCs w:val="14"/>
                <w:color w:val="auto"/>
              </w:rPr>
              <w:t>Kurt R. Norman</w:t>
            </w:r>
          </w:p>
        </w:tc>
        <w:tc>
          <w:tcPr>
            <w:tcW w:w="820" w:type="dxa"/>
            <w:vAlign w:val="bottom"/>
          </w:tcPr>
          <w:p>
            <w:pPr>
              <w:ind w:left="660"/>
              <w:spacing w:after="0" w:line="125" w:lineRule="exact"/>
              <w:rPr>
                <w:sz w:val="20"/>
                <w:szCs w:val="20"/>
                <w:color w:val="auto"/>
              </w:rPr>
            </w:pPr>
            <w:r>
              <w:rPr>
                <w:rFonts w:ascii="Arial" w:cs="Arial" w:eastAsia="Arial" w:hAnsi="Arial"/>
                <w:sz w:val="14"/>
                <w:szCs w:val="14"/>
                <w:color w:val="auto"/>
                <w:w w:val="89"/>
              </w:rPr>
              <w:t>07</w:t>
            </w:r>
          </w:p>
        </w:tc>
        <w:tc>
          <w:tcPr>
            <w:tcW w:w="1120" w:type="dxa"/>
            <w:vAlign w:val="bottom"/>
          </w:tcPr>
          <w:p>
            <w:pPr>
              <w:ind w:left="20"/>
              <w:spacing w:after="0" w:line="125" w:lineRule="exact"/>
              <w:rPr>
                <w:sz w:val="20"/>
                <w:szCs w:val="20"/>
                <w:color w:val="auto"/>
              </w:rPr>
            </w:pPr>
            <w:r>
              <w:rPr>
                <w:rFonts w:ascii="Arial" w:cs="Arial" w:eastAsia="Arial" w:hAnsi="Arial"/>
                <w:sz w:val="14"/>
                <w:szCs w:val="14"/>
                <w:color w:val="auto"/>
                <w:w w:val="83"/>
              </w:rPr>
              <w:t>Duane M. Jergenson</w:t>
            </w:r>
          </w:p>
        </w:tc>
      </w:tr>
      <w:tr>
        <w:trPr>
          <w:trHeight w:val="149"/>
        </w:trPr>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Arial" w:cs="Arial" w:eastAsia="Arial" w:hAnsi="Arial"/>
                <w:sz w:val="14"/>
                <w:szCs w:val="14"/>
                <w:color w:val="auto"/>
                <w:w w:val="89"/>
              </w:rPr>
              <w:t>03</w:t>
            </w:r>
          </w:p>
        </w:tc>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Dean L. Hahn</w:t>
            </w:r>
          </w:p>
        </w:tc>
        <w:tc>
          <w:tcPr>
            <w:tcW w:w="820" w:type="dxa"/>
            <w:vAlign w:val="bottom"/>
          </w:tcPr>
          <w:p>
            <w:pPr>
              <w:ind w:left="660"/>
              <w:spacing w:after="0" w:line="149" w:lineRule="exact"/>
              <w:rPr>
                <w:sz w:val="20"/>
                <w:szCs w:val="20"/>
                <w:color w:val="auto"/>
              </w:rPr>
            </w:pPr>
            <w:r>
              <w:rPr>
                <w:rFonts w:ascii="Arial" w:cs="Arial" w:eastAsia="Arial" w:hAnsi="Arial"/>
                <w:sz w:val="14"/>
                <w:szCs w:val="14"/>
                <w:color w:val="auto"/>
                <w:w w:val="89"/>
              </w:rPr>
              <w:t>08</w:t>
            </w:r>
          </w:p>
        </w:tc>
        <w:tc>
          <w:tcPr>
            <w:tcW w:w="1120" w:type="dxa"/>
            <w:vAlign w:val="bottom"/>
          </w:tcPr>
          <w:p>
            <w:pPr>
              <w:ind w:left="20"/>
              <w:spacing w:after="0" w:line="149" w:lineRule="exact"/>
              <w:rPr>
                <w:sz w:val="20"/>
                <w:szCs w:val="20"/>
                <w:color w:val="auto"/>
              </w:rPr>
            </w:pPr>
            <w:r>
              <w:rPr>
                <w:rFonts w:ascii="Arial" w:cs="Arial" w:eastAsia="Arial" w:hAnsi="Arial"/>
                <w:sz w:val="14"/>
                <w:szCs w:val="14"/>
                <w:color w:val="auto"/>
              </w:rPr>
              <w:t>G. Robert Gey</w:t>
            </w:r>
          </w:p>
        </w:tc>
      </w:tr>
      <w:tr>
        <w:trPr>
          <w:trHeight w:val="161"/>
        </w:trPr>
        <w:tc>
          <w:tcPr>
            <w:tcW w:w="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ind w:left="120"/>
              <w:spacing w:after="0"/>
              <w:rPr>
                <w:sz w:val="20"/>
                <w:szCs w:val="20"/>
                <w:color w:val="auto"/>
              </w:rPr>
            </w:pPr>
            <w:r>
              <w:rPr>
                <w:rFonts w:ascii="Arial" w:cs="Arial" w:eastAsia="Arial" w:hAnsi="Arial"/>
                <w:sz w:val="14"/>
                <w:szCs w:val="14"/>
                <w:color w:val="auto"/>
                <w:w w:val="89"/>
              </w:rPr>
              <w:t>04</w:t>
            </w:r>
          </w:p>
        </w:tc>
        <w:tc>
          <w:tcPr>
            <w:tcW w:w="1600" w:type="dxa"/>
            <w:vAlign w:val="bottom"/>
          </w:tcPr>
          <w:p>
            <w:pPr>
              <w:ind w:left="20"/>
              <w:spacing w:after="0"/>
              <w:rPr>
                <w:sz w:val="20"/>
                <w:szCs w:val="20"/>
                <w:color w:val="auto"/>
              </w:rPr>
            </w:pPr>
            <w:r>
              <w:rPr>
                <w:rFonts w:ascii="Arial" w:cs="Arial" w:eastAsia="Arial" w:hAnsi="Arial"/>
                <w:sz w:val="14"/>
                <w:szCs w:val="14"/>
                <w:color w:val="auto"/>
              </w:rPr>
              <w:t>Donald L. Shipp</w:t>
            </w:r>
          </w:p>
        </w:tc>
        <w:tc>
          <w:tcPr>
            <w:tcW w:w="820" w:type="dxa"/>
            <w:vAlign w:val="bottom"/>
          </w:tcPr>
          <w:p>
            <w:pPr>
              <w:ind w:left="660"/>
              <w:spacing w:after="0"/>
              <w:rPr>
                <w:sz w:val="20"/>
                <w:szCs w:val="20"/>
                <w:color w:val="auto"/>
              </w:rPr>
            </w:pPr>
            <w:r>
              <w:rPr>
                <w:rFonts w:ascii="Arial" w:cs="Arial" w:eastAsia="Arial" w:hAnsi="Arial"/>
                <w:sz w:val="14"/>
                <w:szCs w:val="14"/>
                <w:color w:val="auto"/>
                <w:w w:val="89"/>
              </w:rPr>
              <w:t>09</w:t>
            </w:r>
          </w:p>
        </w:tc>
        <w:tc>
          <w:tcPr>
            <w:tcW w:w="1120" w:type="dxa"/>
            <w:vAlign w:val="bottom"/>
          </w:tcPr>
          <w:p>
            <w:pPr>
              <w:ind w:left="20"/>
              <w:spacing w:after="0"/>
              <w:rPr>
                <w:sz w:val="20"/>
                <w:szCs w:val="20"/>
                <w:color w:val="auto"/>
              </w:rPr>
            </w:pPr>
            <w:r>
              <w:rPr>
                <w:rFonts w:ascii="Arial" w:cs="Arial" w:eastAsia="Arial" w:hAnsi="Arial"/>
                <w:sz w:val="14"/>
                <w:szCs w:val="14"/>
                <w:color w:val="auto"/>
              </w:rPr>
              <w:t>Daryl I. Skaar</w:t>
            </w:r>
          </w:p>
        </w:tc>
      </w:tr>
    </w:tbl>
    <w:p>
      <w:pPr>
        <w:ind w:left="2200"/>
        <w:spacing w:after="0"/>
        <w:rPr>
          <w:sz w:val="20"/>
          <w:szCs w:val="20"/>
          <w:color w:val="auto"/>
        </w:rPr>
      </w:pPr>
      <w:r>
        <w:rPr>
          <w:rFonts w:ascii="Arial" w:cs="Arial" w:eastAsia="Arial" w:hAnsi="Arial"/>
          <w:sz w:val="14"/>
          <w:szCs w:val="14"/>
          <w:color w:val="auto"/>
        </w:rPr>
        <w:t>05 Howard M. Hawkins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tabs>
          <w:tab w:leader="none" w:pos="540" w:val="left"/>
          <w:tab w:leader="none" w:pos="224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18"/>
          <w:szCs w:val="18"/>
          <w:color w:val="auto"/>
        </w:rPr>
        <w:t>Vote FOR all</w:t>
      </w:r>
      <w:r>
        <w:rPr>
          <w:sz w:val="20"/>
          <w:szCs w:val="20"/>
          <w:color w:val="auto"/>
        </w:rPr>
        <w:tab/>
      </w:r>
      <w:r>
        <w:rPr>
          <w:rFonts w:ascii="Arial" w:cs="Arial" w:eastAsia="Arial" w:hAnsi="Arial"/>
          <w:sz w:val="16"/>
          <w:szCs w:val="16"/>
          <w:b w:val="1"/>
          <w:bCs w:val="1"/>
          <w:color w:val="auto"/>
        </w:rPr>
        <w: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Nominees (except as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marked)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Vote WITHHELD for ALL nominees</w:t>
      </w:r>
    </w:p>
    <w:p>
      <w:pPr>
        <w:spacing w:after="0" w:line="490" w:lineRule="exact"/>
        <w:rPr>
          <w:sz w:val="20"/>
          <w:szCs w:val="20"/>
          <w:color w:val="auto"/>
        </w:rPr>
      </w:pPr>
    </w:p>
    <w:p>
      <w:pPr>
        <w:sectPr>
          <w:pgSz w:w="11900" w:h="16838" w:orient="portrait"/>
          <w:cols w:equalWidth="0" w:num="3">
            <w:col w:w="6300" w:space="720"/>
            <w:col w:w="2360" w:space="440"/>
            <w:col w:w="1600"/>
          </w:cols>
          <w:pgMar w:left="240" w:top="145" w:right="239" w:bottom="0" w:gutter="0" w:footer="0" w:header="0"/>
          <w:type w:val="continuous"/>
        </w:sectPr>
      </w:pPr>
    </w:p>
    <w:p>
      <w:pPr>
        <w:spacing w:after="0"/>
        <w:rPr>
          <w:sz w:val="20"/>
          <w:szCs w:val="20"/>
          <w:color w:val="auto"/>
        </w:rPr>
      </w:pPr>
      <w:r>
        <w:rPr>
          <w:rFonts w:ascii="Arial" w:cs="Arial" w:eastAsia="Arial" w:hAnsi="Arial"/>
          <w:sz w:val="15"/>
          <w:szCs w:val="15"/>
          <w:b w:val="1"/>
          <w:bCs w:val="1"/>
          <w:color w:val="auto"/>
        </w:rPr>
        <w:t>(Instructions: To withhold authority to vote for any indicated nominee, write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-15875</wp:posOffset>
            </wp:positionV>
            <wp:extent cx="279971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9715" cy="215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nominee(s) in the box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107950</wp:posOffset>
            </wp:positionV>
            <wp:extent cx="279971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9715" cy="215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460" w:hanging="452"/>
        <w:spacing w:after="0" w:line="332" w:lineRule="auto"/>
        <w:tabs>
          <w:tab w:leader="none" w:pos="4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In their discretion, the Proxies are authorized to vote upon such other matters as may properly come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1680" w:val="left"/>
          <w:tab w:leader="none" w:pos="3580" w:val="left"/>
        </w:tabs>
        <w:rPr>
          <w:sz w:val="20"/>
          <w:szCs w:val="20"/>
          <w:color w:val="auto"/>
        </w:rPr>
      </w:pPr>
      <w:r>
        <w:rPr>
          <w:rFonts w:ascii="Arial" w:cs="Arial" w:eastAsia="Arial" w:hAnsi="Arial"/>
          <w:sz w:val="22"/>
          <w:szCs w:val="22"/>
          <w:b w:val="1"/>
          <w:bCs w:val="1"/>
          <w:color w:val="auto"/>
        </w:rPr>
        <w:t xml:space="preserve">o  </w:t>
      </w:r>
      <w:r>
        <w:rPr>
          <w:rFonts w:ascii="Arial" w:cs="Arial" w:eastAsia="Arial" w:hAnsi="Arial"/>
          <w:sz w:val="17"/>
          <w:szCs w:val="17"/>
          <w:color w:val="auto"/>
        </w:rPr>
        <w:t>For</w:t>
      </w:r>
      <w:r>
        <w:rPr>
          <w:sz w:val="20"/>
          <w:szCs w:val="20"/>
          <w:color w:val="auto"/>
        </w:rPr>
        <w:tab/>
      </w:r>
      <w:r>
        <w:rPr>
          <w:rFonts w:ascii="Arial" w:cs="Arial" w:eastAsia="Arial" w:hAnsi="Arial"/>
          <w:sz w:val="22"/>
          <w:szCs w:val="22"/>
          <w:b w:val="1"/>
          <w:bCs w:val="1"/>
          <w:color w:val="auto"/>
        </w:rPr>
        <w:t xml:space="preserve">o  </w:t>
      </w:r>
      <w:r>
        <w:rPr>
          <w:rFonts w:ascii="Arial" w:cs="Arial" w:eastAsia="Arial" w:hAnsi="Arial"/>
          <w:sz w:val="17"/>
          <w:szCs w:val="17"/>
          <w:color w:val="auto"/>
        </w:rPr>
        <w:t>Against</w:t>
      </w:r>
      <w:r>
        <w:rPr>
          <w:sz w:val="20"/>
          <w:szCs w:val="20"/>
          <w:color w:val="auto"/>
        </w:rPr>
        <w:tab/>
      </w:r>
      <w:r>
        <w:rPr>
          <w:rFonts w:ascii="Arial" w:cs="Arial" w:eastAsia="Arial" w:hAnsi="Arial"/>
          <w:sz w:val="21"/>
          <w:szCs w:val="21"/>
          <w:b w:val="1"/>
          <w:bCs w:val="1"/>
          <w:color w:val="auto"/>
        </w:rPr>
        <w:t xml:space="preserve">o  </w:t>
      </w:r>
      <w:r>
        <w:rPr>
          <w:rFonts w:ascii="Arial" w:cs="Arial" w:eastAsia="Arial" w:hAnsi="Arial"/>
          <w:sz w:val="16"/>
          <w:szCs w:val="16"/>
          <w:color w:val="auto"/>
        </w:rPr>
        <w:t>Abstain</w:t>
      </w:r>
    </w:p>
    <w:p>
      <w:pPr>
        <w:sectPr>
          <w:pgSz w:w="11900" w:h="16838" w:orient="portrait"/>
          <w:cols w:equalWidth="0" w:num="2">
            <w:col w:w="5320" w:space="560"/>
            <w:col w:w="5540"/>
          </w:cols>
          <w:pgMar w:left="240" w:top="145" w:right="239" w:bottom="0" w:gutter="0" w:footer="0" w:header="0"/>
          <w:type w:val="continuous"/>
        </w:sectPr>
      </w:pPr>
    </w:p>
    <w:bookmarkStart w:id="10" w:name="page11"/>
    <w:bookmarkEnd w:id="10"/>
    <w:p>
      <w:pPr>
        <w:ind w:right="240"/>
        <w:spacing w:after="0" w:line="275"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PROPOSAL.</w:t>
      </w:r>
    </w:p>
    <w:p>
      <w:pPr>
        <w:sectPr>
          <w:pgSz w:w="11900" w:h="16838" w:orient="portrait"/>
          <w:cols w:equalWidth="0" w:num="1">
            <w:col w:w="11340"/>
          </w:cols>
          <w:pgMar w:left="240" w:top="125" w:right="319" w:bottom="1440" w:gutter="0" w:footer="0" w:header="0"/>
        </w:sectPr>
      </w:pPr>
    </w:p>
    <w:p>
      <w:pPr>
        <w:spacing w:after="0" w:line="377"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16"/>
          <w:szCs w:val="16"/>
          <w:b w:val="1"/>
          <w:bCs w:val="1"/>
          <w:color w:val="auto"/>
        </w:rPr>
        <w: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Indicate changes below:</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77470</wp:posOffset>
            </wp:positionV>
            <wp:extent cx="217360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73605" cy="215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267970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79700" cy="215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815340</wp:posOffset>
            </wp:positionV>
            <wp:extent cx="267970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Signature(s) In Box</w:t>
      </w:r>
    </w:p>
    <w:p>
      <w:pPr>
        <w:spacing w:after="0"/>
        <w:rPr>
          <w:sz w:val="20"/>
          <w:szCs w:val="20"/>
          <w:color w:val="auto"/>
        </w:rPr>
      </w:pPr>
      <w:r>
        <w:rPr>
          <w:rFonts w:ascii="Arial" w:cs="Arial" w:eastAsia="Arial" w:hAnsi="Arial"/>
          <w:sz w:val="12"/>
          <w:szCs w:val="12"/>
          <w:color w:val="auto"/>
        </w:rPr>
        <w:t>(Please sign exactly as your name appears to the left. When shares are held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by joint tenants, both should sign. When signing as executor, administrator,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attorney, trustee or guardian, please give full title as such. If a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please sign in full corporate name by president or other authorized officer. If</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 partnership, 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72390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140"/>
          </w:cols>
          <w:pgMar w:left="24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SOLICITATION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REVOCATION AND VOTING OF PROXY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OUTSTANDING SHARES AND VOTING RIGHTS</w:t>
        </w:r>
      </w:hyperlink>
    </w:p>
    <w:p>
      <w:pPr>
        <w:spacing w:after="0" w:line="9" w:lineRule="exact"/>
        <w:rPr>
          <w:sz w:val="20"/>
          <w:szCs w:val="20"/>
          <w:color w:val="auto"/>
        </w:rPr>
      </w:pPr>
    </w:p>
    <w:p>
      <w:pPr>
        <w:ind w:right="5260"/>
        <w:spacing w:after="0" w:line="250"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SECTION 16(a) BENEFICIAL OWNERSHIP REPORTING COMPLIANCE</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SECURITY OWNERSHIP OF MANAGEMENT AND BENEFICIAL OWNERSHIP</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PROPOSALS TO BE ACTED UPON AT THE MEETING</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ELECTION OF DIRECTORS (PROPOSAL 1)</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MATTERS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INDEPENDENT PUBLIC ACCOUNTANTS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REPORT OF THE AUDIT COMMITTEE OF THE BOARD OF DIRECTORS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COMPENSATION AND OTHER BENEFITS</w:t>
        </w:r>
      </w:hyperlink>
    </w:p>
    <w:p>
      <w:pPr>
        <w:spacing w:after="0" w:line="9" w:lineRule="exact"/>
        <w:rPr>
          <w:rFonts w:ascii="Arial" w:cs="Arial" w:eastAsia="Arial" w:hAnsi="Arial"/>
          <w:sz w:val="18"/>
          <w:szCs w:val="18"/>
          <w:u w:val="single" w:color="auto"/>
          <w:color w:val="0000EE"/>
        </w:rPr>
      </w:pPr>
    </w:p>
    <w:p>
      <w:pPr>
        <w:ind w:right="5280"/>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COMPENSATION COMMITTEE INTERLOCKS AND INSIDER PARTICIPATION</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COMPENSATION COMMITTEE REPORT ON ANNUAL COMPENSATION</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COMPARATIVE STOCK PERFORMANCE GRAPH</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PROPOSALS BY SHAREHOLDERS</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FORM 10-KT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HAWKINS, INC. AUDIT COMMITTEE CHARTER</w:t>
        </w:r>
      </w:hyperlink>
    </w:p>
    <w:sectPr>
      <w:pgSz w:w="11900" w:h="16838" w:orient="portrait"/>
      <w:cols w:equalWidth="0" w:num="1">
        <w:col w:w="11340"/>
      </w:cols>
      <w:pgMar w:left="240" w:top="12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o"/>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o"/>
      <w:numFmt w:val="bullet"/>
      <w:start w:val="1"/>
    </w:lvl>
  </w:abstractNum>
  <w:abstractNum w:abstractNumId="5">
    <w:nsid w:val="628C895D"/>
    <w:multiLevelType w:val="hybridMultilevel"/>
    <w:lvl w:ilvl="0">
      <w:lvlJc w:val="left"/>
      <w:lvlText w:val="1"/>
      <w:numFmt w:val="bullet"/>
      <w:start w:val="1"/>
    </w:lvl>
  </w:abstractNum>
  <w:abstractNum w:abstractNumId="6">
    <w:nsid w:val="333AB105"/>
    <w:multiLevelType w:val="hybridMultilevel"/>
    <w:lvl w:ilvl="0">
      <w:lvlJc w:val="left"/>
      <w:lvlText w:val="2"/>
      <w:numFmt w:val="bullet"/>
      <w:start w:val="1"/>
    </w:lvl>
  </w:abstractNum>
  <w:abstractNum w:abstractNumId="7">
    <w:nsid w:val="721DA317"/>
    <w:multiLevelType w:val="hybridMultilevel"/>
    <w:lvl w:ilvl="0">
      <w:lvlJc w:val="left"/>
      <w:lvlText w:val="3"/>
      <w:numFmt w:val="bullet"/>
      <w:start w:val="1"/>
    </w:lvl>
  </w:abstractNum>
  <w:abstractNum w:abstractNumId="8">
    <w:nsid w:val="2443A858"/>
    <w:multiLevelType w:val="hybridMultilevel"/>
    <w:lvl w:ilvl="0">
      <w:lvlJc w:val="left"/>
      <w:lvlText w:val="4"/>
      <w:numFmt w:val="bullet"/>
      <w:start w:val="1"/>
    </w:lvl>
  </w:abstractNum>
  <w:abstractNum w:abstractNumId="9">
    <w:nsid w:val="2D1D5AE9"/>
    <w:multiLevelType w:val="hybridMultilevel"/>
    <w:lvl w:ilvl="0">
      <w:lvlJc w:val="left"/>
      <w:lvlText w:val="5"/>
      <w:numFmt w:val="bullet"/>
      <w:start w:val="1"/>
    </w:lvl>
  </w:abstractNum>
  <w:abstractNum w:abstractNumId="10">
    <w:nsid w:val="6763845E"/>
    <w:multiLevelType w:val="hybridMultilevel"/>
    <w:lvl w:ilvl="0">
      <w:lvlJc w:val="left"/>
      <w:lvlText w:val="o"/>
      <w:numFmt w:val="bullet"/>
      <w:start w:val="1"/>
    </w:lvl>
  </w:abstractNum>
  <w:abstractNum w:abstractNumId="11">
    <w:nsid w:val="75A2A8D4"/>
    <w:multiLevelType w:val="hybridMultilevel"/>
    <w:lvl w:ilvl="0">
      <w:lvlJc w:val="left"/>
      <w:lvlText w:val="1"/>
      <w:numFmt w:val="bullet"/>
      <w:start w:val="1"/>
    </w:lvl>
  </w:abstractNum>
  <w:abstractNum w:abstractNumId="12">
    <w:nsid w:val="8EDBDAB"/>
    <w:multiLevelType w:val="hybridMultilevel"/>
    <w:lvl w:ilvl="0">
      <w:lvlJc w:val="left"/>
      <w:lvlText w:val="2"/>
      <w:numFmt w:val="bullet"/>
      <w:start w:val="1"/>
    </w:lvl>
  </w:abstractNum>
  <w:abstractNum w:abstractNumId="13">
    <w:nsid w:val="79838CB2"/>
    <w:multiLevelType w:val="hybridMultilevel"/>
    <w:lvl w:ilvl="0">
      <w:lvlJc w:val="left"/>
      <w:lvlText w:val="3"/>
      <w:numFmt w:val="bullet"/>
      <w:start w:val="1"/>
    </w:lvl>
  </w:abstractNum>
  <w:abstractNum w:abstractNumId="14">
    <w:nsid w:val="4353D0CD"/>
    <w:multiLevelType w:val="hybridMultilevel"/>
    <w:lvl w:ilvl="0">
      <w:lvlJc w:val="left"/>
      <w:lvlText w:val="4"/>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4"/>
    </w:lvl>
  </w:abstractNum>
  <w:abstractNum w:abstractNumId="19">
    <w:nsid w:val="2CA88611"/>
    <w:multiLevelType w:val="hybridMultilevel"/>
    <w:lvl w:ilvl="0">
      <w:lvlJc w:val="left"/>
      <w:lvlText w:val="(%1)"/>
      <w:numFmt w:val="lowerLetter"/>
      <w:start w:val="1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upperLetter"/>
      <w:start w:val="9"/>
    </w:lvl>
  </w:abstractNum>
  <w:abstractNum w:abstractNumId="24">
    <w:nsid w:val="1E7FF521"/>
    <w:multiLevelType w:val="hybridMultilevel"/>
    <w:lvl w:ilvl="0">
      <w:lvlJc w:val="left"/>
      <w:lvlText w:val="%1."/>
      <w:numFmt w:val="upperLetter"/>
      <w:start w:val="34"/>
    </w:lvl>
    <w:lvl w:ilvl="1">
      <w:lvlJc w:val="left"/>
      <w:lvlText w:val="•"/>
      <w:numFmt w:val="bullet"/>
      <w:start w:val="1"/>
    </w:lvl>
  </w:abstractNum>
  <w:abstractNum w:abstractNumId="25">
    <w:nsid w:val="7C3DBD3D"/>
    <w:multiLevelType w:val="hybridMultilevel"/>
    <w:lvl w:ilvl="0">
      <w:lvlJc w:val="left"/>
      <w:lvlText w:val="%1."/>
      <w:numFmt w:val="upperLetter"/>
      <w:start w:val="61"/>
    </w:lvl>
  </w:abstractNum>
  <w:abstractNum w:abstractNumId="26">
    <w:nsid w:val="737B8DDC"/>
    <w:multiLevelType w:val="hybridMultilevel"/>
    <w:lvl w:ilvl="0">
      <w:lvlJc w:val="left"/>
      <w:lvlText w:val="%1."/>
      <w:numFmt w:val="upperLetter"/>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upperLetter"/>
      <w:start w:val="2"/>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upperLetter"/>
      <w:start w:val="3"/>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2019-12-13T01:47:43Z</dcterms:created>
  <dcterms:modified xsi:type="dcterms:W3CDTF">2019-12-13T01:47:43Z</dcterms:modified>
</cp:coreProperties>
</file>