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14A INFORMATION</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Exchange Act of 1934 (Amendment No.___)</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Arial" w:cs="Arial" w:eastAsia="Arial" w:hAnsi="Arial"/>
          <w:sz w:val="21"/>
          <w:szCs w:val="21"/>
          <w:color w:val="auto"/>
        </w:rPr>
        <w:t>x</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21"/>
          <w:szCs w:val="21"/>
          <w:color w:val="auto"/>
        </w:rPr>
        <w:t>o</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ind w:left="340" w:hanging="332"/>
        <w:spacing w:after="0" w:line="219"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Preliminary proxy statement.</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Confidential, for use of the Commission only (as permitted by Rule 14A-6(e)(2)).</w:t>
      </w:r>
    </w:p>
    <w:p>
      <w:pPr>
        <w:spacing w:after="0" w:line="206" w:lineRule="exact"/>
        <w:rPr>
          <w:sz w:val="24"/>
          <w:szCs w:val="24"/>
          <w:color w:val="auto"/>
        </w:rPr>
      </w:pPr>
    </w:p>
    <w:p>
      <w:pPr>
        <w:ind w:left="3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18"/>
          <w:szCs w:val="18"/>
          <w:color w:val="auto"/>
        </w:rPr>
        <w:t>Definitive proxy statement.</w:t>
      </w:r>
    </w:p>
    <w:p>
      <w:pPr>
        <w:spacing w:after="0" w:line="206" w:lineRule="exact"/>
        <w:rPr>
          <w:sz w:val="24"/>
          <w:szCs w:val="24"/>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Definitive additional materials.</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18"/>
          <w:szCs w:val="18"/>
          <w:color w:val="auto"/>
        </w:rPr>
        <w:t>Soliciting material pursuant to section 240.14a-11(c) or Section 240.14a-12.</w:t>
      </w:r>
    </w:p>
    <w:p>
      <w:pPr>
        <w:spacing w:after="0" w:line="237" w:lineRule="exact"/>
        <w:rPr>
          <w:sz w:val="24"/>
          <w:szCs w:val="24"/>
          <w:color w:val="auto"/>
        </w:rPr>
      </w:pPr>
    </w:p>
    <w:p>
      <w:pPr>
        <w:jc w:val="center"/>
        <w:ind w:right="-319"/>
        <w:spacing w:after="0"/>
        <w:rPr>
          <w:sz w:val="20"/>
          <w:szCs w:val="20"/>
          <w:color w:val="auto"/>
        </w:rPr>
      </w:pPr>
      <w:r>
        <w:rPr>
          <w:rFonts w:ascii="Arial" w:cs="Arial" w:eastAsia="Arial" w:hAnsi="Arial"/>
          <w:sz w:val="18"/>
          <w:szCs w:val="18"/>
          <w:u w:val="single" w:color="auto"/>
          <w:color w:val="auto"/>
        </w:rPr>
        <w:t>HAWKINS, INC.</w:t>
      </w:r>
    </w:p>
    <w:p>
      <w:pPr>
        <w:spacing w:after="0" w:line="15"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___________________________</w:t>
      </w:r>
    </w:p>
    <w:p>
      <w:pPr>
        <w:spacing w:after="0" w:line="1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340" w:hanging="332"/>
        <w:spacing w:after="0" w:line="219"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18"/>
          <w:szCs w:val="18"/>
          <w:color w:val="auto"/>
        </w:rPr>
        <w:t>No fee required.</w:t>
      </w:r>
    </w:p>
    <w:p>
      <w:pPr>
        <w:spacing w:after="0" w:line="207" w:lineRule="exact"/>
        <w:rPr>
          <w:sz w:val="24"/>
          <w:szCs w:val="24"/>
          <w:color w:val="auto"/>
        </w:rPr>
      </w:pP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computed on table below per Exchange Act Rules 14a-6(i)(4) and 0-11.</w:t>
      </w:r>
    </w:p>
    <w:p>
      <w:pPr>
        <w:spacing w:after="0" w:line="236" w:lineRule="exact"/>
        <w:rPr>
          <w:rFonts w:ascii="Arial" w:cs="Arial" w:eastAsia="Arial" w:hAnsi="Arial"/>
          <w:sz w:val="22"/>
          <w:szCs w:val="22"/>
          <w:color w:val="auto"/>
        </w:rPr>
      </w:pPr>
    </w:p>
    <w:p>
      <w:pPr>
        <w:ind w:left="720" w:hanging="258"/>
        <w:spacing w:after="0"/>
        <w:tabs>
          <w:tab w:leader="none" w:pos="7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720" w:hanging="258"/>
        <w:spacing w:after="0"/>
        <w:tabs>
          <w:tab w:leader="none" w:pos="72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680" w:hanging="231"/>
        <w:spacing w:after="0" w:line="268" w:lineRule="auto"/>
        <w:tabs>
          <w:tab w:leader="none" w:pos="695"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720" w:hanging="258"/>
        <w:spacing w:after="0"/>
        <w:tabs>
          <w:tab w:leader="none" w:pos="720" w:val="left"/>
        </w:tabs>
        <w:numPr>
          <w:ilvl w:val="2"/>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720" w:hanging="258"/>
        <w:spacing w:after="0"/>
        <w:tabs>
          <w:tab w:leader="none" w:pos="72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18"/>
          <w:szCs w:val="18"/>
          <w:color w:val="auto"/>
        </w:rPr>
        <w:t>Fee paid previously with preliminary materials.</w:t>
      </w:r>
    </w:p>
    <w:p>
      <w:pPr>
        <w:spacing w:after="0" w:line="236" w:lineRule="exact"/>
        <w:rPr>
          <w:rFonts w:ascii="Arial" w:cs="Arial" w:eastAsia="Arial" w:hAnsi="Arial"/>
          <w:sz w:val="22"/>
          <w:szCs w:val="22"/>
          <w:color w:val="auto"/>
        </w:rPr>
      </w:pPr>
    </w:p>
    <w:p>
      <w:pPr>
        <w:ind w:left="340" w:right="520" w:hanging="332"/>
        <w:spacing w:after="0" w:line="241" w:lineRule="auto"/>
        <w:tabs>
          <w:tab w:leader="none" w:pos="340" w:val="left"/>
        </w:tabs>
        <w:numPr>
          <w:ilvl w:val="0"/>
          <w:numId w:val="6"/>
        </w:numPr>
        <w:rPr>
          <w:rFonts w:ascii="Arial" w:cs="Arial" w:eastAsia="Arial" w:hAnsi="Arial"/>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9" w:lineRule="exact"/>
        <w:rPr>
          <w:rFonts w:ascii="Arial" w:cs="Arial" w:eastAsia="Arial" w:hAnsi="Arial"/>
          <w:sz w:val="21"/>
          <w:szCs w:val="21"/>
          <w:color w:val="auto"/>
        </w:rPr>
      </w:pPr>
    </w:p>
    <w:p>
      <w:pPr>
        <w:ind w:left="720" w:hanging="258"/>
        <w:spacing w:after="0"/>
        <w:tabs>
          <w:tab w:leader="none" w:pos="720" w:val="left"/>
        </w:tabs>
        <w:numPr>
          <w:ilvl w:val="2"/>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720" w:hanging="258"/>
        <w:spacing w:after="0"/>
        <w:tabs>
          <w:tab w:leader="none" w:pos="720" w:val="left"/>
        </w:tabs>
        <w:numPr>
          <w:ilvl w:val="2"/>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720" w:hanging="258"/>
        <w:spacing w:after="0"/>
        <w:tabs>
          <w:tab w:leader="none" w:pos="720" w:val="left"/>
        </w:tabs>
        <w:numPr>
          <w:ilvl w:val="2"/>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720" w:hanging="258"/>
        <w:spacing w:after="0"/>
        <w:tabs>
          <w:tab w:leader="none" w:pos="720" w:val="left"/>
        </w:tabs>
        <w:numPr>
          <w:ilvl w:val="2"/>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946150</wp:posOffset>
            </wp:positionV>
            <wp:extent cx="1886585" cy="1003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1003300"/>
                    </a:xfrm>
                    <a:prstGeom prst="rect">
                      <a:avLst/>
                    </a:prstGeom>
                    <a:noFill/>
                  </pic:spPr>
                </pic:pic>
              </a:graphicData>
            </a:graphic>
          </wp:anchor>
        </w:drawing>
      </w:r>
    </w:p>
    <w:p>
      <w:pPr>
        <w:sectPr>
          <w:pgSz w:w="11900" w:h="16838" w:orient="portrait"/>
          <w:cols w:equalWidth="0" w:num="1">
            <w:col w:w="11120"/>
          </w:cols>
          <w:pgMar w:left="240" w:top="476" w:right="539" w:bottom="1440" w:gutter="0" w:footer="0" w:header="0"/>
        </w:sectPr>
      </w:pPr>
    </w:p>
    <w:bookmarkStart w:id="1" w:name="page2"/>
    <w:bookmarkEnd w:id="1"/>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HAWKINS, INC.</w:t>
      </w:r>
    </w:p>
    <w:p>
      <w:pPr>
        <w:spacing w:after="0" w:line="2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Minneapolis, Minnesota 55413</w:t>
      </w:r>
    </w:p>
    <w:p>
      <w:pPr>
        <w:spacing w:after="0" w:line="16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8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To Be Held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3, 2006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85" w:lineRule="exact"/>
        <w:rPr>
          <w:sz w:val="20"/>
          <w:szCs w:val="20"/>
          <w:color w:val="auto"/>
        </w:rPr>
      </w:pPr>
    </w:p>
    <w:p>
      <w:pPr>
        <w:ind w:right="320" w:firstLine="357"/>
        <w:spacing w:after="0" w:line="277" w:lineRule="auto"/>
        <w:rPr>
          <w:sz w:val="20"/>
          <w:szCs w:val="20"/>
          <w:color w:val="auto"/>
        </w:rPr>
      </w:pPr>
      <w:r>
        <w:rPr>
          <w:rFonts w:ascii="Arial" w:cs="Arial" w:eastAsia="Arial" w:hAnsi="Arial"/>
          <w:sz w:val="18"/>
          <w:szCs w:val="18"/>
          <w:color w:val="auto"/>
        </w:rPr>
        <w:t>The Annual Meeting of Shareholders of Hawkins, Inc. (the “Company”) will be held at the Midland Hills Country Club, 2001 Fulham St., Roseville, Minnesota on Thursday, August 3, 2006, at 3:00 p.m., Central Daylight Time, for the following purposes:</w:t>
      </w:r>
    </w:p>
    <w:p>
      <w:pPr>
        <w:spacing w:after="0" w:line="184" w:lineRule="exact"/>
        <w:rPr>
          <w:sz w:val="20"/>
          <w:szCs w:val="20"/>
          <w:color w:val="auto"/>
        </w:rPr>
      </w:pPr>
    </w:p>
    <w:p>
      <w:pPr>
        <w:ind w:left="1020" w:hanging="47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seven directors;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52" w:lineRule="exact"/>
        <w:rPr>
          <w:sz w:val="20"/>
          <w:szCs w:val="20"/>
          <w:color w:val="auto"/>
        </w:rPr>
      </w:pPr>
    </w:p>
    <w:p>
      <w:pPr>
        <w:ind w:right="160" w:firstLine="357"/>
        <w:spacing w:after="0" w:line="264" w:lineRule="auto"/>
        <w:rPr>
          <w:sz w:val="20"/>
          <w:szCs w:val="20"/>
          <w:color w:val="auto"/>
        </w:rPr>
      </w:pPr>
      <w:r>
        <w:rPr>
          <w:rFonts w:ascii="Arial" w:cs="Arial" w:eastAsia="Arial" w:hAnsi="Arial"/>
          <w:sz w:val="18"/>
          <w:szCs w:val="18"/>
          <w:color w:val="auto"/>
        </w:rPr>
        <w:t>The Board of Directors has fixed the close of business on July 3, 2006 as the record date for determining the shareholders entitled to vote at the Annual Meeting. Accordingly, only shareholders of record at the close of business on that date will be entitled to vote. The Company’s transfer books will not be closed.</w:t>
      </w:r>
    </w:p>
    <w:p>
      <w:pPr>
        <w:spacing w:after="0" w:line="195" w:lineRule="exact"/>
        <w:rPr>
          <w:sz w:val="20"/>
          <w:szCs w:val="20"/>
          <w:color w:val="auto"/>
        </w:rPr>
      </w:pPr>
    </w:p>
    <w:p>
      <w:pPr>
        <w:ind w:left="60"/>
        <w:spacing w:after="0"/>
        <w:tabs>
          <w:tab w:leader="none" w:pos="6720" w:val="left"/>
        </w:tabs>
        <w:rPr>
          <w:sz w:val="20"/>
          <w:szCs w:val="20"/>
          <w:color w:val="auto"/>
        </w:rPr>
      </w:pPr>
      <w:r>
        <w:rPr>
          <w:rFonts w:ascii="Arial" w:cs="Arial" w:eastAsia="Arial" w:hAnsi="Arial"/>
          <w:sz w:val="18"/>
          <w:szCs w:val="18"/>
          <w:color w:val="auto"/>
        </w:rPr>
        <w:t>Dated: July 7, 2006</w:t>
      </w:r>
      <w:r>
        <w:rPr>
          <w:sz w:val="20"/>
          <w:szCs w:val="20"/>
          <w:color w:val="auto"/>
        </w:rPr>
        <w:tab/>
      </w: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66040</wp:posOffset>
            </wp:positionV>
            <wp:extent cx="2598420" cy="694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MARVIN E. DEE, </w:t>
      </w:r>
      <w:r>
        <w:rPr>
          <w:rFonts w:ascii="Arial" w:cs="Arial" w:eastAsia="Arial" w:hAnsi="Arial"/>
          <w:sz w:val="18"/>
          <w:szCs w:val="18"/>
          <w:i w:val="1"/>
          <w:iCs w:val="1"/>
          <w:color w:val="auto"/>
        </w:rPr>
        <w:t>Secretary</w:t>
      </w:r>
    </w:p>
    <w:p>
      <w:pPr>
        <w:spacing w:after="0" w:line="235"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HAWKINS,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7, 2006</w:t>
      </w:r>
    </w:p>
    <w:p>
      <w:pPr>
        <w:spacing w:after="0" w:line="189" w:lineRule="exact"/>
        <w:rPr>
          <w:sz w:val="20"/>
          <w:szCs w:val="20"/>
          <w:color w:val="auto"/>
        </w:rPr>
      </w:pPr>
    </w:p>
    <w:p>
      <w:pPr>
        <w:ind w:right="220" w:firstLine="357"/>
        <w:spacing w:after="0" w:line="259" w:lineRule="auto"/>
        <w:rPr>
          <w:sz w:val="20"/>
          <w:szCs w:val="20"/>
          <w:color w:val="auto"/>
        </w:rPr>
      </w:pPr>
      <w:r>
        <w:rPr>
          <w:rFonts w:ascii="Arial" w:cs="Arial" w:eastAsia="Arial" w:hAnsi="Arial"/>
          <w:sz w:val="18"/>
          <w:szCs w:val="18"/>
          <w:color w:val="auto"/>
        </w:rPr>
        <w:t>The following statement is furnished in connection with the solicitation of proxies by the Board of Directors of Hawkins, Inc. (the “Company”) to be voted at the Annual Meeting of Shareholders of the Company to be held on Thursday, August 3, 2006 at the Midland Hills Country Club, 2001 Fulham St., Roseville, Minnesota, at 3:00 p.m., Central Daylight Time, and at any adjournments of such meeting. Distribution of this Proxy Statement and proxy to shareholders began on or about July 7, 2006.</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w:t>
      </w:r>
    </w:p>
    <w:p>
      <w:pPr>
        <w:spacing w:after="0" w:line="202" w:lineRule="exact"/>
        <w:rPr>
          <w:sz w:val="20"/>
          <w:szCs w:val="20"/>
          <w:color w:val="auto"/>
        </w:rPr>
      </w:pPr>
    </w:p>
    <w:p>
      <w:pPr>
        <w:ind w:firstLine="357"/>
        <w:spacing w:after="0" w:line="279"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the Company. In addition to the use of the mail, proxies may be solicited personally or by telephone, mail or electronic mail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REVOCATION AND VOTING OF PROXY</w:t>
      </w:r>
    </w:p>
    <w:p>
      <w:pPr>
        <w:spacing w:after="0" w:line="189" w:lineRule="exact"/>
        <w:rPr>
          <w:sz w:val="20"/>
          <w:szCs w:val="20"/>
          <w:color w:val="auto"/>
        </w:rPr>
      </w:pPr>
    </w:p>
    <w:p>
      <w:pPr>
        <w:ind w:right="100" w:firstLine="350"/>
        <w:spacing w:after="0" w:line="259"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160"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Unless otherwise directed in the accompanying proxy, the persons named therein will vote FOR the nominees for director as set forth in this Proxy Statement. The Company’s management is not aware of any other business that will, or is likely to, come before the meeting. If any other business does properly come before the meeting, the persons named in the accompanying proxy will vote in accordance with their judgment as to what is in the Company’s best interests.</w:t>
      </w:r>
    </w:p>
    <w:p>
      <w:pPr>
        <w:spacing w:after="0" w:line="146" w:lineRule="exact"/>
        <w:rPr>
          <w:sz w:val="20"/>
          <w:szCs w:val="20"/>
          <w:color w:val="auto"/>
        </w:rPr>
      </w:pPr>
    </w:p>
    <w:p>
      <w:pPr>
        <w:jc w:val="center"/>
        <w:ind w:right="80"/>
        <w:spacing w:after="0" w:line="342" w:lineRule="auto"/>
        <w:rPr>
          <w:sz w:val="20"/>
          <w:szCs w:val="20"/>
          <w:color w:val="auto"/>
        </w:rPr>
      </w:pPr>
      <w:r>
        <w:rPr>
          <w:rFonts w:ascii="Arial" w:cs="Arial" w:eastAsia="Arial" w:hAnsi="Arial"/>
          <w:sz w:val="16"/>
          <w:szCs w:val="16"/>
          <w:color w:val="auto"/>
        </w:rPr>
        <w:t>A majority of the outstanding shares will constitute a quorum at the Annual Meeting. Abstentions and broker non-votes are counted for purposes of determining the presence or absence of a quorum for the transaction of business. Abstentions are counted in determining the total number of the votes cast on</w:t>
      </w:r>
    </w:p>
    <w:p>
      <w:pPr>
        <w:sectPr>
          <w:pgSz w:w="11900" w:h="16881" w:orient="portrait"/>
          <w:cols w:equalWidth="0" w:num="1">
            <w:col w:w="11420"/>
          </w:cols>
          <w:pgMar w:left="240" w:top="116" w:right="239" w:bottom="0" w:gutter="0" w:footer="0" w:header="0"/>
        </w:sectPr>
      </w:pPr>
    </w:p>
    <w:bookmarkStart w:id="2" w:name="page3"/>
    <w:bookmarkEnd w:id="2"/>
    <w:p>
      <w:pPr>
        <w:spacing w:after="0" w:line="342" w:lineRule="auto"/>
        <w:rPr>
          <w:sz w:val="20"/>
          <w:szCs w:val="20"/>
          <w:color w:val="auto"/>
        </w:rPr>
      </w:pPr>
      <w:r>
        <w:rPr>
          <w:rFonts w:ascii="Arial" w:cs="Arial" w:eastAsia="Arial" w:hAnsi="Arial"/>
          <w:sz w:val="16"/>
          <w:szCs w:val="16"/>
          <w:color w:val="auto"/>
        </w:rPr>
        <w:t>proposals presented to shareholders, but will not be treated as votes in favor of the proposals. Accordingly, a withholding or an abstention will have the effect of a negative vote. Broker non-votes are not counted for purposes of determining the total number of votes cast on proposals presented to shareholders.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OUTSTANDING SHARES AND VOTING RIGHTS</w:t>
      </w:r>
    </w:p>
    <w:p>
      <w:pPr>
        <w:spacing w:after="0" w:line="202" w:lineRule="exact"/>
        <w:rPr>
          <w:sz w:val="20"/>
          <w:szCs w:val="20"/>
          <w:color w:val="auto"/>
        </w:rPr>
      </w:pPr>
    </w:p>
    <w:p>
      <w:pPr>
        <w:ind w:right="360" w:firstLine="350"/>
        <w:spacing w:after="0" w:line="312" w:lineRule="auto"/>
        <w:rPr>
          <w:sz w:val="20"/>
          <w:szCs w:val="20"/>
          <w:color w:val="auto"/>
        </w:rPr>
      </w:pPr>
      <w:r>
        <w:rPr>
          <w:rFonts w:ascii="Arial" w:cs="Arial" w:eastAsia="Arial" w:hAnsi="Arial"/>
          <w:sz w:val="16"/>
          <w:szCs w:val="16"/>
          <w:color w:val="auto"/>
        </w:rPr>
        <w:t>At the close of business on July 3, 2006, the record date, there were 10,171,496 shares of the Company’s common stock, par value $.05 per share, outstanding. The common stock is the only outstanding class of capital stock of the Company. Holders of common stock are entitled to one vote for each share held on the record date with respect to all matters that may be brought before the meeting. There is no cumulative voting for directors.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1)</w:t>
      </w:r>
    </w:p>
    <w:p>
      <w:pPr>
        <w:spacing w:after="0" w:line="170" w:lineRule="exact"/>
        <w:rPr>
          <w:sz w:val="20"/>
          <w:szCs w:val="20"/>
          <w:color w:val="auto"/>
        </w:rPr>
      </w:pPr>
    </w:p>
    <w:p>
      <w:pPr>
        <w:ind w:right="40" w:firstLine="350"/>
        <w:spacing w:after="0" w:line="255" w:lineRule="auto"/>
        <w:rPr>
          <w:sz w:val="20"/>
          <w:szCs w:val="20"/>
          <w:color w:val="auto"/>
        </w:rPr>
      </w:pPr>
      <w:r>
        <w:rPr>
          <w:rFonts w:ascii="Arial" w:cs="Arial" w:eastAsia="Arial" w:hAnsi="Arial"/>
          <w:sz w:val="18"/>
          <w:szCs w:val="18"/>
          <w:color w:val="auto"/>
        </w:rPr>
        <w:t>At the Annual Meeting, seven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Abstentions have the effect of a vote against the nominees. Proxies will be voted for the election of all nominees unless you direct otherwise. Should any nominee decline or be unable to accept such nomination or to serve as a director (an event which the Company’s management does not now expect to occur), proxies will be voted for a substitute nominee or nominees in accordance with the best judgment of the person or persons acting under them.</w:t>
      </w:r>
    </w:p>
    <w:p>
      <w:pPr>
        <w:spacing w:after="0" w:line="162" w:lineRule="exact"/>
        <w:rPr>
          <w:sz w:val="20"/>
          <w:szCs w:val="20"/>
          <w:color w:val="auto"/>
        </w:rPr>
      </w:pPr>
    </w:p>
    <w:p>
      <w:pPr>
        <w:jc w:val="both"/>
        <w:ind w:right="180" w:firstLine="360"/>
        <w:spacing w:after="0" w:line="279" w:lineRule="auto"/>
        <w:rPr>
          <w:sz w:val="20"/>
          <w:szCs w:val="20"/>
          <w:color w:val="auto"/>
        </w:rPr>
      </w:pPr>
      <w:r>
        <w:rPr>
          <w:rFonts w:ascii="Arial" w:cs="Arial" w:eastAsia="Arial" w:hAnsi="Arial"/>
          <w:sz w:val="17"/>
          <w:szCs w:val="17"/>
          <w:color w:val="auto"/>
        </w:rPr>
        <w:t>Our Board of Directors has nominated John S. McKeon, John R. Hawkins, Howard M. Hawkins, Duane M. Jergenson, G. Robert Gey, Daryl I. Skaar, and Eapen Chacko for election to the Board of Directors. On February 8, 2006, our Board of Directors elected Eapen Chacko to the Board of Directors and appointed him to serve on the Audit Committee and the Compensation Committee. Two of the Company’s current directors, Dean L. Hahn and Donald L. Shipp, will not stand for re-election at the Annual Meeting. Both will continue to serve on the Board of Directors until such time.</w:t>
      </w:r>
    </w:p>
    <w:p>
      <w:pPr>
        <w:spacing w:after="0" w:line="127" w:lineRule="exact"/>
        <w:rPr>
          <w:sz w:val="20"/>
          <w:szCs w:val="20"/>
          <w:color w:val="auto"/>
        </w:rPr>
      </w:pPr>
    </w:p>
    <w:p>
      <w:pPr>
        <w:ind w:right="300" w:firstLine="360"/>
        <w:spacing w:after="0" w:line="282" w:lineRule="auto"/>
        <w:rPr>
          <w:sz w:val="20"/>
          <w:szCs w:val="20"/>
          <w:color w:val="auto"/>
        </w:rPr>
      </w:pPr>
      <w:r>
        <w:rPr>
          <w:rFonts w:ascii="Arial" w:cs="Arial" w:eastAsia="Arial" w:hAnsi="Arial"/>
          <w:sz w:val="18"/>
          <w:szCs w:val="18"/>
          <w:b w:val="1"/>
          <w:bCs w:val="1"/>
          <w:color w:val="auto"/>
        </w:rPr>
        <w:t>THE BOARD OF DIRECTORS RECOMMENDS THAT SHAREHOLDERS VOTE “FOR” THE ELECTION OF ALL NOMINEES FOR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Directors</w:t>
      </w:r>
    </w:p>
    <w:p>
      <w:pPr>
        <w:spacing w:after="0" w:line="20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Our directors, including the nominees, have served as directors of the Company continuously since the year indicated below. The following information, as of June 30, 2006, including the principal occupation or employment of each director, has been furnished to the Company by the respective directors. All positions are with the Company unless otherwise noted.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320" w:type="dxa"/>
            <w:vAlign w:val="bottom"/>
          </w:tcPr>
          <w:p>
            <w:pPr>
              <w:spacing w:after="0"/>
              <w:rPr>
                <w:sz w:val="14"/>
                <w:szCs w:val="14"/>
                <w:color w:val="auto"/>
              </w:rPr>
            </w:pPr>
          </w:p>
        </w:tc>
        <w:tc>
          <w:tcPr>
            <w:tcW w:w="67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Occupation</w:t>
            </w:r>
          </w:p>
        </w:tc>
        <w:tc>
          <w:tcPr>
            <w:tcW w:w="320" w:type="dxa"/>
            <w:vAlign w:val="bottom"/>
          </w:tcPr>
          <w:p>
            <w:pPr>
              <w:spacing w:after="0"/>
              <w:rPr>
                <w:sz w:val="14"/>
                <w:szCs w:val="14"/>
                <w:color w:val="auto"/>
              </w:rPr>
            </w:pPr>
          </w:p>
        </w:tc>
        <w:tc>
          <w:tcPr>
            <w:tcW w:w="10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Age</w:t>
            </w:r>
          </w:p>
        </w:tc>
        <w:tc>
          <w:tcPr>
            <w:tcW w:w="3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1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740" w:type="dxa"/>
            <w:vAlign w:val="bottom"/>
          </w:tcPr>
          <w:p>
            <w:pPr>
              <w:jc w:val="center"/>
              <w:spacing w:after="0"/>
              <w:rPr>
                <w:sz w:val="20"/>
                <w:szCs w:val="20"/>
                <w:color w:val="auto"/>
              </w:rPr>
            </w:pPr>
            <w:r>
              <w:rPr>
                <w:rFonts w:ascii="Arial" w:cs="Arial" w:eastAsia="Arial" w:hAnsi="Arial"/>
                <w:sz w:val="14"/>
                <w:szCs w:val="14"/>
                <w:b w:val="1"/>
                <w:bCs w:val="1"/>
                <w:color w:val="auto"/>
                <w:w w:val="94"/>
              </w:rPr>
              <w:t>or Employment</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17"/>
        </w:trPr>
        <w:tc>
          <w:tcPr>
            <w:tcW w:w="14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67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John S. McKeon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John R. Hawkins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Chairman of the Board since September 2005; Retired; President and Chief Operating</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61</w:t>
            </w:r>
          </w:p>
        </w:tc>
        <w:tc>
          <w:tcPr>
            <w:tcW w:w="84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w w:val="97"/>
              </w:rPr>
              <w:t>Officer of ConAgra Foods, Inc. Venture Development Group from November 2003 to June</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2005; President and Chief Operating Officer of ConAgra Foods Snack Group (formerly</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w w:val="97"/>
              </w:rPr>
              <w:t>Golden Valley Microwave Foods, Inc.) from August 1993 to November 2003; President of</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w w:val="96"/>
              </w:rPr>
              <w:t>McKeon Associates, Inc. (corporate finance consulting) from 1991 to 1993; Vice President</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of Northstar Industries, Inc. from 1976 to 1990.</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w w:val="99"/>
              </w:rPr>
              <w:t>Chief Executive Officer since February 2000; Chairman of the Board from 2000 to 2005;</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54</w:t>
            </w:r>
          </w:p>
        </w:tc>
        <w:tc>
          <w:tcPr>
            <w:tcW w:w="84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w w:val="98"/>
              </w:rPr>
              <w:t>President from December 1998 to February 2000; Executive Vice President from 1997 to</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w w:val="96"/>
              </w:rPr>
              <w:t>December 1998; Vice President of Sales from 1987 to 1997; Secretary from 1991 to 1999.</w:t>
            </w: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-1234440</wp:posOffset>
            </wp:positionV>
            <wp:extent cx="7109460" cy="823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9460" cy="823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40" w:space="680"/>
            <w:col w:w="9440"/>
          </w:cols>
          <w:pgMar w:left="240" w:top="125" w:right="299" w:bottom="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10420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2035" cy="2984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Dean L. Hahn*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L. Shipp*</w:t>
      </w:r>
    </w:p>
    <w:p>
      <w:pPr>
        <w:spacing w:after="0" w:line="200" w:lineRule="exact"/>
        <w:rPr>
          <w:sz w:val="20"/>
          <w:szCs w:val="20"/>
          <w:color w:val="auto"/>
        </w:rPr>
      </w:pPr>
    </w:p>
    <w:p>
      <w:pPr>
        <w:spacing w:after="0" w:line="24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Howard M. Hawkins Duane M. Jergenson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 Robert Gey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Daryl I. Skaar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Eapen Chacko</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ind w:left="2720"/>
              <w:spacing w:after="0"/>
              <w:rPr>
                <w:sz w:val="20"/>
                <w:szCs w:val="20"/>
                <w:color w:val="auto"/>
              </w:rPr>
            </w:pPr>
            <w:r>
              <w:rPr>
                <w:rFonts w:ascii="Arial" w:cs="Arial" w:eastAsia="Arial" w:hAnsi="Arial"/>
                <w:sz w:val="14"/>
                <w:szCs w:val="14"/>
                <w:b w:val="1"/>
                <w:bCs w:val="1"/>
                <w:color w:val="auto"/>
              </w:rPr>
              <w:t>Principal Occupation</w:t>
            </w:r>
          </w:p>
        </w:tc>
        <w:tc>
          <w:tcPr>
            <w:tcW w:w="320" w:type="dxa"/>
            <w:vAlign w:val="bottom"/>
          </w:tcPr>
          <w:p>
            <w:pPr>
              <w:spacing w:after="0"/>
              <w:rPr>
                <w:sz w:val="14"/>
                <w:szCs w:val="14"/>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Age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86"/>
        </w:trPr>
        <w:tc>
          <w:tcPr>
            <w:tcW w:w="6740" w:type="dxa"/>
            <w:vAlign w:val="bottom"/>
          </w:tcPr>
          <w:p>
            <w:pPr>
              <w:ind w:left="2880"/>
              <w:spacing w:after="0"/>
              <w:rPr>
                <w:sz w:val="20"/>
                <w:szCs w:val="20"/>
                <w:color w:val="auto"/>
              </w:rPr>
            </w:pPr>
            <w:r>
              <w:rPr>
                <w:rFonts w:ascii="Arial" w:cs="Arial" w:eastAsia="Arial" w:hAnsi="Arial"/>
                <w:sz w:val="14"/>
                <w:szCs w:val="14"/>
                <w:b w:val="1"/>
                <w:bCs w:val="1"/>
                <w:color w:val="auto"/>
              </w:rPr>
              <w:t>or Employment</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17"/>
        </w:trPr>
        <w:tc>
          <w:tcPr>
            <w:tcW w:w="67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740" w:type="dxa"/>
            <w:vAlign w:val="bottom"/>
          </w:tcPr>
          <w:p>
            <w:pPr>
              <w:ind w:left="120"/>
              <w:spacing w:after="0"/>
              <w:rPr>
                <w:sz w:val="20"/>
                <w:szCs w:val="20"/>
                <w:color w:val="auto"/>
              </w:rPr>
            </w:pPr>
            <w:r>
              <w:rPr>
                <w:rFonts w:ascii="Arial" w:cs="Arial" w:eastAsia="Arial" w:hAnsi="Arial"/>
                <w:sz w:val="18"/>
                <w:szCs w:val="18"/>
                <w:color w:val="auto"/>
                <w:w w:val="93"/>
              </w:rPr>
              <w:t>Retired; Chairman of the Board and Chief Executive Officer from 1996 to 2000; President</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72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from 1983 to 1996.</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2"/>
              </w:rPr>
              <w:t>Retired; Vice Chairman from December 1998 to September 2000; President from 1996 to</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71</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7"/>
              </w:rPr>
              <w:t>December 1998; Executive Vice President from 1983 to 1996; President of Feed-Rite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Controls, Inc. (then a subsidiary of the Company) from 1967 to 1996.</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Retired; Treasurer from 1973 to 1999; Vice President from 1996 to 1999.</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62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7"/>
              </w:rPr>
              <w:t>Retired; Vice President of Operations, Taylor Corporation from 1985 to 1999; various</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59</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positions with Taylor Corporation from 1966 to 1985.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4"/>
              </w:rPr>
              <w:t>Retired; President of Fuller Brands from 2003 to 2006 and President of The Fuller Brush</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61</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2"/>
              </w:rPr>
              <w:t>Company from 2002 to 2006; President of Pentair Service Equipment Business from 1996</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1"/>
              </w:rPr>
              <w:t>to 2001; Vice President of Pentair Corporate Development from 1995 to 1996; President of</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3"/>
              </w:rPr>
              <w:t>Niagara Paper Corp. from 1992 to 1995; various positions with Pentair, Inc. from 1983 to</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1992.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3"/>
              </w:rPr>
              <w:t>Retired; Vice President and Chief Procurement Officer of Lucent Technologies from 1997</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64</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6"/>
              </w:rPr>
              <w:t>to 2000; various positions at 3M from 1965 to 1997, most recently as Vice President of</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Purchasing and Packaging Engineering.</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w w:val="93"/>
              </w:rPr>
              <w:t>Vice President and Chief Financial Officer of MedicalCV, Inc. since 2006; Vice President</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58</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30"/>
        </w:trPr>
        <w:tc>
          <w:tcPr>
            <w:tcW w:w="6740" w:type="dxa"/>
            <w:vAlign w:val="bottom"/>
          </w:tcPr>
          <w:p>
            <w:pPr>
              <w:ind w:left="120"/>
              <w:spacing w:after="0"/>
              <w:rPr>
                <w:sz w:val="20"/>
                <w:szCs w:val="20"/>
                <w:color w:val="auto"/>
              </w:rPr>
            </w:pPr>
            <w:r>
              <w:rPr>
                <w:rFonts w:ascii="Arial" w:cs="Arial" w:eastAsia="Arial" w:hAnsi="Arial"/>
                <w:sz w:val="18"/>
                <w:szCs w:val="18"/>
                <w:color w:val="auto"/>
                <w:w w:val="94"/>
              </w:rPr>
              <w:t>and Chief Financial Officer of Possis Medical, Inc. from 2000 to 2005; Vice President for</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-2468880</wp:posOffset>
            </wp:positionV>
            <wp:extent cx="721233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27432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-1783080</wp:posOffset>
            </wp:positionV>
            <wp:extent cx="72123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3716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-1371600</wp:posOffset>
            </wp:positionV>
            <wp:extent cx="7212330"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68580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-273685</wp:posOffset>
            </wp:positionV>
            <wp:extent cx="7212330" cy="335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33591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-2565400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-2565400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-2565400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-2565400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-2565400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-2565400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2">
            <w:col w:w="1520" w:space="440"/>
            <w:col w:w="9400"/>
          </w:cols>
          <w:pgMar w:left="240" w:top="125" w:right="299" w:bottom="0" w:gutter="0" w:footer="0" w:header="0"/>
          <w:type w:val="continuous"/>
        </w:sectPr>
      </w:pPr>
    </w:p>
    <w:bookmarkStart w:id="3" w:name="page4"/>
    <w:bookmarkEnd w:id="3"/>
    <w:p>
      <w:pPr>
        <w:ind w:left="2080" w:right="2920"/>
        <w:spacing w:after="0" w:line="297" w:lineRule="auto"/>
        <w:rPr>
          <w:sz w:val="20"/>
          <w:szCs w:val="20"/>
          <w:color w:val="auto"/>
        </w:rPr>
      </w:pPr>
      <w:r>
        <w:rPr>
          <w:rFonts w:ascii="Arial" w:cs="Arial" w:eastAsia="Arial" w:hAnsi="Arial"/>
          <w:sz w:val="16"/>
          <w:szCs w:val="16"/>
          <w:color w:val="auto"/>
        </w:rPr>
        <w:t>Investor and Public Relations, Corporate Communications of Possis Medical, Inc. from 1999 to 2000; Director of Investor Relations of Fingerhut Companies from 1995 to 1999; Vice President of Equity Capital Markets Research at Dain Bosworth from 1992 to 1995; Vice President of Equity Research of Roulston Research Corporation from 1988 to 1992; Vice President and Chief Economist of Safian Investment Research from 1985 to 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-713105</wp:posOffset>
            </wp:positionV>
            <wp:extent cx="7212330" cy="685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Dean L. Hahn and Donald L. Shipp will not stand for re-election at the Annual Meeting.</w:t>
      </w:r>
    </w:p>
    <w:p>
      <w:pPr>
        <w:spacing w:after="0" w:line="185"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Howard M. Hawkins and John R. Hawkins are brothers. There are no other family relationships between any executive officers or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ind w:right="60" w:firstLine="357"/>
        <w:spacing w:after="0" w:line="264" w:lineRule="auto"/>
        <w:rPr>
          <w:sz w:val="20"/>
          <w:szCs w:val="20"/>
          <w:color w:val="auto"/>
        </w:rPr>
      </w:pPr>
      <w:r>
        <w:rPr>
          <w:rFonts w:ascii="Arial" w:cs="Arial" w:eastAsia="Arial" w:hAnsi="Arial"/>
          <w:sz w:val="18"/>
          <w:szCs w:val="18"/>
          <w:color w:val="auto"/>
        </w:rPr>
        <w:t>The Board of Directors has determined that all of the directors of the Company, except Howard M. Hawkins, John R. Hawkins and John S. McKeon, are “independent” as that term is defined under the applicable independence listing standards of the NASDAQ Stock Market. Accordingly, a majority of the Company’s Board of Directors is independent.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02" w:lineRule="exact"/>
        <w:rPr>
          <w:sz w:val="20"/>
          <w:szCs w:val="20"/>
          <w:color w:val="auto"/>
        </w:rPr>
      </w:pPr>
    </w:p>
    <w:p>
      <w:pPr>
        <w:ind w:right="20" w:firstLine="357"/>
        <w:spacing w:after="0" w:line="264" w:lineRule="auto"/>
        <w:rPr>
          <w:sz w:val="20"/>
          <w:szCs w:val="20"/>
          <w:color w:val="auto"/>
        </w:rPr>
      </w:pPr>
      <w:r>
        <w:rPr>
          <w:rFonts w:ascii="Arial" w:cs="Arial" w:eastAsia="Arial" w:hAnsi="Arial"/>
          <w:sz w:val="18"/>
          <w:szCs w:val="18"/>
          <w:color w:val="auto"/>
        </w:rPr>
        <w:t>The Board of Directors held seven meetings in fiscal 2006. All directors attended at least 75% of the meetings of the Board of Directors and the committees on which they served. All directors attended the Company’s annual meeting of shareholders in 2005. The Board of Directors encourages, but does not require, director attendance at annual meetings of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ind w:right="20" w:firstLine="357"/>
        <w:spacing w:after="0" w:line="302" w:lineRule="auto"/>
        <w:rPr>
          <w:sz w:val="20"/>
          <w:szCs w:val="20"/>
          <w:color w:val="auto"/>
        </w:rPr>
      </w:pPr>
      <w:r>
        <w:rPr>
          <w:rFonts w:ascii="Arial" w:cs="Arial" w:eastAsia="Arial" w:hAnsi="Arial"/>
          <w:sz w:val="16"/>
          <w:szCs w:val="16"/>
          <w:color w:val="auto"/>
        </w:rPr>
        <w:t>The Audit Committee, which consists of Daryl I. Skaar (Chair), Duane M. Jergenson, G. Robert Gey, and Eapen Chacko, is responsible for, among other things, selecting and appointing the Company’s independent auditors, meeting with the independent auditors and financial management to review the scope of the audit and the audit procedures, reviewing annually the responsibilities of the Audit Committee and recommending to the Board of Directors any changes to these responsibilities, and establishing and reviewing internal controls. The Audit Committee held five meetings during fiscal 2006.</w:t>
      </w:r>
    </w:p>
    <w:p>
      <w:pPr>
        <w:spacing w:after="0" w:line="127" w:lineRule="exact"/>
        <w:rPr>
          <w:sz w:val="20"/>
          <w:szCs w:val="20"/>
          <w:color w:val="auto"/>
        </w:rPr>
      </w:pPr>
    </w:p>
    <w:p>
      <w:pPr>
        <w:ind w:firstLine="350"/>
        <w:spacing w:after="0" w:line="279" w:lineRule="auto"/>
        <w:rPr>
          <w:sz w:val="20"/>
          <w:szCs w:val="20"/>
          <w:color w:val="auto"/>
        </w:rPr>
      </w:pPr>
      <w:r>
        <w:rPr>
          <w:rFonts w:ascii="Arial" w:cs="Arial" w:eastAsia="Arial" w:hAnsi="Arial"/>
          <w:sz w:val="17"/>
          <w:szCs w:val="17"/>
          <w:color w:val="auto"/>
        </w:rPr>
        <w:t>All members of the Audit Committee are “independent” as that term is defined in the applicable standards of the NASDAQ Stock Market, Section 301 of the Sarbanes-Oxley Act of 2002 and the rules adopted by the Securities and Exchange Commission (the “SEC”) pursuant to the Sarbanes-Oxley Act. The Board of Directors has determined that Daryl I. Skaar, Duane M. Jergenson, G. Robert Gey, and Eapen Chacko are “audit committee financial experts,” as the term is defined under Section 407 of the Sarbanes-Oxley Act and the rules promulgated by the SEC in furtherance of Section 407.</w:t>
      </w:r>
    </w:p>
    <w:p>
      <w:pPr>
        <w:spacing w:after="0" w:line="131" w:lineRule="exact"/>
        <w:rPr>
          <w:sz w:val="20"/>
          <w:szCs w:val="20"/>
          <w:color w:val="auto"/>
        </w:rPr>
      </w:pPr>
    </w:p>
    <w:p>
      <w:pPr>
        <w:ind w:right="40" w:firstLine="357"/>
        <w:spacing w:after="0" w:line="259" w:lineRule="auto"/>
        <w:rPr>
          <w:sz w:val="20"/>
          <w:szCs w:val="20"/>
          <w:color w:val="auto"/>
        </w:rPr>
      </w:pPr>
      <w:r>
        <w:rPr>
          <w:rFonts w:ascii="Arial" w:cs="Arial" w:eastAsia="Arial" w:hAnsi="Arial"/>
          <w:sz w:val="18"/>
          <w:szCs w:val="18"/>
          <w:color w:val="auto"/>
        </w:rPr>
        <w:t>The responsibilities of the Audit Committee are set forth in the Audit Committee Charter. The Audit Committee has reviewed and assessed the adequacy of its charter and concluded that the charter satisfactorily states the responsibilities of the Audit Committee. A revised Audit Committee Charter was adopted by the Board of Directors on February 20, 2004, which was included as an appendix to the Proxy Statement furnished to shareholders in connection with the 2004 annual meeting of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02" w:lineRule="exact"/>
        <w:rPr>
          <w:sz w:val="20"/>
          <w:szCs w:val="20"/>
          <w:color w:val="auto"/>
        </w:rPr>
      </w:pPr>
    </w:p>
    <w:p>
      <w:pPr>
        <w:ind w:right="240" w:firstLine="357"/>
        <w:spacing w:after="0" w:line="264" w:lineRule="auto"/>
        <w:rPr>
          <w:sz w:val="20"/>
          <w:szCs w:val="20"/>
          <w:color w:val="auto"/>
        </w:rPr>
      </w:pPr>
      <w:r>
        <w:rPr>
          <w:rFonts w:ascii="Arial" w:cs="Arial" w:eastAsia="Arial" w:hAnsi="Arial"/>
          <w:sz w:val="18"/>
          <w:szCs w:val="18"/>
          <w:color w:val="auto"/>
        </w:rPr>
        <w:t>The Compensation Committee, which consists of Duane M. Jergenson (Chair), G. Robert Gey, Daryl I. Skaar, and Eapen Chacko is responsible for establishing compensation policies for the Company and for reviewing and setting compensation for senior executives of the Company. The Compensation Committee held two meetings during fiscal 2006.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189" w:lineRule="exact"/>
        <w:rPr>
          <w:sz w:val="20"/>
          <w:szCs w:val="20"/>
          <w:color w:val="auto"/>
        </w:rPr>
      </w:pPr>
    </w:p>
    <w:p>
      <w:pPr>
        <w:ind w:right="60" w:firstLine="357"/>
        <w:spacing w:after="0" w:line="255" w:lineRule="auto"/>
        <w:rPr>
          <w:sz w:val="20"/>
          <w:szCs w:val="20"/>
          <w:color w:val="auto"/>
        </w:rPr>
      </w:pPr>
      <w:r>
        <w:rPr>
          <w:rFonts w:ascii="Arial" w:cs="Arial" w:eastAsia="Arial" w:hAnsi="Arial"/>
          <w:sz w:val="18"/>
          <w:szCs w:val="18"/>
          <w:color w:val="auto"/>
        </w:rPr>
        <w:t>The Board of Directors does not have a separately constituted nominating committee and has no written charter related to the nomination process. Given the small size of the Company and its Board, and the small number of new directors elected each year, the Board does not believe that creating a separate nominating committee would result in any greater efficiency in the nominating process or quality of nominees. All members of the Board of Directors participate in the consideration of director nominees, and the approval of a majority of the independent directors is required to nominate a director candidate. In order to maintain flexibility in its consideration of candidates, the Board of Directors does not have a formal policy regarding the consideration of any director candidates recommended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shareholders. However, the Board of Directors would consider for possible nomination qualified nominees recommended by shareholders in compliance with the Company’s By-laws. To make a director nomination, a shareholder should send the director candidate’s name, credentials and contact information, a signed statement consenting to his or her nomination and agreeing, if elected, to serve as a director, and a completed director nominee questionnaire (available from the Secretary of the Company upon request) to the Secretary of the Company no later than 60 days after the end of the Company’s fiscal year. The proposing shareholder should also include his or her contact information and a statement of his or her share ownership (how many shares of the Company owned and for how long). The Board of Directors will evaluate candidates (nominated by shareholders or otherwise) based on financial literacy, knowledge of the Company’s industry or other background relevant to the Company’s needs, status as a stakeholder in the Company, “independence” for purposes of compliance with SEC rules and NASDAQ Stock Market listing standards, and willingness, ability and availability for service.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ectPr>
          <w:pgSz w:w="11900" w:h="16838" w:orient="portrait"/>
          <w:cols w:equalWidth="0" w:num="1">
            <w:col w:w="11420"/>
          </w:cols>
          <w:pgMar w:left="240" w:top="125" w:right="239" w:bottom="0" w:gutter="0" w:footer="0" w:header="0"/>
        </w:sectPr>
      </w:pPr>
    </w:p>
    <w:bookmarkStart w:id="4" w:name="page5"/>
    <w:bookmarkEnd w:id="4"/>
    <w:p>
      <w:pPr>
        <w:spacing w:after="0" w:line="42" w:lineRule="exact"/>
        <w:rPr>
          <w:sz w:val="20"/>
          <w:szCs w:val="20"/>
          <w:color w:val="auto"/>
        </w:rPr>
      </w:pPr>
    </w:p>
    <w:p>
      <w:pPr>
        <w:ind w:firstLine="353"/>
        <w:spacing w:after="0" w:line="264" w:lineRule="auto"/>
        <w:rPr>
          <w:sz w:val="20"/>
          <w:szCs w:val="20"/>
          <w:color w:val="auto"/>
        </w:rPr>
      </w:pPr>
      <w:r>
        <w:rPr>
          <w:rFonts w:ascii="Arial" w:cs="Arial" w:eastAsia="Arial" w:hAnsi="Arial"/>
          <w:sz w:val="18"/>
          <w:szCs w:val="18"/>
          <w:color w:val="auto"/>
        </w:rPr>
        <w:t>You can contact the full Board of Directors, the independent directors as a group or any of the individual directors by writing to the Company’s Secretary at 3100 East Hennepin Avenue, Minneapolis, Minnesota 55413. All communications will be compiled by the Secretary and submitted to the addressees on a periodic basis.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02" w:lineRule="exact"/>
        <w:rPr>
          <w:sz w:val="20"/>
          <w:szCs w:val="20"/>
          <w:color w:val="auto"/>
        </w:rPr>
      </w:pPr>
    </w:p>
    <w:p>
      <w:pPr>
        <w:ind w:right="120" w:firstLine="357"/>
        <w:spacing w:after="0" w:line="276" w:lineRule="auto"/>
        <w:rPr>
          <w:sz w:val="20"/>
          <w:szCs w:val="20"/>
          <w:color w:val="auto"/>
        </w:rPr>
      </w:pPr>
      <w:r>
        <w:rPr>
          <w:rFonts w:ascii="Arial" w:cs="Arial" w:eastAsia="Arial" w:hAnsi="Arial"/>
          <w:sz w:val="17"/>
          <w:szCs w:val="17"/>
          <w:color w:val="auto"/>
        </w:rPr>
        <w:t>The Audit Committee has (i) reviewed and discussed the Company’s audited financial statements for the fiscal year ended April 2, 2006 with both the Company’s management and its independent auditors, Deloitte &amp; Touche LLP (“Deloitte”); (ii) discussed with Deloitte the matters required to be discussed by Statement of Auditing Standards No. 61 regarding communications with audit committees; (iii) received from Deloitte the written disclosures and the letter required by Independence Standards Board Standard No. 1 and discussed with Deloitte its independence; and (iv) considered whether the level of non-audit services provided by Deloitte is compatible with maintaining the independence of Deloitte.</w:t>
      </w:r>
    </w:p>
    <w:p>
      <w:pPr>
        <w:spacing w:after="0" w:line="132" w:lineRule="exact"/>
        <w:rPr>
          <w:sz w:val="20"/>
          <w:szCs w:val="20"/>
          <w:color w:val="auto"/>
        </w:rPr>
      </w:pPr>
    </w:p>
    <w:p>
      <w:pPr>
        <w:ind w:right="640" w:firstLine="360"/>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the Company’s audited financial statements be included in the Company’s Annual Report on Form 10-K for the fiscal year ended April 2, 2006 for filing with the SEC.</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Daryl I. Skaar (Chair) Duane M. Jergenson G. Robert Gey Eapen Chacko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FEES</w:t>
      </w:r>
    </w:p>
    <w:p>
      <w:pPr>
        <w:spacing w:after="0" w:line="189" w:lineRule="exact"/>
        <w:rPr>
          <w:sz w:val="20"/>
          <w:szCs w:val="20"/>
          <w:color w:val="auto"/>
        </w:rPr>
      </w:pPr>
    </w:p>
    <w:p>
      <w:pPr>
        <w:ind w:right="300" w:firstLine="357"/>
        <w:spacing w:after="0" w:line="277" w:lineRule="auto"/>
        <w:rPr>
          <w:sz w:val="20"/>
          <w:szCs w:val="20"/>
          <w:color w:val="auto"/>
        </w:rPr>
      </w:pPr>
      <w:r>
        <w:rPr>
          <w:rFonts w:ascii="Arial" w:cs="Arial" w:eastAsia="Arial" w:hAnsi="Arial"/>
          <w:sz w:val="18"/>
          <w:szCs w:val="18"/>
          <w:color w:val="auto"/>
        </w:rPr>
        <w:t>The following table shows the aggregate fees billed to the Company by Deloitte for services rendered during the fiscal years ended April 2, 2006 and April 3, 2005. The Audit Committee pre-approved 100% of the services described below.</w:t>
      </w:r>
    </w:p>
    <w:p>
      <w:pPr>
        <w:spacing w:after="0" w:line="122"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6420" w:type="dxa"/>
            <w:vAlign w:val="bottom"/>
          </w:tcPr>
          <w:p>
            <w:pPr>
              <w:spacing w:after="0"/>
              <w:rPr>
                <w:sz w:val="20"/>
                <w:szCs w:val="20"/>
                <w:color w:val="auto"/>
              </w:rPr>
            </w:pPr>
            <w:r>
              <w:rPr>
                <w:rFonts w:ascii="Arial" w:cs="Arial" w:eastAsia="Arial" w:hAnsi="Arial"/>
                <w:sz w:val="14"/>
                <w:szCs w:val="14"/>
                <w:b w:val="1"/>
                <w:bCs w:val="1"/>
                <w:color w:val="auto"/>
              </w:rPr>
              <w:t>Description of Fees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2006</w:t>
            </w:r>
          </w:p>
        </w:tc>
        <w:tc>
          <w:tcPr>
            <w:tcW w:w="24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2005</w:t>
            </w:r>
          </w:p>
        </w:tc>
      </w:tr>
      <w:tr>
        <w:trPr>
          <w:trHeight w:val="117"/>
        </w:trPr>
        <w:tc>
          <w:tcPr>
            <w:tcW w:w="6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6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420" w:type="dxa"/>
            <w:vAlign w:val="bottom"/>
            <w:shd w:val="clear" w:color="auto" w:fill="D6F3E8"/>
          </w:tcPr>
          <w:p>
            <w:pPr>
              <w:spacing w:after="0"/>
              <w:rPr>
                <w:sz w:val="20"/>
                <w:szCs w:val="20"/>
                <w:color w:val="auto"/>
              </w:rPr>
            </w:pPr>
            <w:r>
              <w:rPr>
                <w:rFonts w:ascii="Arial" w:cs="Arial" w:eastAsia="Arial" w:hAnsi="Arial"/>
                <w:sz w:val="18"/>
                <w:szCs w:val="18"/>
                <w:color w:val="auto"/>
              </w:rPr>
              <w:t>Audit Fees</w:t>
            </w:r>
          </w:p>
        </w:tc>
        <w:tc>
          <w:tcPr>
            <w:tcW w:w="4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333,000</w:t>
            </w:r>
          </w:p>
        </w:tc>
        <w:tc>
          <w:tcPr>
            <w:tcW w:w="3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2"/>
              </w:rPr>
              <w:t>391,000</w:t>
            </w:r>
          </w:p>
        </w:tc>
        <w:tc>
          <w:tcPr>
            <w:tcW w:w="60" w:type="dxa"/>
            <w:vAlign w:val="bottom"/>
            <w:shd w:val="clear" w:color="auto" w:fill="D6F3E8"/>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Audit-Related Fees (1)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r>
      <w:tr>
        <w:trPr>
          <w:trHeight w:val="216"/>
        </w:trPr>
        <w:tc>
          <w:tcPr>
            <w:tcW w:w="6420" w:type="dxa"/>
            <w:vAlign w:val="bottom"/>
            <w:shd w:val="clear" w:color="auto" w:fill="D6F3E8"/>
          </w:tcPr>
          <w:p>
            <w:pPr>
              <w:spacing w:after="0"/>
              <w:rPr>
                <w:sz w:val="20"/>
                <w:szCs w:val="20"/>
                <w:color w:val="auto"/>
              </w:rPr>
            </w:pPr>
            <w:r>
              <w:rPr>
                <w:rFonts w:ascii="Arial" w:cs="Arial" w:eastAsia="Arial" w:hAnsi="Arial"/>
                <w:sz w:val="18"/>
                <w:szCs w:val="18"/>
                <w:color w:val="auto"/>
              </w:rPr>
              <w:t>Tax Fees (2)</w:t>
            </w:r>
          </w:p>
        </w:tc>
        <w:tc>
          <w:tcPr>
            <w:tcW w:w="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D6F3E8"/>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All Other Fees (3)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64,000</w:t>
            </w:r>
          </w:p>
        </w:tc>
        <w:tc>
          <w:tcPr>
            <w:tcW w:w="60" w:type="dxa"/>
            <w:vAlign w:val="bottom"/>
          </w:tcPr>
          <w:p>
            <w:pPr>
              <w:spacing w:after="0"/>
              <w:rPr>
                <w:sz w:val="20"/>
                <w:szCs w:val="20"/>
                <w:color w:val="auto"/>
              </w:rPr>
            </w:pPr>
          </w:p>
        </w:tc>
      </w:tr>
      <w:tr>
        <w:trPr>
          <w:trHeight w:val="117"/>
        </w:trPr>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6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4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354,000</w:t>
            </w:r>
          </w:p>
        </w:tc>
        <w:tc>
          <w:tcPr>
            <w:tcW w:w="3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2"/>
              </w:rPr>
              <w:t>479,000</w:t>
            </w:r>
          </w:p>
        </w:tc>
        <w:tc>
          <w:tcPr>
            <w:tcW w:w="60" w:type="dxa"/>
            <w:vAlign w:val="bottom"/>
            <w:shd w:val="clear" w:color="auto" w:fill="D6F3E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-944880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-944880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-944880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-944880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-944880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-944880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-233045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-233045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-233045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-233045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020" w:hanging="47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fees for audits in connection with the Company’s benefit plans.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fees for tax consulting.</w:t>
      </w:r>
    </w:p>
    <w:p>
      <w:pPr>
        <w:spacing w:after="0" w:line="90" w:lineRule="exact"/>
        <w:rPr>
          <w:rFonts w:ascii="Arial" w:cs="Arial" w:eastAsia="Arial" w:hAnsi="Arial"/>
          <w:sz w:val="18"/>
          <w:szCs w:val="18"/>
          <w:color w:val="auto"/>
        </w:rPr>
      </w:pPr>
    </w:p>
    <w:p>
      <w:pPr>
        <w:ind w:left="1020" w:right="260" w:hanging="472"/>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Fiscal 2005 fees include consulting services related to the selection, design and quality review of an Enterprise Resource Planning system of $47,000, consulting services related to Sarbanes-Oxley Act compliance of $7,000, and other consulting services of $10,000.</w:t>
      </w:r>
    </w:p>
    <w:p>
      <w:pPr>
        <w:spacing w:after="0" w:line="174" w:lineRule="exact"/>
        <w:rPr>
          <w:sz w:val="20"/>
          <w:szCs w:val="20"/>
          <w:color w:val="auto"/>
        </w:rPr>
      </w:pPr>
    </w:p>
    <w:p>
      <w:pPr>
        <w:ind w:right="80" w:firstLine="357"/>
        <w:spacing w:after="0" w:line="259" w:lineRule="auto"/>
        <w:rPr>
          <w:sz w:val="20"/>
          <w:szCs w:val="20"/>
          <w:color w:val="auto"/>
        </w:rPr>
      </w:pPr>
      <w:r>
        <w:rPr>
          <w:rFonts w:ascii="Arial" w:cs="Arial" w:eastAsia="Arial" w:hAnsi="Arial"/>
          <w:sz w:val="18"/>
          <w:szCs w:val="18"/>
          <w:color w:val="auto"/>
        </w:rPr>
        <w:t>The Audit Committee’s current practice on pre-approval of services performed by the independent auditors is to approve annually all audit services and, on a case-by-case basis, recurring permissible non-audit services to be provided by the independent auditors during the fiscal year. The Audit Committee reviews each non-audit service to be provided and assesses the impact of the service on the auditors’ independence. In addition, the Audit Committee may pre-approve other non-audit services during the year on a case-by-case basis.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 ON ANNUAL COMPENSATION</w:t>
      </w:r>
    </w:p>
    <w:p>
      <w:pPr>
        <w:spacing w:after="0" w:line="189" w:lineRule="exact"/>
        <w:rPr>
          <w:sz w:val="20"/>
          <w:szCs w:val="20"/>
          <w:color w:val="auto"/>
        </w:rPr>
      </w:pPr>
    </w:p>
    <w:p>
      <w:pPr>
        <w:ind w:right="160" w:firstLine="357"/>
        <w:spacing w:after="0" w:line="264" w:lineRule="auto"/>
        <w:rPr>
          <w:sz w:val="20"/>
          <w:szCs w:val="20"/>
          <w:color w:val="auto"/>
        </w:rPr>
      </w:pPr>
      <w:r>
        <w:rPr>
          <w:rFonts w:ascii="Arial" w:cs="Arial" w:eastAsia="Arial" w:hAnsi="Arial"/>
          <w:sz w:val="18"/>
          <w:szCs w:val="18"/>
          <w:color w:val="auto"/>
        </w:rPr>
        <w:t>The annual compensation programs of the Company are designed to create incentives and reward performance. The Company’s annual compensation mix generally has lower base salaries than comparable companies, coupled with an incentive system that rewards good performance and the achievement of Company objectives.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Salaries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Salary increases for the Company’s executive officers are based on inflation, performance and increase in corporate profits.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Bonus Plan</w:t>
      </w:r>
    </w:p>
    <w:p>
      <w:pPr>
        <w:spacing w:after="0" w:line="202" w:lineRule="exact"/>
        <w:rPr>
          <w:sz w:val="20"/>
          <w:szCs w:val="20"/>
          <w:color w:val="auto"/>
        </w:rPr>
      </w:pPr>
    </w:p>
    <w:p>
      <w:pPr>
        <w:ind w:right="420" w:firstLine="357"/>
        <w:spacing w:after="0" w:line="259" w:lineRule="auto"/>
        <w:rPr>
          <w:sz w:val="20"/>
          <w:szCs w:val="20"/>
          <w:color w:val="auto"/>
        </w:rPr>
      </w:pPr>
      <w:r>
        <w:rPr>
          <w:rFonts w:ascii="Arial" w:cs="Arial" w:eastAsia="Arial" w:hAnsi="Arial"/>
          <w:sz w:val="18"/>
          <w:szCs w:val="18"/>
          <w:color w:val="auto"/>
        </w:rPr>
        <w:t>The bonus plan for executive officers uses the following factors: corporate performance and business unit performance. The corporate performance ratings are based on a general assessment of the Company’s performance against its income target and the Company’s progress in implementing a new Enterprise Resource Planning (“ERP”) system and complying with the requirements of Section 404 of the Sarbanes-Oxley Act of 2002. Business unit performance ratings are based primarily on business unit profitability.</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Bonuses for Company-wide executive officers are weighted as follows: 50% based upon the Company’s performance against its income targets and 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following factors: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Company’s progress in implementing its ERP system and complying with Section 404 of the Sarbanes-Oxley Act of 2002, (ii) leadership ability and (iii) in the case of the Chief Executive Officer, material margin on the Company’s sales. Bonuses for executive officers who manage business units are generally</w:t>
      </w:r>
    </w:p>
    <w:p>
      <w:pPr>
        <w:sectPr>
          <w:pgSz w:w="11900" w:h="16881" w:orient="portrait"/>
          <w:cols w:equalWidth="0" w:num="1">
            <w:col w:w="11400"/>
          </w:cols>
          <w:pgMar w:left="240" w:top="125" w:right="259" w:bottom="0" w:gutter="0" w:footer="0" w:header="0"/>
        </w:sectPr>
      </w:pPr>
    </w:p>
    <w:bookmarkStart w:id="5" w:name="page6"/>
    <w:bookmarkEnd w:id="5"/>
    <w:p>
      <w:pPr>
        <w:ind w:right="220"/>
        <w:spacing w:after="0" w:line="277" w:lineRule="auto"/>
        <w:rPr>
          <w:sz w:val="20"/>
          <w:szCs w:val="20"/>
          <w:color w:val="auto"/>
        </w:rPr>
      </w:pPr>
      <w:r>
        <w:rPr>
          <w:rFonts w:ascii="Arial" w:cs="Arial" w:eastAsia="Arial" w:hAnsi="Arial"/>
          <w:sz w:val="18"/>
          <w:szCs w:val="18"/>
          <w:color w:val="auto"/>
        </w:rPr>
        <w:t>weighted as follows: 40% based upon the Company’s performance against its income targets, 10% based upon the Company’s progress in implementing its ERP system, 10% based upon leadership ability, and 40% based upon business unit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202" w:lineRule="exact"/>
        <w:rPr>
          <w:sz w:val="20"/>
          <w:szCs w:val="20"/>
          <w:color w:val="auto"/>
        </w:rPr>
      </w:pPr>
    </w:p>
    <w:p>
      <w:pPr>
        <w:ind w:right="240" w:firstLine="360"/>
        <w:spacing w:after="0" w:line="293" w:lineRule="auto"/>
        <w:rPr>
          <w:sz w:val="20"/>
          <w:szCs w:val="20"/>
          <w:color w:val="auto"/>
        </w:rPr>
      </w:pPr>
      <w:r>
        <w:rPr>
          <w:rFonts w:ascii="Arial" w:cs="Arial" w:eastAsia="Arial" w:hAnsi="Arial"/>
          <w:sz w:val="16"/>
          <w:szCs w:val="16"/>
          <w:color w:val="auto"/>
        </w:rPr>
        <w:t>Long-term incentives in the form of restricted stock grants have been used on a limited basis and are intended to provide compensation opportunities based on the creation of shareholder value. The committee believes this promotes the interests of the Company and its shareholders by providing Company personnel with an opportunity to acquire a proprietary interest in the Company and thereby develop a stronger incentive to put forth maximum effort for its continued success and growth. In fiscal 2005, the committee approved the grant of an aggregate of 40,653 shares to its executive officers and other key personnel. There were no additional grants made during fiscal 2006. Employees also have the opportunity to acquire an ownership interest in the Company through the Employee Stock Purchase Plan and the Employee Stock Ownership Plan (limited to non-bargaining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189" w:lineRule="exact"/>
        <w:rPr>
          <w:sz w:val="20"/>
          <w:szCs w:val="20"/>
          <w:color w:val="auto"/>
        </w:rPr>
      </w:pPr>
    </w:p>
    <w:p>
      <w:pPr>
        <w:ind w:right="360" w:firstLine="357"/>
        <w:spacing w:after="0" w:line="291" w:lineRule="auto"/>
        <w:rPr>
          <w:sz w:val="20"/>
          <w:szCs w:val="20"/>
          <w:color w:val="auto"/>
        </w:rPr>
      </w:pPr>
      <w:r>
        <w:rPr>
          <w:rFonts w:ascii="Arial" w:cs="Arial" w:eastAsia="Arial" w:hAnsi="Arial"/>
          <w:sz w:val="16"/>
          <w:szCs w:val="16"/>
          <w:color w:val="auto"/>
        </w:rPr>
        <w:t>The compensation of John R. Hawkins, Chief Executive Officer, is determined in the same manner as set forth above for all other executive officers. During fiscal 2006, Mr. Hawkins’ base salary was increased by 3.2% over fiscal 2005 to $262,588 primarily as a result of inflation. For fiscal 2006,</w:t>
      </w:r>
    </w:p>
    <w:p>
      <w:pPr>
        <w:spacing w:after="0" w:line="255" w:lineRule="auto"/>
        <w:rPr>
          <w:sz w:val="20"/>
          <w:szCs w:val="20"/>
          <w:color w:val="auto"/>
        </w:rPr>
      </w:pPr>
      <w:r>
        <w:rPr>
          <w:rFonts w:ascii="Arial" w:cs="Arial" w:eastAsia="Arial" w:hAnsi="Arial"/>
          <w:sz w:val="18"/>
          <w:szCs w:val="18"/>
          <w:color w:val="auto"/>
        </w:rPr>
        <w:t>Mr. Hawkins received a cash bonus pursuant to the Company’s executive bonus plan described above in the amount of $108,985, which is equal to 42% of his base salary as of the end of the fiscal year. During fiscal 2006, Mr. Hawkins became fully vested in 7,350 shares of restricted stock that were granted during Fiscal 2005.</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Duane M. Jergenson (Chair) G. Robert Gey Daryl I. Skaar Eapen Chacko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STOCK PERFORMANCE GRAPH</w:t>
      </w:r>
    </w:p>
    <w:p>
      <w:pPr>
        <w:spacing w:after="0" w:line="189" w:lineRule="exact"/>
        <w:rPr>
          <w:sz w:val="20"/>
          <w:szCs w:val="20"/>
          <w:color w:val="auto"/>
        </w:rPr>
      </w:pPr>
    </w:p>
    <w:p>
      <w:pPr>
        <w:ind w:firstLine="357"/>
        <w:spacing w:after="0" w:line="297" w:lineRule="auto"/>
        <w:rPr>
          <w:sz w:val="20"/>
          <w:szCs w:val="20"/>
          <w:color w:val="auto"/>
        </w:rPr>
      </w:pPr>
      <w:r>
        <w:rPr>
          <w:rFonts w:ascii="Arial" w:cs="Arial" w:eastAsia="Arial" w:hAnsi="Arial"/>
          <w:sz w:val="16"/>
          <w:szCs w:val="16"/>
          <w:color w:val="auto"/>
        </w:rPr>
        <w:t>The following is a graph comparing the cumulative total shareholder return on the Company’s common stock with the cumulative total returns of the NASDAQ Industrial Index and the NASDAQ Composite Index for the Company’s six-month transitional period ended March 31, 2002 and the fiscal years ended March 30, 2003, March 28, 2004, April 3, 2005, and April 2, 2006. The Company changed its fiscal year end from the Sunday closest to September 30 to the Sunday closest to March 31, beginning after a six-month transitional period ended on March 31, 2002. The graph assumes the investment of $100 in the Company’s common stock, the NASDAQ Composite Index and the NASDAQ Industrial Index on October 1, 2001,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92075</wp:posOffset>
            </wp:positionV>
            <wp:extent cx="3267075" cy="2298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6707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89" w:lineRule="exact"/>
        <w:rPr>
          <w:sz w:val="20"/>
          <w:szCs w:val="20"/>
          <w:color w:val="auto"/>
        </w:rPr>
      </w:pPr>
    </w:p>
    <w:p>
      <w:pPr>
        <w:ind w:right="560" w:firstLine="357"/>
        <w:spacing w:after="0" w:line="277" w:lineRule="auto"/>
        <w:rPr>
          <w:sz w:val="20"/>
          <w:szCs w:val="20"/>
          <w:color w:val="auto"/>
        </w:rPr>
      </w:pPr>
      <w:r>
        <w:rPr>
          <w:rFonts w:ascii="Arial" w:cs="Arial" w:eastAsia="Arial" w:hAnsi="Arial"/>
          <w:sz w:val="18"/>
          <w:szCs w:val="18"/>
          <w:color w:val="auto"/>
        </w:rPr>
        <w:t>The following table sets forth the compensation of the Chief Executive Officer and the four other highest paid executive officers (collectively, the “Named Executive Officers”):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Annual Compensation</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Fiscal</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ind w:left="34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32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9"/>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Salary ($)</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Bonus ($)</w:t>
            </w:r>
          </w:p>
        </w:tc>
        <w:tc>
          <w:tcPr>
            <w:tcW w:w="102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86"/>
        </w:trPr>
        <w:tc>
          <w:tcPr>
            <w:tcW w:w="34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20" w:type="dxa"/>
            <w:vAlign w:val="bottom"/>
          </w:tcPr>
          <w:p>
            <w:pPr>
              <w:ind w:left="34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Arial" w:cs="Arial" w:eastAsia="Arial" w:hAnsi="Arial"/>
                <w:sz w:val="14"/>
                <w:szCs w:val="14"/>
                <w:b w:val="1"/>
                <w:bCs w:val="1"/>
                <w:color w:val="auto"/>
              </w:rPr>
              <w:t>($)(b)</w:t>
            </w:r>
          </w:p>
        </w:tc>
        <w:tc>
          <w:tcPr>
            <w:tcW w:w="3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($)(c)(d)</w:t>
            </w: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ind w:left="280"/>
              <w:spacing w:after="0"/>
              <w:rPr>
                <w:sz w:val="20"/>
                <w:szCs w:val="20"/>
                <w:color w:val="auto"/>
              </w:rPr>
            </w:pPr>
            <w:r>
              <w:rPr>
                <w:rFonts w:ascii="Arial" w:cs="Arial" w:eastAsia="Arial" w:hAnsi="Arial"/>
                <w:sz w:val="18"/>
                <w:szCs w:val="18"/>
                <w:color w:val="auto"/>
              </w:rPr>
              <w:t>2006</w:t>
            </w:r>
          </w:p>
        </w:tc>
        <w:tc>
          <w:tcPr>
            <w:tcW w:w="1320" w:type="dxa"/>
            <w:vAlign w:val="bottom"/>
            <w:gridSpan w:val="2"/>
            <w:shd w:val="clear" w:color="auto" w:fill="D6F3E8"/>
          </w:tcPr>
          <w:p>
            <w:pPr>
              <w:jc w:val="right"/>
              <w:ind w:right="88"/>
              <w:spacing w:after="0"/>
              <w:rPr>
                <w:sz w:val="20"/>
                <w:szCs w:val="20"/>
                <w:color w:val="auto"/>
              </w:rPr>
            </w:pPr>
            <w:r>
              <w:rPr>
                <w:rFonts w:ascii="Arial" w:cs="Arial" w:eastAsia="Arial" w:hAnsi="Arial"/>
                <w:sz w:val="18"/>
                <w:szCs w:val="18"/>
                <w:color w:val="auto"/>
              </w:rPr>
              <w:t>262,588</w:t>
            </w:r>
          </w:p>
        </w:tc>
        <w:tc>
          <w:tcPr>
            <w:tcW w:w="1340" w:type="dxa"/>
            <w:vAlign w:val="bottom"/>
            <w:gridSpan w:val="3"/>
            <w:shd w:val="clear" w:color="auto" w:fill="D6F3E8"/>
          </w:tcPr>
          <w:p>
            <w:pPr>
              <w:jc w:val="right"/>
              <w:ind w:right="88"/>
              <w:spacing w:after="0"/>
              <w:rPr>
                <w:sz w:val="20"/>
                <w:szCs w:val="20"/>
                <w:color w:val="auto"/>
              </w:rPr>
            </w:pPr>
            <w:r>
              <w:rPr>
                <w:rFonts w:ascii="Arial" w:cs="Arial" w:eastAsia="Arial" w:hAnsi="Arial"/>
                <w:sz w:val="18"/>
                <w:szCs w:val="18"/>
                <w:color w:val="auto"/>
              </w:rPr>
              <w:t>108,985</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360"/>
              <w:spacing w:after="0"/>
              <w:rPr>
                <w:sz w:val="20"/>
                <w:szCs w:val="20"/>
                <w:color w:val="auto"/>
              </w:rPr>
            </w:pPr>
            <w:r>
              <w:rPr>
                <w:rFonts w:ascii="Arial" w:cs="Arial" w:eastAsia="Arial" w:hAnsi="Arial"/>
                <w:sz w:val="18"/>
                <w:szCs w:val="18"/>
                <w:color w:val="auto"/>
              </w:rPr>
              <w:t>4,500</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28"/>
              <w:spacing w:after="0"/>
              <w:rPr>
                <w:sz w:val="20"/>
                <w:szCs w:val="20"/>
                <w:color w:val="auto"/>
              </w:rPr>
            </w:pPr>
            <w:r>
              <w:rPr>
                <w:rFonts w:ascii="Arial" w:cs="Arial" w:eastAsia="Arial" w:hAnsi="Arial"/>
                <w:sz w:val="18"/>
                <w:szCs w:val="18"/>
                <w:color w:val="auto"/>
              </w:rPr>
              <w:t>40,953</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Chief Executive Officer</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ind w:left="280"/>
              <w:spacing w:after="0"/>
              <w:rPr>
                <w:sz w:val="20"/>
                <w:szCs w:val="20"/>
                <w:color w:val="auto"/>
              </w:rPr>
            </w:pPr>
            <w:r>
              <w:rPr>
                <w:rFonts w:ascii="Arial" w:cs="Arial" w:eastAsia="Arial" w:hAnsi="Arial"/>
                <w:sz w:val="18"/>
                <w:szCs w:val="18"/>
                <w:color w:val="auto"/>
              </w:rPr>
              <w:t>2005</w:t>
            </w:r>
          </w:p>
        </w:tc>
        <w:tc>
          <w:tcPr>
            <w:tcW w:w="1320" w:type="dxa"/>
            <w:vAlign w:val="bottom"/>
            <w:gridSpan w:val="2"/>
            <w:shd w:val="clear" w:color="auto" w:fill="D6F3E8"/>
          </w:tcPr>
          <w:p>
            <w:pPr>
              <w:jc w:val="right"/>
              <w:ind w:right="88"/>
              <w:spacing w:after="0"/>
              <w:rPr>
                <w:sz w:val="20"/>
                <w:szCs w:val="20"/>
                <w:color w:val="auto"/>
              </w:rPr>
            </w:pPr>
            <w:r>
              <w:rPr>
                <w:rFonts w:ascii="Arial" w:cs="Arial" w:eastAsia="Arial" w:hAnsi="Arial"/>
                <w:sz w:val="18"/>
                <w:szCs w:val="18"/>
                <w:color w:val="auto"/>
              </w:rPr>
              <w:t>254,520</w:t>
            </w:r>
          </w:p>
        </w:tc>
        <w:tc>
          <w:tcPr>
            <w:tcW w:w="1340" w:type="dxa"/>
            <w:vAlign w:val="bottom"/>
            <w:gridSpan w:val="3"/>
            <w:shd w:val="clear" w:color="auto" w:fill="D6F3E8"/>
          </w:tcPr>
          <w:p>
            <w:pPr>
              <w:jc w:val="right"/>
              <w:ind w:right="88"/>
              <w:spacing w:after="0"/>
              <w:rPr>
                <w:sz w:val="20"/>
                <w:szCs w:val="20"/>
                <w:color w:val="auto"/>
              </w:rPr>
            </w:pPr>
            <w:r>
              <w:rPr>
                <w:rFonts w:ascii="Arial" w:cs="Arial" w:eastAsia="Arial" w:hAnsi="Arial"/>
                <w:sz w:val="18"/>
                <w:szCs w:val="18"/>
                <w:color w:val="auto"/>
              </w:rPr>
              <w:t>111,225</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360"/>
              <w:spacing w:after="0"/>
              <w:rPr>
                <w:sz w:val="20"/>
                <w:szCs w:val="20"/>
                <w:color w:val="auto"/>
              </w:rPr>
            </w:pPr>
            <w:r>
              <w:rPr>
                <w:rFonts w:ascii="Arial" w:cs="Arial" w:eastAsia="Arial" w:hAnsi="Arial"/>
                <w:sz w:val="18"/>
                <w:szCs w:val="18"/>
                <w:color w:val="auto"/>
              </w:rPr>
              <w:t>4,500</w:t>
            </w:r>
          </w:p>
        </w:tc>
        <w:tc>
          <w:tcPr>
            <w:tcW w:w="1340" w:type="dxa"/>
            <w:vAlign w:val="bottom"/>
            <w:gridSpan w:val="2"/>
            <w:shd w:val="clear" w:color="auto" w:fill="D6F3E8"/>
          </w:tcPr>
          <w:p>
            <w:pPr>
              <w:ind w:left="640"/>
              <w:spacing w:after="0"/>
              <w:rPr>
                <w:sz w:val="20"/>
                <w:szCs w:val="20"/>
                <w:color w:val="auto"/>
              </w:rPr>
            </w:pPr>
            <w:r>
              <w:rPr>
                <w:rFonts w:ascii="Arial" w:cs="Arial" w:eastAsia="Arial" w:hAnsi="Arial"/>
                <w:sz w:val="18"/>
                <w:szCs w:val="18"/>
                <w:color w:val="auto"/>
              </w:rPr>
              <w:t>87,980</w:t>
            </w:r>
          </w:p>
        </w:tc>
        <w:tc>
          <w:tcPr>
            <w:tcW w:w="1340" w:type="dxa"/>
            <w:vAlign w:val="bottom"/>
            <w:gridSpan w:val="2"/>
            <w:shd w:val="clear" w:color="auto" w:fill="D6F3E8"/>
          </w:tcPr>
          <w:p>
            <w:pPr>
              <w:jc w:val="right"/>
              <w:ind w:right="128"/>
              <w:spacing w:after="0"/>
              <w:rPr>
                <w:sz w:val="20"/>
                <w:szCs w:val="20"/>
                <w:color w:val="auto"/>
              </w:rPr>
            </w:pPr>
            <w:r>
              <w:rPr>
                <w:rFonts w:ascii="Arial" w:cs="Arial" w:eastAsia="Arial" w:hAnsi="Arial"/>
                <w:sz w:val="18"/>
                <w:szCs w:val="18"/>
                <w:color w:val="auto"/>
              </w:rPr>
              <w:t>41,000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ind w:left="280"/>
              <w:spacing w:after="0"/>
              <w:rPr>
                <w:sz w:val="20"/>
                <w:szCs w:val="20"/>
                <w:color w:val="auto"/>
              </w:rPr>
            </w:pPr>
            <w:r>
              <w:rPr>
                <w:rFonts w:ascii="Arial" w:cs="Arial" w:eastAsia="Arial" w:hAnsi="Arial"/>
                <w:sz w:val="18"/>
                <w:szCs w:val="18"/>
                <w:color w:val="auto"/>
              </w:rPr>
              <w:t>2004</w:t>
            </w:r>
          </w:p>
        </w:tc>
        <w:tc>
          <w:tcPr>
            <w:tcW w:w="1320" w:type="dxa"/>
            <w:vAlign w:val="bottom"/>
            <w:gridSpan w:val="2"/>
            <w:shd w:val="clear" w:color="auto" w:fill="D6F3E8"/>
          </w:tcPr>
          <w:p>
            <w:pPr>
              <w:jc w:val="right"/>
              <w:ind w:right="88"/>
              <w:spacing w:after="0"/>
              <w:rPr>
                <w:sz w:val="20"/>
                <w:szCs w:val="20"/>
                <w:color w:val="auto"/>
              </w:rPr>
            </w:pPr>
            <w:r>
              <w:rPr>
                <w:rFonts w:ascii="Arial" w:cs="Arial" w:eastAsia="Arial" w:hAnsi="Arial"/>
                <w:sz w:val="18"/>
                <w:szCs w:val="18"/>
                <w:color w:val="auto"/>
              </w:rPr>
              <w:t>209,800</w:t>
            </w:r>
          </w:p>
        </w:tc>
        <w:tc>
          <w:tcPr>
            <w:tcW w:w="1340" w:type="dxa"/>
            <w:vAlign w:val="bottom"/>
            <w:gridSpan w:val="3"/>
            <w:shd w:val="clear" w:color="auto" w:fill="D6F3E8"/>
          </w:tcPr>
          <w:p>
            <w:pPr>
              <w:jc w:val="right"/>
              <w:ind w:right="88"/>
              <w:spacing w:after="0"/>
              <w:rPr>
                <w:sz w:val="20"/>
                <w:szCs w:val="20"/>
                <w:color w:val="auto"/>
              </w:rPr>
            </w:pPr>
            <w:r>
              <w:rPr>
                <w:rFonts w:ascii="Arial" w:cs="Arial" w:eastAsia="Arial" w:hAnsi="Arial"/>
                <w:sz w:val="18"/>
                <w:szCs w:val="18"/>
                <w:color w:val="auto"/>
              </w:rPr>
              <w:t>105,000</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360"/>
              <w:spacing w:after="0"/>
              <w:rPr>
                <w:sz w:val="20"/>
                <w:szCs w:val="20"/>
                <w:color w:val="auto"/>
              </w:rPr>
            </w:pPr>
            <w:r>
              <w:rPr>
                <w:rFonts w:ascii="Arial" w:cs="Arial" w:eastAsia="Arial" w:hAnsi="Arial"/>
                <w:sz w:val="18"/>
                <w:szCs w:val="18"/>
                <w:color w:val="auto"/>
              </w:rPr>
              <w:t>4,500</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28"/>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Marvin E. Dee</w:t>
            </w:r>
          </w:p>
        </w:tc>
        <w:tc>
          <w:tcPr>
            <w:tcW w:w="100" w:type="dxa"/>
            <w:vAlign w:val="bottom"/>
          </w:tcPr>
          <w:p>
            <w:pPr>
              <w:spacing w:after="0"/>
              <w:rPr>
                <w:sz w:val="17"/>
                <w:szCs w:val="17"/>
                <w:color w:val="auto"/>
              </w:rPr>
            </w:pPr>
          </w:p>
        </w:tc>
        <w:tc>
          <w:tcPr>
            <w:tcW w:w="920" w:type="dxa"/>
            <w:vAlign w:val="bottom"/>
          </w:tcPr>
          <w:p>
            <w:pPr>
              <w:ind w:left="280"/>
              <w:spacing w:after="0" w:line="201" w:lineRule="exact"/>
              <w:rPr>
                <w:sz w:val="20"/>
                <w:szCs w:val="20"/>
                <w:color w:val="auto"/>
              </w:rPr>
            </w:pPr>
            <w:r>
              <w:rPr>
                <w:rFonts w:ascii="Arial" w:cs="Arial" w:eastAsia="Arial" w:hAnsi="Arial"/>
                <w:sz w:val="18"/>
                <w:szCs w:val="18"/>
                <w:color w:val="auto"/>
              </w:rPr>
              <w:t>2006</w:t>
            </w:r>
          </w:p>
        </w:tc>
        <w:tc>
          <w:tcPr>
            <w:tcW w:w="1320" w:type="dxa"/>
            <w:vAlign w:val="bottom"/>
            <w:gridSpan w:val="2"/>
          </w:tcPr>
          <w:p>
            <w:pPr>
              <w:jc w:val="right"/>
              <w:ind w:right="88"/>
              <w:spacing w:after="0" w:line="201" w:lineRule="exact"/>
              <w:rPr>
                <w:sz w:val="20"/>
                <w:szCs w:val="20"/>
                <w:color w:val="auto"/>
              </w:rPr>
            </w:pPr>
            <w:r>
              <w:rPr>
                <w:rFonts w:ascii="Arial" w:cs="Arial" w:eastAsia="Arial" w:hAnsi="Arial"/>
                <w:sz w:val="18"/>
                <w:szCs w:val="18"/>
                <w:color w:val="auto"/>
              </w:rPr>
              <w:t>186,513</w:t>
            </w:r>
          </w:p>
        </w:tc>
        <w:tc>
          <w:tcPr>
            <w:tcW w:w="1340" w:type="dxa"/>
            <w:vAlign w:val="bottom"/>
            <w:gridSpan w:val="3"/>
          </w:tcPr>
          <w:p>
            <w:pPr>
              <w:jc w:val="right"/>
              <w:ind w:right="88"/>
              <w:spacing w:after="0" w:line="201" w:lineRule="exact"/>
              <w:rPr>
                <w:sz w:val="20"/>
                <w:szCs w:val="20"/>
                <w:color w:val="auto"/>
              </w:rPr>
            </w:pPr>
            <w:r>
              <w:rPr>
                <w:rFonts w:ascii="Arial" w:cs="Arial" w:eastAsia="Arial" w:hAnsi="Arial"/>
                <w:sz w:val="18"/>
                <w:szCs w:val="18"/>
                <w:color w:val="auto"/>
              </w:rPr>
              <w:t>78,262</w:t>
            </w:r>
          </w:p>
        </w:tc>
        <w:tc>
          <w:tcPr>
            <w:tcW w:w="320" w:type="dxa"/>
            <w:vAlign w:val="bottom"/>
          </w:tcPr>
          <w:p>
            <w:pPr>
              <w:spacing w:after="0"/>
              <w:rPr>
                <w:sz w:val="17"/>
                <w:szCs w:val="17"/>
                <w:color w:val="auto"/>
              </w:rPr>
            </w:pPr>
          </w:p>
        </w:tc>
        <w:tc>
          <w:tcPr>
            <w:tcW w:w="1020" w:type="dxa"/>
            <w:vAlign w:val="bottom"/>
          </w:tcPr>
          <w:p>
            <w:pPr>
              <w:ind w:left="360"/>
              <w:spacing w:after="0" w:line="201" w:lineRule="exact"/>
              <w:rPr>
                <w:sz w:val="20"/>
                <w:szCs w:val="20"/>
                <w:color w:val="auto"/>
              </w:rPr>
            </w:pPr>
            <w:r>
              <w:rPr>
                <w:rFonts w:ascii="Arial" w:cs="Arial" w:eastAsia="Arial" w:hAnsi="Arial"/>
                <w:sz w:val="18"/>
                <w:szCs w:val="18"/>
                <w:color w:val="auto"/>
              </w:rPr>
              <w:t>3,150</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gridSpan w:val="2"/>
          </w:tcPr>
          <w:p>
            <w:pPr>
              <w:jc w:val="right"/>
              <w:ind w:right="128"/>
              <w:spacing w:after="0" w:line="201" w:lineRule="exact"/>
              <w:rPr>
                <w:sz w:val="20"/>
                <w:szCs w:val="20"/>
                <w:color w:val="auto"/>
              </w:rPr>
            </w:pPr>
            <w:r>
              <w:rPr>
                <w:rFonts w:ascii="Arial" w:cs="Arial" w:eastAsia="Arial" w:hAnsi="Arial"/>
                <w:sz w:val="18"/>
                <w:szCs w:val="18"/>
                <w:color w:val="auto"/>
              </w:rPr>
              <w:t>40,953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20"/>
              <w:spacing w:after="0"/>
              <w:rPr>
                <w:sz w:val="20"/>
                <w:szCs w:val="20"/>
                <w:color w:val="auto"/>
              </w:rPr>
            </w:pPr>
            <w:r>
              <w:rPr>
                <w:rFonts w:ascii="Arial" w:cs="Arial" w:eastAsia="Arial" w:hAnsi="Arial"/>
                <w:sz w:val="18"/>
                <w:szCs w:val="18"/>
                <w:color w:val="auto"/>
              </w:rPr>
              <w:t>Vice President,</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2005</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181,800</w:t>
            </w:r>
          </w:p>
        </w:tc>
        <w:tc>
          <w:tcPr>
            <w:tcW w:w="1340" w:type="dxa"/>
            <w:vAlign w:val="bottom"/>
            <w:gridSpan w:val="3"/>
          </w:tcPr>
          <w:p>
            <w:pPr>
              <w:jc w:val="right"/>
              <w:ind w:right="88"/>
              <w:spacing w:after="0"/>
              <w:rPr>
                <w:sz w:val="20"/>
                <w:szCs w:val="20"/>
                <w:color w:val="auto"/>
              </w:rPr>
            </w:pPr>
            <w:r>
              <w:rPr>
                <w:rFonts w:ascii="Arial" w:cs="Arial" w:eastAsia="Arial" w:hAnsi="Arial"/>
                <w:sz w:val="18"/>
                <w:szCs w:val="18"/>
                <w:color w:val="auto"/>
              </w:rPr>
              <w:t>82,932</w:t>
            </w:r>
          </w:p>
        </w:tc>
        <w:tc>
          <w:tcPr>
            <w:tcW w:w="32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rPr>
              <w:t>3,150</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83,790</w:t>
            </w: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2004</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160,855</w:t>
            </w:r>
          </w:p>
        </w:tc>
        <w:tc>
          <w:tcPr>
            <w:tcW w:w="1340" w:type="dxa"/>
            <w:vAlign w:val="bottom"/>
            <w:gridSpan w:val="3"/>
          </w:tcPr>
          <w:p>
            <w:pPr>
              <w:jc w:val="right"/>
              <w:ind w:right="88"/>
              <w:spacing w:after="0"/>
              <w:rPr>
                <w:sz w:val="20"/>
                <w:szCs w:val="20"/>
                <w:color w:val="auto"/>
              </w:rPr>
            </w:pPr>
            <w:r>
              <w:rPr>
                <w:rFonts w:ascii="Arial" w:cs="Arial" w:eastAsia="Arial" w:hAnsi="Arial"/>
                <w:sz w:val="18"/>
                <w:szCs w:val="18"/>
                <w:color w:val="auto"/>
              </w:rPr>
              <w:t>71,400</w:t>
            </w:r>
          </w:p>
        </w:tc>
        <w:tc>
          <w:tcPr>
            <w:tcW w:w="320" w:type="dxa"/>
            <w:vAlign w:val="bottom"/>
          </w:tcPr>
          <w:p>
            <w:pPr>
              <w:spacing w:after="0"/>
              <w:rPr>
                <w:sz w:val="20"/>
                <w:szCs w:val="20"/>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rPr>
              <w:t>3,150</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-1365250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-1365250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-918845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-918845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-918845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-918845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-918845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-918845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-918845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-918845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-918845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-918845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-918845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-918845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-918845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-918845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4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Secretary and Treasurer</w:t>
            </w:r>
          </w:p>
        </w:tc>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3400" w:type="dxa"/>
            <w:vAlign w:val="bottom"/>
            <w:shd w:val="clear" w:color="auto" w:fill="D6F3E8"/>
          </w:tcPr>
          <w:p>
            <w:pPr>
              <w:spacing w:after="0"/>
              <w:rPr>
                <w:sz w:val="20"/>
                <w:szCs w:val="20"/>
                <w:color w:val="auto"/>
              </w:rPr>
            </w:pPr>
            <w:r>
              <w:rPr>
                <w:rFonts w:ascii="Arial" w:cs="Arial" w:eastAsia="Arial" w:hAnsi="Arial"/>
                <w:sz w:val="18"/>
                <w:szCs w:val="18"/>
                <w:color w:val="auto"/>
              </w:rPr>
              <w:t>Keenan A. Paulson</w:t>
            </w:r>
          </w:p>
        </w:tc>
        <w:tc>
          <w:tcPr>
            <w:tcW w:w="1020" w:type="dxa"/>
            <w:vAlign w:val="bottom"/>
            <w:shd w:val="clear" w:color="auto" w:fill="D6F3E8"/>
          </w:tcPr>
          <w:p>
            <w:pPr>
              <w:jc w:val="right"/>
              <w:ind w:right="190"/>
              <w:spacing w:after="0"/>
              <w:rPr>
                <w:sz w:val="20"/>
                <w:szCs w:val="20"/>
                <w:color w:val="auto"/>
              </w:rPr>
            </w:pPr>
            <w:r>
              <w:rPr>
                <w:rFonts w:ascii="Arial" w:cs="Arial" w:eastAsia="Arial" w:hAnsi="Arial"/>
                <w:sz w:val="18"/>
                <w:szCs w:val="18"/>
                <w:color w:val="auto"/>
              </w:rPr>
              <w:t>2006</w:t>
            </w:r>
          </w:p>
        </w:tc>
        <w:tc>
          <w:tcPr>
            <w:tcW w:w="158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168,948</w:t>
            </w:r>
          </w:p>
        </w:tc>
        <w:tc>
          <w:tcPr>
            <w:tcW w:w="13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66,635</w:t>
            </w:r>
          </w:p>
        </w:tc>
        <w:tc>
          <w:tcPr>
            <w:tcW w:w="128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4,500</w:t>
            </w:r>
          </w:p>
        </w:tc>
        <w:tc>
          <w:tcPr>
            <w:tcW w:w="136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210"/>
              <w:spacing w:after="0"/>
              <w:rPr>
                <w:sz w:val="20"/>
                <w:szCs w:val="20"/>
                <w:color w:val="auto"/>
              </w:rPr>
            </w:pPr>
            <w:r>
              <w:rPr>
                <w:rFonts w:ascii="Arial" w:cs="Arial" w:eastAsia="Arial" w:hAnsi="Arial"/>
                <w:sz w:val="18"/>
                <w:szCs w:val="18"/>
                <w:color w:val="auto"/>
              </w:rPr>
              <w:t>40,953</w:t>
            </w:r>
          </w:p>
        </w:tc>
      </w:tr>
      <w:tr>
        <w:trPr>
          <w:trHeight w:val="216"/>
        </w:trPr>
        <w:tc>
          <w:tcPr>
            <w:tcW w:w="34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Vice President -</w:t>
            </w:r>
          </w:p>
        </w:tc>
        <w:tc>
          <w:tcPr>
            <w:tcW w:w="1020" w:type="dxa"/>
            <w:vAlign w:val="bottom"/>
            <w:shd w:val="clear" w:color="auto" w:fill="D6F3E8"/>
          </w:tcPr>
          <w:p>
            <w:pPr>
              <w:jc w:val="right"/>
              <w:ind w:right="190"/>
              <w:spacing w:after="0"/>
              <w:rPr>
                <w:sz w:val="20"/>
                <w:szCs w:val="20"/>
                <w:color w:val="auto"/>
              </w:rPr>
            </w:pPr>
            <w:r>
              <w:rPr>
                <w:rFonts w:ascii="Arial" w:cs="Arial" w:eastAsia="Arial" w:hAnsi="Arial"/>
                <w:sz w:val="18"/>
                <w:szCs w:val="18"/>
                <w:color w:val="auto"/>
              </w:rPr>
              <w:t>2005</w:t>
            </w:r>
          </w:p>
        </w:tc>
        <w:tc>
          <w:tcPr>
            <w:tcW w:w="158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163,267</w:t>
            </w:r>
          </w:p>
        </w:tc>
        <w:tc>
          <w:tcPr>
            <w:tcW w:w="13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61,426</w:t>
            </w:r>
          </w:p>
        </w:tc>
        <w:tc>
          <w:tcPr>
            <w:tcW w:w="128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4,500</w:t>
            </w:r>
          </w:p>
        </w:tc>
        <w:tc>
          <w:tcPr>
            <w:tcW w:w="136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28,728</w:t>
            </w:r>
          </w:p>
        </w:tc>
        <w:tc>
          <w:tcPr>
            <w:tcW w:w="1220" w:type="dxa"/>
            <w:vAlign w:val="bottom"/>
            <w:shd w:val="clear" w:color="auto" w:fill="D6F3E8"/>
          </w:tcPr>
          <w:p>
            <w:pPr>
              <w:jc w:val="right"/>
              <w:ind w:right="210"/>
              <w:spacing w:after="0"/>
              <w:rPr>
                <w:sz w:val="20"/>
                <w:szCs w:val="20"/>
                <w:color w:val="auto"/>
              </w:rPr>
            </w:pPr>
            <w:r>
              <w:rPr>
                <w:rFonts w:ascii="Arial" w:cs="Arial" w:eastAsia="Arial" w:hAnsi="Arial"/>
                <w:sz w:val="18"/>
                <w:szCs w:val="18"/>
                <w:color w:val="auto"/>
              </w:rPr>
              <w:t>41,000</w:t>
            </w:r>
          </w:p>
        </w:tc>
      </w:tr>
      <w:tr>
        <w:trPr>
          <w:trHeight w:val="216"/>
        </w:trPr>
        <w:tc>
          <w:tcPr>
            <w:tcW w:w="34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Water Treatment Group</w:t>
            </w:r>
          </w:p>
        </w:tc>
        <w:tc>
          <w:tcPr>
            <w:tcW w:w="1020" w:type="dxa"/>
            <w:vAlign w:val="bottom"/>
            <w:shd w:val="clear" w:color="auto" w:fill="D6F3E8"/>
          </w:tcPr>
          <w:p>
            <w:pPr>
              <w:jc w:val="right"/>
              <w:ind w:right="190"/>
              <w:spacing w:after="0"/>
              <w:rPr>
                <w:sz w:val="20"/>
                <w:szCs w:val="20"/>
                <w:color w:val="auto"/>
              </w:rPr>
            </w:pPr>
            <w:r>
              <w:rPr>
                <w:rFonts w:ascii="Arial" w:cs="Arial" w:eastAsia="Arial" w:hAnsi="Arial"/>
                <w:sz w:val="18"/>
                <w:szCs w:val="18"/>
                <w:color w:val="auto"/>
              </w:rPr>
              <w:t>2004</w:t>
            </w:r>
          </w:p>
        </w:tc>
        <w:tc>
          <w:tcPr>
            <w:tcW w:w="158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140,530</w:t>
            </w:r>
          </w:p>
        </w:tc>
        <w:tc>
          <w:tcPr>
            <w:tcW w:w="13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69,700</w:t>
            </w:r>
          </w:p>
        </w:tc>
        <w:tc>
          <w:tcPr>
            <w:tcW w:w="128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4,500</w:t>
            </w:r>
          </w:p>
        </w:tc>
        <w:tc>
          <w:tcPr>
            <w:tcW w:w="136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210"/>
              <w:spacing w:after="0"/>
              <w:rPr>
                <w:sz w:val="20"/>
                <w:szCs w:val="20"/>
                <w:color w:val="auto"/>
              </w:rPr>
            </w:pPr>
            <w:r>
              <w:rPr>
                <w:rFonts w:ascii="Arial" w:cs="Arial" w:eastAsia="Arial" w:hAnsi="Arial"/>
                <w:sz w:val="18"/>
                <w:szCs w:val="18"/>
                <w:color w:val="auto"/>
              </w:rPr>
              <w:t>40,000</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John R. Sevenich</w:t>
            </w:r>
          </w:p>
        </w:tc>
        <w:tc>
          <w:tcPr>
            <w:tcW w:w="102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2006</w:t>
            </w:r>
          </w:p>
        </w:tc>
        <w:tc>
          <w:tcPr>
            <w:tcW w:w="158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162,555</w:t>
            </w:r>
          </w:p>
        </w:tc>
        <w:tc>
          <w:tcPr>
            <w:tcW w:w="134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63,773</w:t>
            </w:r>
          </w:p>
        </w:tc>
        <w:tc>
          <w:tcPr>
            <w:tcW w:w="128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4,500</w:t>
            </w:r>
          </w:p>
        </w:tc>
        <w:tc>
          <w:tcPr>
            <w:tcW w:w="1360" w:type="dxa"/>
            <w:vAlign w:val="bottom"/>
          </w:tcPr>
          <w:p>
            <w:pPr>
              <w:spacing w:after="0"/>
              <w:rPr>
                <w:sz w:val="17"/>
                <w:szCs w:val="17"/>
                <w:color w:val="auto"/>
              </w:rPr>
            </w:pPr>
          </w:p>
        </w:tc>
        <w:tc>
          <w:tcPr>
            <w:tcW w:w="12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40,953</w:t>
            </w:r>
          </w:p>
        </w:tc>
      </w:tr>
      <w:tr>
        <w:trPr>
          <w:trHeight w:val="216"/>
        </w:trPr>
        <w:tc>
          <w:tcPr>
            <w:tcW w:w="3400" w:type="dxa"/>
            <w:vAlign w:val="bottom"/>
          </w:tcPr>
          <w:p>
            <w:pPr>
              <w:ind w:left="140"/>
              <w:spacing w:after="0"/>
              <w:rPr>
                <w:sz w:val="20"/>
                <w:szCs w:val="20"/>
                <w:color w:val="auto"/>
              </w:rPr>
            </w:pPr>
            <w:r>
              <w:rPr>
                <w:rFonts w:ascii="Arial" w:cs="Arial" w:eastAsia="Arial" w:hAnsi="Arial"/>
                <w:sz w:val="18"/>
                <w:szCs w:val="18"/>
                <w:color w:val="auto"/>
              </w:rPr>
              <w:t>Vice President -</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2005</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157,560</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57,200</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4,500</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8,739</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40,212</w:t>
            </w: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Industrial Group</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2004</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137,060</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59,000</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4,500</w:t>
            </w:r>
          </w:p>
        </w:tc>
        <w:tc>
          <w:tcPr>
            <w:tcW w:w="13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40,000</w:t>
            </w:r>
          </w:p>
        </w:tc>
      </w:tr>
      <w:tr>
        <w:trPr>
          <w:trHeight w:val="216"/>
        </w:trPr>
        <w:tc>
          <w:tcPr>
            <w:tcW w:w="3400" w:type="dxa"/>
            <w:vAlign w:val="bottom"/>
            <w:shd w:val="clear" w:color="auto" w:fill="D6F3E8"/>
          </w:tcPr>
          <w:p>
            <w:pPr>
              <w:spacing w:after="0"/>
              <w:rPr>
                <w:sz w:val="20"/>
                <w:szCs w:val="20"/>
                <w:color w:val="auto"/>
              </w:rPr>
            </w:pPr>
            <w:r>
              <w:rPr>
                <w:rFonts w:ascii="Arial" w:cs="Arial" w:eastAsia="Arial" w:hAnsi="Arial"/>
                <w:sz w:val="18"/>
                <w:szCs w:val="18"/>
                <w:color w:val="auto"/>
              </w:rPr>
              <w:t>Daniel E. Soderlund</w:t>
            </w:r>
          </w:p>
        </w:tc>
        <w:tc>
          <w:tcPr>
            <w:tcW w:w="1020" w:type="dxa"/>
            <w:vAlign w:val="bottom"/>
            <w:shd w:val="clear" w:color="auto" w:fill="D6F3E8"/>
          </w:tcPr>
          <w:p>
            <w:pPr>
              <w:jc w:val="right"/>
              <w:ind w:right="190"/>
              <w:spacing w:after="0"/>
              <w:rPr>
                <w:sz w:val="20"/>
                <w:szCs w:val="20"/>
                <w:color w:val="auto"/>
              </w:rPr>
            </w:pPr>
            <w:r>
              <w:rPr>
                <w:rFonts w:ascii="Arial" w:cs="Arial" w:eastAsia="Arial" w:hAnsi="Arial"/>
                <w:sz w:val="18"/>
                <w:szCs w:val="18"/>
                <w:color w:val="auto"/>
              </w:rPr>
              <w:t>2006</w:t>
            </w:r>
          </w:p>
        </w:tc>
        <w:tc>
          <w:tcPr>
            <w:tcW w:w="158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152,208</w:t>
            </w:r>
          </w:p>
        </w:tc>
        <w:tc>
          <w:tcPr>
            <w:tcW w:w="13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57,639</w:t>
            </w:r>
          </w:p>
        </w:tc>
        <w:tc>
          <w:tcPr>
            <w:tcW w:w="128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4,500</w:t>
            </w:r>
          </w:p>
        </w:tc>
        <w:tc>
          <w:tcPr>
            <w:tcW w:w="136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210"/>
              <w:spacing w:after="0"/>
              <w:rPr>
                <w:sz w:val="20"/>
                <w:szCs w:val="20"/>
                <w:color w:val="auto"/>
              </w:rPr>
            </w:pPr>
            <w:r>
              <w:rPr>
                <w:rFonts w:ascii="Arial" w:cs="Arial" w:eastAsia="Arial" w:hAnsi="Arial"/>
                <w:sz w:val="18"/>
                <w:szCs w:val="18"/>
                <w:color w:val="auto"/>
              </w:rPr>
              <w:t>40,269</w:t>
            </w:r>
          </w:p>
        </w:tc>
      </w:tr>
      <w:tr>
        <w:trPr>
          <w:trHeight w:val="216"/>
        </w:trPr>
        <w:tc>
          <w:tcPr>
            <w:tcW w:w="34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Vice President -</w:t>
            </w:r>
          </w:p>
        </w:tc>
        <w:tc>
          <w:tcPr>
            <w:tcW w:w="1020" w:type="dxa"/>
            <w:vAlign w:val="bottom"/>
            <w:shd w:val="clear" w:color="auto" w:fill="D6F3E8"/>
          </w:tcPr>
          <w:p>
            <w:pPr>
              <w:jc w:val="right"/>
              <w:ind w:right="190"/>
              <w:spacing w:after="0"/>
              <w:rPr>
                <w:sz w:val="20"/>
                <w:szCs w:val="20"/>
                <w:color w:val="auto"/>
              </w:rPr>
            </w:pPr>
            <w:r>
              <w:rPr>
                <w:rFonts w:ascii="Arial" w:cs="Arial" w:eastAsia="Arial" w:hAnsi="Arial"/>
                <w:sz w:val="18"/>
                <w:szCs w:val="18"/>
                <w:color w:val="auto"/>
              </w:rPr>
              <w:t>2005</w:t>
            </w:r>
          </w:p>
        </w:tc>
        <w:tc>
          <w:tcPr>
            <w:tcW w:w="158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149,600</w:t>
            </w:r>
          </w:p>
        </w:tc>
        <w:tc>
          <w:tcPr>
            <w:tcW w:w="13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52,668</w:t>
            </w:r>
          </w:p>
        </w:tc>
        <w:tc>
          <w:tcPr>
            <w:tcW w:w="128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4,500</w:t>
            </w:r>
          </w:p>
        </w:tc>
        <w:tc>
          <w:tcPr>
            <w:tcW w:w="136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210"/>
              <w:spacing w:after="0"/>
              <w:rPr>
                <w:sz w:val="20"/>
                <w:szCs w:val="20"/>
                <w:color w:val="auto"/>
              </w:rPr>
            </w:pPr>
            <w:r>
              <w:rPr>
                <w:rFonts w:ascii="Arial" w:cs="Arial" w:eastAsia="Arial" w:hAnsi="Arial"/>
                <w:sz w:val="18"/>
                <w:szCs w:val="18"/>
                <w:color w:val="auto"/>
              </w:rPr>
              <w:t>36,220</w:t>
            </w:r>
          </w:p>
        </w:tc>
      </w:tr>
      <w:tr>
        <w:trPr>
          <w:trHeight w:val="216"/>
        </w:trPr>
        <w:tc>
          <w:tcPr>
            <w:tcW w:w="34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Pharmaceutical Group</w:t>
            </w:r>
          </w:p>
        </w:tc>
        <w:tc>
          <w:tcPr>
            <w:tcW w:w="1020" w:type="dxa"/>
            <w:vAlign w:val="bottom"/>
            <w:shd w:val="clear" w:color="auto" w:fill="D6F3E8"/>
          </w:tcPr>
          <w:p>
            <w:pPr>
              <w:jc w:val="right"/>
              <w:ind w:right="190"/>
              <w:spacing w:after="0"/>
              <w:rPr>
                <w:sz w:val="20"/>
                <w:szCs w:val="20"/>
                <w:color w:val="auto"/>
              </w:rPr>
            </w:pPr>
            <w:r>
              <w:rPr>
                <w:rFonts w:ascii="Arial" w:cs="Arial" w:eastAsia="Arial" w:hAnsi="Arial"/>
                <w:sz w:val="18"/>
                <w:szCs w:val="18"/>
                <w:color w:val="auto"/>
              </w:rPr>
              <w:t>2004</w:t>
            </w:r>
          </w:p>
        </w:tc>
        <w:tc>
          <w:tcPr>
            <w:tcW w:w="158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133,670</w:t>
            </w:r>
          </w:p>
        </w:tc>
        <w:tc>
          <w:tcPr>
            <w:tcW w:w="13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45,000</w:t>
            </w:r>
          </w:p>
        </w:tc>
        <w:tc>
          <w:tcPr>
            <w:tcW w:w="128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4,500</w:t>
            </w:r>
          </w:p>
        </w:tc>
        <w:tc>
          <w:tcPr>
            <w:tcW w:w="136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210"/>
              <w:spacing w:after="0"/>
              <w:rPr>
                <w:sz w:val="20"/>
                <w:szCs w:val="20"/>
                <w:color w:val="auto"/>
              </w:rPr>
            </w:pPr>
            <w:r>
              <w:rPr>
                <w:rFonts w:ascii="Arial" w:cs="Arial" w:eastAsia="Arial" w:hAnsi="Arial"/>
                <w:sz w:val="18"/>
                <w:szCs w:val="18"/>
                <w:color w:val="auto"/>
              </w:rPr>
              <w:t>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Employee Stock Purchase Plan</w:t>
      </w:r>
    </w:p>
    <w:p>
      <w:pPr>
        <w:spacing w:after="0" w:line="189" w:lineRule="exact"/>
        <w:rPr>
          <w:sz w:val="20"/>
          <w:szCs w:val="20"/>
          <w:color w:val="auto"/>
        </w:rPr>
      </w:pPr>
    </w:p>
    <w:p>
      <w:pPr>
        <w:ind w:firstLine="350"/>
        <w:spacing w:after="0" w:line="259" w:lineRule="auto"/>
        <w:rPr>
          <w:sz w:val="20"/>
          <w:szCs w:val="20"/>
          <w:color w:val="auto"/>
        </w:rPr>
      </w:pPr>
      <w:r>
        <w:rPr>
          <w:rFonts w:ascii="Arial" w:cs="Arial" w:eastAsia="Arial" w:hAnsi="Arial"/>
          <w:sz w:val="18"/>
          <w:szCs w:val="18"/>
          <w:color w:val="auto"/>
        </w:rPr>
        <w:t>All employees of the Company age 18 and over who have been employed by the Company for 90 days are eligible to participate in the Company’s Employee Stock Purchase Plan. Under the Plan, each participant authorizes the Company to deduct a specified amount, not to exceed $500, from the participant’s paycheck each month, to which the Company generally adds a bonus of 75% of such amount, to be used by a depository agent to purchase shares of the Company’s common stock for the participant’s individual account under the Plan.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Restricted Stock Grants</w:t>
      </w:r>
    </w:p>
    <w:p>
      <w:pPr>
        <w:spacing w:after="0" w:line="18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Four of the five Named Executive Officers received restricted stock grants on August 31, 2005 pursuant to the Company’s 2004 Omnibus Stock Plan, which was adopted by shareholders on July 23, 2004. The values shown are derived by multiplying the number of shares awarded by the market price of the shares on the date of grant. The four named executive officers that received restricted stock received the following shares of stock, which are net of any shares withheld for payment of taxes, upon vesting at August 31, 2005: John R. Hawkins (7,350 shares), Marvin E. Dee (4,400 shares), Keenan A. Paulson (1,442 shares), and John R. Sevenich (584 shares). These shares are eligible to receive dividends paid on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Money Purchase Pension Plan</w:t>
      </w:r>
    </w:p>
    <w:p>
      <w:pPr>
        <w:spacing w:after="0" w:line="202"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Non-bargaining employees of the Company age 21 and over who have been employed by the Company for one year are eligible to participate in the Company’s Money Purchase Pension Plan, a defined contribution pension plan. Each year, the Company contributes a percentage of each eligible participant’s compensation to an account maintained for the participant under the Plan. The Company contributed 15% for the fiscal years ended April 2, 2006, April 3, 2005 and March 28, 2004. The annual compensation that was used to determine Plan benefits was capped at $210,000 for the Plan year ended April 2, 2006; this limit will be adjusted in future years under federal tax law for cost-of-living increases. For the fiscal year ended April 2, 2006, the Company contributed the following in respect of each Named Executive Officer’s compensation: John R. Hawkins ($31,500), Marvin E. Dee ($31,500), Keenan A. Paulson ($31,500), John R. Sevenich ($31,500), and Daniel E. Soderlund ($30,974).</w:t>
      </w:r>
    </w:p>
    <w:p>
      <w:pPr>
        <w:spacing w:after="0" w:line="137"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Participant accounts are credited with the appropriate gains or losses resulting from employee-directed investments made by the Plan. A participant is fully vested after completing seven years of service. At retirement, the participant may elect to receive the amount credited to his or her account either as a lump sum, in installments or in the form of an annuity contract.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 Stock Ownership Plan</w:t>
      </w:r>
    </w:p>
    <w:p>
      <w:pPr>
        <w:spacing w:after="0" w:line="20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Non-bargaining employees of the Company age 21 and over who have been employed by the Company for one year are eligible to participate in the Company’s Employee Stock Ownership Plan. Contributions to this Plan, which are made at the discretion of the Board of Directors, are credited to individual accounts maintained for participants under the Plan.</w:t>
      </w:r>
    </w:p>
    <w:p>
      <w:pPr>
        <w:spacing w:after="0" w:line="141"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The Company contributed 5% of each participant’s base salary for the fiscal years ended April 2, 2006, April 3, 2005, and March 28, 2004. The annual compensation that was used to determine Plan benefits was capped at $210,000 for the Plan year ended April 2, 2006; this limit will be adjusted in future years under federal tax law for cost-of-living increases. In addition, the aggregate amount contributed in any one Plan year for a participant under the Money Purchase Pension Plan and the Employee Stock Ownership Plan may not exceed $44,000. For the fiscal year ended April 2, 2006, the Company contributed the following in respect of each Named Executive Officer’s compensation: John R. Hawkins ($9,453), Marvin E. Dee ($9,453), Keenan A. Paulson ($9,453), John R. Sevenich ($9,453), and Daniel E. Soderlund ($9,295).</w:t>
      </w:r>
    </w:p>
    <w:p>
      <w:pPr>
        <w:spacing w:after="0" w:line="153"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Participant accounts in the Employee Stock Ownership Plan are credited with the appropriate gains or losses resulting from Plan investments. A participant is fully vested after completing seven years of service. At retirement, the participant may elect to receive the amount credited to his or her account either as a lump sum or in installments.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Option/Stock Appreciation Rights Grants and Exercises in Fiscal 2006</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options or stock appreciation rights granted to or exercised by the Named Executive Officers in fiscal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8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During fiscal 2006, the Company paid each director who was not an employee of the Company an annual retainer of $15,000, of which $6,000 was used to purchase Company common stock through the Company’s Employee Stock Purchase Plan. Pursuant to the bonus provisions of the Employee Stock Purchase Plan, the Company credited an additional $4,500 to each non-employee director’s account to fund the purchase of additional shares of Company common stock. The Company paid an annual</w:t>
      </w:r>
    </w:p>
    <w:p>
      <w:pPr>
        <w:sectPr>
          <w:pgSz w:w="11900" w:h="16838" w:orient="portrait"/>
          <w:cols w:equalWidth="0" w:num="1">
            <w:col w:w="11420"/>
          </w:cols>
          <w:pgMar w:left="240" w:top="125" w:right="239" w:bottom="331"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retainer of $10,000 to the Chairman of the Board. The Company also paid an annual retainer of $2,500 to the chairs of the Audit Committee and the Compensation Committee. Additionally, the non-employee directors received a meeting fee of $1,000 for each Board and committee meeting attended.</w:t>
      </w:r>
    </w:p>
    <w:p>
      <w:pPr>
        <w:spacing w:after="0" w:line="8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During fiscal 2006, the Company entered into a consulting agreement with John S. McKeon, the Chairman of the Board, to provide consulting services for certain strategic projects. Consulting fees of $35,000 were expensed in fiscal 2006.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2" w:lineRule="exact"/>
        <w:rPr>
          <w:sz w:val="20"/>
          <w:szCs w:val="20"/>
          <w:color w:val="auto"/>
        </w:rPr>
      </w:pPr>
    </w:p>
    <w:p>
      <w:pPr>
        <w:ind w:right="60" w:firstLine="350"/>
        <w:spacing w:after="0" w:line="257" w:lineRule="auto"/>
        <w:rPr>
          <w:sz w:val="20"/>
          <w:szCs w:val="20"/>
          <w:color w:val="auto"/>
        </w:rPr>
      </w:pPr>
      <w:r>
        <w:rPr>
          <w:rFonts w:ascii="Arial" w:cs="Arial" w:eastAsia="Arial" w:hAnsi="Arial"/>
          <w:sz w:val="18"/>
          <w:szCs w:val="18"/>
          <w:color w:val="auto"/>
        </w:rPr>
        <w:t>All decisions regarding compensation of executive officers of the Company during fiscal 2006 were made by the Compensation Committee of the Board of Directors. During fiscal 2006, the Compensation Committee consisted of the following directors: Duane M. Jergenson (Chair), John S. McKeon (until September 2005), G. Robert Gey, Daryl I. Skaar, and Eapen Chacko. None of the executive officers of the Company participates in any Board vote setting his or her annual salary or bonus. During fiscal 2006, none of the members of the Compensation Committee were officers or employees of the Company and there were no interlocking relationships as defined by the SEC.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right="100" w:firstLine="357"/>
        <w:spacing w:after="0" w:line="277" w:lineRule="auto"/>
        <w:rPr>
          <w:sz w:val="20"/>
          <w:szCs w:val="20"/>
          <w:color w:val="auto"/>
        </w:rPr>
      </w:pPr>
      <w:r>
        <w:rPr>
          <w:rFonts w:ascii="Arial" w:cs="Arial" w:eastAsia="Arial" w:hAnsi="Arial"/>
          <w:sz w:val="18"/>
          <w:szCs w:val="18"/>
          <w:color w:val="auto"/>
        </w:rPr>
        <w:t>The following table provides information about shares that may be issued under the Company’s 2004 Omnibus Stock Plan. The Company does not have any other equity compensation plans required to be included in this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future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to</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Weighted</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issued</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upon</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of</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72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86"/>
        </w:trPr>
        <w:tc>
          <w:tcPr>
            <w:tcW w:w="72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3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3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17"/>
        </w:trPr>
        <w:tc>
          <w:tcPr>
            <w:tcW w:w="720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720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360" w:type="dxa"/>
            <w:vAlign w:val="bottom"/>
          </w:tcPr>
          <w:p>
            <w:pPr>
              <w:spacing w:after="0"/>
              <w:rPr>
                <w:sz w:val="24"/>
                <w:szCs w:val="24"/>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309,347(2)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-233045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-233045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-233045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-233045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-233045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-233045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-233045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-233045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340" w:hanging="478"/>
        <w:spacing w:after="0" w:line="34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maintains one plan that was approved by its shareholders, the 2004 Omnibus Stock Plan. This plan allows awards in the form of restricted or unrestricted stock, incentive or non-statutory stock options, stock appreciation rights, performance units, or other stock-based awards.</w:t>
      </w:r>
    </w:p>
    <w:p>
      <w:pPr>
        <w:spacing w:after="0" w:line="15" w:lineRule="exact"/>
        <w:rPr>
          <w:rFonts w:ascii="Arial" w:cs="Arial" w:eastAsia="Arial" w:hAnsi="Arial"/>
          <w:sz w:val="16"/>
          <w:szCs w:val="16"/>
          <w:color w:val="auto"/>
        </w:rPr>
      </w:pPr>
    </w:p>
    <w:p>
      <w:pPr>
        <w:ind w:left="540" w:right="80" w:hanging="478"/>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2004 Omnibus Stock Plan other than upon the exercise of an option, warrant or right. There is no limit on the portion of the 350,000 shares of common stock available for distribution under this plan that may be awarded in the form of restricted or unrestricted stock. To date, the only awards under this plan have been of restricted common stock.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189" w:lineRule="exact"/>
        <w:rPr>
          <w:sz w:val="20"/>
          <w:szCs w:val="20"/>
          <w:color w:val="auto"/>
        </w:rPr>
      </w:pPr>
    </w:p>
    <w:p>
      <w:pPr>
        <w:ind w:right="160" w:firstLine="357"/>
        <w:spacing w:after="0" w:line="259" w:lineRule="auto"/>
        <w:rPr>
          <w:sz w:val="20"/>
          <w:szCs w:val="20"/>
          <w:color w:val="auto"/>
        </w:rPr>
      </w:pPr>
      <w:r>
        <w:rPr>
          <w:rFonts w:ascii="Arial" w:cs="Arial" w:eastAsia="Arial" w:hAnsi="Arial"/>
          <w:sz w:val="18"/>
          <w:szCs w:val="18"/>
          <w:color w:val="auto"/>
        </w:rPr>
        <w:t>The following table contains information as of May 31, 2006 (except as otherwise noted below) concerning the beneficial ownership of the Company’s common stock by all directors, the Named Executive Officers, all directors and executive officers as a group and shareholders known by the Company to beneficially own more than 5% of its common stock. Unless otherwise noted, the address for each shareholder listed below is the Company’s executive offices.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Shares</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9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Owned (a)</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6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6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Royce &amp; Associates, LLC</w:t>
            </w: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w w:val="99"/>
              </w:rPr>
              <w:t>1,180,545(b)</w:t>
            </w:r>
          </w:p>
        </w:tc>
        <w:tc>
          <w:tcPr>
            <w:tcW w:w="620" w:type="dxa"/>
            <w:vAlign w:val="bottom"/>
            <w:shd w:val="clear" w:color="auto" w:fill="D6F3E8"/>
          </w:tcPr>
          <w:p>
            <w:pPr>
              <w:jc w:val="center"/>
              <w:ind w:left="72"/>
              <w:spacing w:after="0"/>
              <w:rPr>
                <w:sz w:val="20"/>
                <w:szCs w:val="20"/>
                <w:color w:val="auto"/>
              </w:rPr>
            </w:pPr>
            <w:r>
              <w:rPr>
                <w:rFonts w:ascii="Arial" w:cs="Arial" w:eastAsia="Arial" w:hAnsi="Arial"/>
                <w:sz w:val="18"/>
                <w:szCs w:val="18"/>
                <w:color w:val="auto"/>
                <w:w w:val="90"/>
              </w:rPr>
              <w:t>11.6%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Eapen Chacko</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18"/>
                <w:szCs w:val="18"/>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Marvin E. Dee</w:t>
            </w: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10,590(c)</w:t>
            </w:r>
          </w:p>
        </w:tc>
        <w:tc>
          <w:tcPr>
            <w:tcW w:w="620" w:type="dxa"/>
            <w:vAlign w:val="bottom"/>
            <w:shd w:val="clear" w:color="auto" w:fill="D6F3E8"/>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G. Robert Gey</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8,480</w:t>
            </w:r>
          </w:p>
        </w:tc>
        <w:tc>
          <w:tcPr>
            <w:tcW w:w="480" w:type="dxa"/>
            <w:vAlign w:val="bottom"/>
          </w:tcPr>
          <w:p>
            <w:pPr>
              <w:spacing w:after="0"/>
              <w:rPr>
                <w:sz w:val="18"/>
                <w:szCs w:val="18"/>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Dean L. Hahn</w:t>
            </w: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116,177(d)</w:t>
            </w:r>
          </w:p>
        </w:tc>
        <w:tc>
          <w:tcPr>
            <w:tcW w:w="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Howard M. Hawkins.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208,271(e)</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64,653(f)</w:t>
            </w:r>
          </w:p>
        </w:tc>
        <w:tc>
          <w:tcPr>
            <w:tcW w:w="620" w:type="dxa"/>
            <w:vAlign w:val="bottom"/>
            <w:shd w:val="clear" w:color="auto" w:fill="D6F3E8"/>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Duane M. Jergenson</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13,153</w:t>
            </w:r>
          </w:p>
        </w:tc>
        <w:tc>
          <w:tcPr>
            <w:tcW w:w="480" w:type="dxa"/>
            <w:vAlign w:val="bottom"/>
          </w:tcPr>
          <w:p>
            <w:pPr>
              <w:spacing w:after="0"/>
              <w:rPr>
                <w:sz w:val="18"/>
                <w:szCs w:val="18"/>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S. McKeon</w:t>
            </w: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26,060(g)</w:t>
            </w:r>
          </w:p>
        </w:tc>
        <w:tc>
          <w:tcPr>
            <w:tcW w:w="620" w:type="dxa"/>
            <w:vAlign w:val="bottom"/>
            <w:shd w:val="clear" w:color="auto" w:fill="D6F3E8"/>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5,893(h)</w:t>
            </w:r>
          </w:p>
        </w:tc>
        <w:tc>
          <w:tcPr>
            <w:tcW w:w="620" w:type="dxa"/>
            <w:vAlign w:val="bottom"/>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15,575(i)</w:t>
            </w:r>
          </w:p>
        </w:tc>
        <w:tc>
          <w:tcPr>
            <w:tcW w:w="620" w:type="dxa"/>
            <w:vAlign w:val="bottom"/>
            <w:shd w:val="clear" w:color="auto" w:fill="D6F3E8"/>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Donald L. Shipp</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217,486(j)</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Daryl I. Skaar</w:t>
            </w:r>
          </w:p>
        </w:tc>
        <w:tc>
          <w:tcPr>
            <w:tcW w:w="118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3,034</w:t>
            </w:r>
          </w:p>
        </w:tc>
        <w:tc>
          <w:tcPr>
            <w:tcW w:w="480" w:type="dxa"/>
            <w:vAlign w:val="bottom"/>
            <w:shd w:val="clear" w:color="auto" w:fill="D6F3E8"/>
          </w:tcPr>
          <w:p>
            <w:pPr>
              <w:spacing w:after="0"/>
              <w:rPr>
                <w:sz w:val="18"/>
                <w:szCs w:val="18"/>
                <w:color w:val="auto"/>
              </w:rPr>
            </w:pPr>
          </w:p>
        </w:tc>
        <w:tc>
          <w:tcPr>
            <w:tcW w:w="620" w:type="dxa"/>
            <w:vAlign w:val="bottom"/>
            <w:shd w:val="clear" w:color="auto" w:fill="D6F3E8"/>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Daniel E. Soderlund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4,263(k)</w:t>
            </w:r>
          </w:p>
        </w:tc>
        <w:tc>
          <w:tcPr>
            <w:tcW w:w="620" w:type="dxa"/>
            <w:vAlign w:val="bottom"/>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All directors and officers as a group (13 persons)</w:t>
            </w: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693,821(l)</w:t>
            </w:r>
          </w:p>
        </w:tc>
        <w:tc>
          <w:tcPr>
            <w:tcW w:w="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Trustees, Hawkins, Inc. Employee Stock Ownership Plan and Trust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1,568,311(m)</w:t>
            </w: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3"/>
              </w:rPr>
              <w:t>15.4%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-2522855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-2522855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-2522855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-2522855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-2522855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-2522855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 w:name="page9"/>
    <w:bookmarkEnd w:id="8"/>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7" w:lineRule="exact"/>
        <w:rPr>
          <w:sz w:val="20"/>
          <w:szCs w:val="20"/>
          <w:color w:val="auto"/>
        </w:rPr>
      </w:pPr>
    </w:p>
    <w:p>
      <w:pPr>
        <w:ind w:left="540" w:hanging="478"/>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voting and investment power with respect to such shares.</w:t>
      </w:r>
    </w:p>
    <w:p>
      <w:pPr>
        <w:spacing w:after="0" w:line="101" w:lineRule="exact"/>
        <w:rPr>
          <w:rFonts w:ascii="Arial" w:cs="Arial" w:eastAsia="Arial" w:hAnsi="Arial"/>
          <w:sz w:val="17"/>
          <w:szCs w:val="17"/>
          <w:color w:val="auto"/>
        </w:rPr>
      </w:pPr>
    </w:p>
    <w:p>
      <w:pPr>
        <w:ind w:left="540" w:right="140" w:hanging="478"/>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Schedule 13G filed by Royce &amp; Associates, LLC with the SEC on January 25, 2006 for the period ended December 31, 2005. The address for Royce &amp; Associates is 1414 Avenue of the Americas, New York, NY 10019.</w:t>
      </w:r>
    </w:p>
    <w:p>
      <w:pPr>
        <w:spacing w:after="0" w:line="35" w:lineRule="exact"/>
        <w:rPr>
          <w:rFonts w:ascii="Arial" w:cs="Arial" w:eastAsia="Arial" w:hAnsi="Arial"/>
          <w:sz w:val="18"/>
          <w:szCs w:val="18"/>
          <w:color w:val="auto"/>
        </w:rPr>
      </w:pPr>
    </w:p>
    <w:p>
      <w:pPr>
        <w:ind w:left="540" w:right="440" w:hanging="478"/>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Mr. Dee as of March 31, 2006 in the Company’s Employee Stock Ownership Plan (6,212 shares).</w:t>
      </w:r>
    </w:p>
    <w:p>
      <w:pPr>
        <w:spacing w:after="0" w:line="35" w:lineRule="exact"/>
        <w:rPr>
          <w:rFonts w:ascii="Arial" w:cs="Arial" w:eastAsia="Arial" w:hAnsi="Arial"/>
          <w:sz w:val="18"/>
          <w:szCs w:val="18"/>
          <w:color w:val="auto"/>
        </w:rPr>
      </w:pPr>
    </w:p>
    <w:p>
      <w:pPr>
        <w:ind w:left="540" w:hanging="47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26,521 shares that Mr. Hahn holds jointly with his wife as to which he shares voting and investment power.</w:t>
      </w:r>
    </w:p>
    <w:p>
      <w:pPr>
        <w:spacing w:after="0" w:line="90" w:lineRule="exact"/>
        <w:rPr>
          <w:rFonts w:ascii="Arial" w:cs="Arial" w:eastAsia="Arial" w:hAnsi="Arial"/>
          <w:sz w:val="18"/>
          <w:szCs w:val="18"/>
          <w:color w:val="auto"/>
        </w:rPr>
      </w:pPr>
    </w:p>
    <w:p>
      <w:pPr>
        <w:ind w:left="540" w:right="80" w:hanging="478"/>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64,195 shares held by Mr. Hawkins’ wife as to which he may be deemed to share voting and investment power, but as to which he disclaims beneficial ownership. Includes 39,246 shares that Mr. Hawkins holds jointly with his wife as to which he shares voting and investment power. Does not include shares representing the beneficial interest of Mr. Hawkins as of March 31, 2006 in the Company’s Employee Stock Ownership Plan (93,912 shares).</w:t>
      </w:r>
    </w:p>
    <w:p>
      <w:pPr>
        <w:spacing w:after="0" w:line="51" w:lineRule="exact"/>
        <w:rPr>
          <w:rFonts w:ascii="Arial" w:cs="Arial" w:eastAsia="Arial" w:hAnsi="Arial"/>
          <w:sz w:val="18"/>
          <w:szCs w:val="18"/>
          <w:color w:val="auto"/>
        </w:rPr>
      </w:pPr>
    </w:p>
    <w:p>
      <w:pPr>
        <w:ind w:left="540" w:right="440" w:hanging="478"/>
        <w:spacing w:after="0" w:line="34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56,643 shares that Mr. Hawkins holds jointly with his wife as to which he shares voting and investment power. Does not include shares representing Mr. Hawkins’ beneficial interest as of March 31, 2006 in the Company’s Employee Stock Ownership Plan (120,683 shares).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7" w:lineRule="exact"/>
        <w:rPr>
          <w:sz w:val="20"/>
          <w:szCs w:val="20"/>
          <w:color w:val="auto"/>
        </w:rPr>
      </w:pPr>
    </w:p>
    <w:p>
      <w:pPr>
        <w:ind w:left="420" w:right="280" w:hanging="358"/>
        <w:spacing w:after="0" w:line="277"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463 shares held by Mr. McKeon as custodian for a child as to which Mr. McKeon has sole voting and investment power, but as to which he disclaims beneficial ownership.</w:t>
      </w:r>
    </w:p>
    <w:p>
      <w:pPr>
        <w:spacing w:after="0" w:line="35" w:lineRule="exact"/>
        <w:rPr>
          <w:rFonts w:ascii="Arial" w:cs="Arial" w:eastAsia="Arial" w:hAnsi="Arial"/>
          <w:sz w:val="18"/>
          <w:szCs w:val="18"/>
          <w:color w:val="auto"/>
        </w:rPr>
      </w:pPr>
    </w:p>
    <w:p>
      <w:pPr>
        <w:ind w:left="420" w:right="20" w:hanging="358"/>
        <w:spacing w:after="0" w:line="26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2,465 shares that Ms. Paulson holds jointly with her husband and 1,028 shares that Ms. Paulson holds jointly with a child as to which she shares voting and investment power. Does not include shares representing the beneficial interest of Ms. Paulson as of March 31, 2006 in the Company’s Employee Stock Ownership Plan (65,687 shares).</w:t>
      </w:r>
    </w:p>
    <w:p>
      <w:pPr>
        <w:spacing w:after="0" w:line="46" w:lineRule="exact"/>
        <w:rPr>
          <w:rFonts w:ascii="Arial" w:cs="Arial" w:eastAsia="Arial" w:hAnsi="Arial"/>
          <w:sz w:val="18"/>
          <w:szCs w:val="18"/>
          <w:color w:val="auto"/>
        </w:rPr>
      </w:pPr>
    </w:p>
    <w:p>
      <w:pPr>
        <w:ind w:left="420" w:right="560" w:hanging="358"/>
        <w:spacing w:after="0" w:line="334"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14,875 shares that Mr. Sevenich holds jointly with his wife as to which he shares voting and investment power. Does not include shares representing the beneficial interest of Mr. Sevenich as of March 31, 2006 in the Company’s Employee Stock Ownership Plan (22,950 shares).</w:t>
      </w:r>
    </w:p>
    <w:p>
      <w:pPr>
        <w:spacing w:after="0" w:line="1" w:lineRule="exact"/>
        <w:rPr>
          <w:rFonts w:ascii="Arial" w:cs="Arial" w:eastAsia="Arial" w:hAnsi="Arial"/>
          <w:sz w:val="16"/>
          <w:szCs w:val="16"/>
          <w:color w:val="auto"/>
        </w:rPr>
      </w:pPr>
    </w:p>
    <w:p>
      <w:pPr>
        <w:ind w:left="420" w:right="280" w:hanging="358"/>
        <w:spacing w:after="0" w:line="277"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107,359 shares held by Mr. Shipp’s wife as to which he may be deemed to share voting and investment power, but as to which he disclaims beneficial ownership.</w:t>
      </w:r>
    </w:p>
    <w:p>
      <w:pPr>
        <w:spacing w:after="0" w:line="35" w:lineRule="exact"/>
        <w:rPr>
          <w:rFonts w:ascii="Arial" w:cs="Arial" w:eastAsia="Arial" w:hAnsi="Arial"/>
          <w:sz w:val="18"/>
          <w:szCs w:val="18"/>
          <w:color w:val="auto"/>
        </w:rPr>
      </w:pPr>
    </w:p>
    <w:p>
      <w:pPr>
        <w:ind w:left="420" w:right="560" w:hanging="358"/>
        <w:spacing w:after="0" w:line="334"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4,263 shares that Mr. Soderlund holds jointly with his wife as to which he shares voting and investment power. Does not include shares representing the beneficial interest of Mr. Soderlund as of March 31, 2006 in the Company’s Employee Stock Ownership Plan (15,077 shares).</w:t>
      </w:r>
    </w:p>
    <w:p>
      <w:pPr>
        <w:spacing w:after="0" w:line="1" w:lineRule="exact"/>
        <w:rPr>
          <w:rFonts w:ascii="Arial" w:cs="Arial" w:eastAsia="Arial" w:hAnsi="Arial"/>
          <w:sz w:val="16"/>
          <w:szCs w:val="16"/>
          <w:color w:val="auto"/>
        </w:rPr>
      </w:pPr>
    </w:p>
    <w:p>
      <w:pPr>
        <w:ind w:left="420" w:right="560" w:hanging="358"/>
        <w:spacing w:after="0" w:line="277"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the directors and officers as of March 31, 2006 in the Company’s Employee Stock Ownership Plan (324,521 shares).</w:t>
      </w:r>
    </w:p>
    <w:p>
      <w:pPr>
        <w:spacing w:after="0" w:line="35" w:lineRule="exact"/>
        <w:rPr>
          <w:rFonts w:ascii="Arial" w:cs="Arial" w:eastAsia="Arial" w:hAnsi="Arial"/>
          <w:sz w:val="18"/>
          <w:szCs w:val="18"/>
          <w:color w:val="auto"/>
        </w:rPr>
      </w:pPr>
    </w:p>
    <w:p>
      <w:pPr>
        <w:ind w:left="420" w:right="300" w:hanging="358"/>
        <w:spacing w:after="0" w:line="30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trustees of the Hawkins, Inc. Employee Stock Ownership Plan and Trust are John R. Hawkins and Marvin E. Dee. Although these individuals could be deemed to beneficially own all of the shares held by this Plan as a result of their shared voting and investment power with respect to those shares, the shares have not been included in the amount of shares beneficially owned by these individuals or for all directors and officers as a group. Voting rights for shares held by the Employee Stock Ownership Plan and Trust are passed through to Plan participants.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Section 16(a) of the Securities Exchange Act of 1934 requires the Company’s executive officers, directors and persons who beneficially own more than ten percent of the Company’s common stock to file initial reports of ownership and reports of changes in ownership of common stock of the Company with the SEC.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 except that one untimely report was filed for a transfer in December 2005 of 1,400 shares from Howard M. Hawkins to his grandson.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During fiscal year 2006, the Company sold, at market competitive prices, approximately $119,523 of pharmaceutical products to Vet RX. Two brothers of Daniel E. Soderlund, the Company’s Vice President – Pharmaceutical Group, each hold approximately 25% of the equity ownership of Vet RX.</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jc w:val="both"/>
        <w:ind w:firstLine="357"/>
        <w:spacing w:after="0" w:line="264" w:lineRule="auto"/>
        <w:rPr>
          <w:sz w:val="20"/>
          <w:szCs w:val="20"/>
          <w:color w:val="auto"/>
        </w:rPr>
      </w:pPr>
      <w:r>
        <w:rPr>
          <w:rFonts w:ascii="Arial" w:cs="Arial" w:eastAsia="Arial" w:hAnsi="Arial"/>
          <w:sz w:val="18"/>
          <w:szCs w:val="18"/>
          <w:color w:val="auto"/>
        </w:rPr>
        <w:t>The Company’s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the Company.</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PUBLIC ACCOUNTANTS</w:t>
      </w:r>
    </w:p>
    <w:p>
      <w:pPr>
        <w:spacing w:after="0" w:line="202"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Deloitte &amp; Touche LLP, independent certified public accountants, has been the auditor of the Company since 1971. It has been retained by the Audit Committee of the Board of Directors as the Company’s auditor for the current fiscal year.</w:t>
      </w:r>
    </w:p>
    <w:p>
      <w:pPr>
        <w:spacing w:after="0" w:line="130"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Representatives of Deloitte &amp; Touche LLP are expected to attend the Annual Meeting with the opportunity to make a statement if they desire. They will be available to respond to appropriate questions.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 BY SHAREHOLDERS</w:t>
      </w:r>
    </w:p>
    <w:p>
      <w:pPr>
        <w:sectPr>
          <w:pgSz w:w="11900" w:h="16838" w:orient="portrait"/>
          <w:cols w:equalWidth="0" w:num="1">
            <w:col w:w="11380"/>
          </w:cols>
          <w:pgMar w:left="240" w:top="125" w:right="279" w:bottom="0" w:gutter="0" w:footer="0" w:header="0"/>
        </w:sectPr>
      </w:pPr>
    </w:p>
    <w:bookmarkStart w:id="9" w:name="page10"/>
    <w:bookmarkEnd w:id="9"/>
    <w:p>
      <w:pPr>
        <w:ind w:firstLine="360"/>
        <w:spacing w:after="0" w:line="270" w:lineRule="auto"/>
        <w:rPr>
          <w:sz w:val="20"/>
          <w:szCs w:val="20"/>
          <w:color w:val="auto"/>
        </w:rPr>
      </w:pPr>
      <w:r>
        <w:rPr>
          <w:rFonts w:ascii="Arial" w:cs="Arial" w:eastAsia="Arial" w:hAnsi="Arial"/>
          <w:sz w:val="17"/>
          <w:szCs w:val="17"/>
          <w:color w:val="auto"/>
        </w:rPr>
        <w:t>In order for a shareholder proposal to be considered for inclusion in the Company’s proxy statement for next year’s Annual Meeting, the written proposal must be received by the Company at its principal executive office no later than March 9, 2007. Any such proposals also must comply with the rules and regulations of the SEC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May 23, 2007. The persons named as proxies by the Company for that meeting will have discretionary authority to vote on any shareholder proposal for which such notice is not properly received by the Company and as otherwise permitted pursuant to the SEC’s rules and regulations regarding the voting of proxies. Any director nominations made by shareholders also must comply with the relevant provisions set forth in Article I of the Company’s By-laws, as described under the caption “Election of Directors--Nominating Process” elsewhere in this Proxy Statement. A copy of the By-laws has been filed with the SEC and is available on the SEC’s website (www.sec.gov) or may be obtained by sending a written request to the Secretary at the Company’s headquarters.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2" w:lineRule="exact"/>
        <w:rPr>
          <w:sz w:val="20"/>
          <w:szCs w:val="20"/>
          <w:color w:val="auto"/>
        </w:rPr>
      </w:pPr>
    </w:p>
    <w:p>
      <w:pPr>
        <w:jc w:val="both"/>
        <w:ind w:right="400" w:firstLine="357"/>
        <w:spacing w:after="0" w:line="279" w:lineRule="auto"/>
        <w:rPr>
          <w:sz w:val="20"/>
          <w:szCs w:val="20"/>
          <w:color w:val="auto"/>
        </w:rPr>
      </w:pPr>
      <w:r>
        <w:rPr>
          <w:rFonts w:ascii="Arial" w:cs="Arial" w:eastAsia="Arial" w:hAnsi="Arial"/>
          <w:sz w:val="17"/>
          <w:szCs w:val="17"/>
          <w:color w:val="auto"/>
        </w:rPr>
        <w:t>The Company’s 2006 Annual Report on Form 10-K for the fiscal year ended April 2, 2006, including financial statements, is being mailed with this Proxy Statement. Shareholders who wish to obtain an additional copy of the Company’s Annual Report on Form 10-K for fiscal 2006 may do so without charge by writing to: Hawkins, Inc., 3100 East Hennepin Avenue, Minneapolis, Minnesota 55413, Attention: Corporate Secretary. The Annual Report on Form 10-K, as well as other Company reports, are also available on the SEC’s website (www.sec.gov).</w:t>
      </w:r>
    </w:p>
    <w:p>
      <w:pPr>
        <w:spacing w:after="0" w:line="185" w:lineRule="exact"/>
        <w:rPr>
          <w:sz w:val="20"/>
          <w:szCs w:val="20"/>
          <w:color w:val="auto"/>
        </w:rPr>
      </w:pPr>
    </w:p>
    <w:p>
      <w:pPr>
        <w:ind w:left="6740" w:right="1100" w:hanging="6685"/>
        <w:spacing w:after="0" w:line="387" w:lineRule="auto"/>
        <w:tabs>
          <w:tab w:leader="none" w:pos="6720" w:val="left"/>
        </w:tabs>
        <w:rPr>
          <w:sz w:val="20"/>
          <w:szCs w:val="20"/>
          <w:color w:val="auto"/>
        </w:rPr>
      </w:pPr>
      <w:r>
        <w:rPr>
          <w:rFonts w:ascii="Arial" w:cs="Arial" w:eastAsia="Arial" w:hAnsi="Arial"/>
          <w:sz w:val="18"/>
          <w:szCs w:val="18"/>
          <w:color w:val="auto"/>
        </w:rPr>
        <w:t>Dated: July 7, 2006</w:t>
      </w:r>
      <w:r>
        <w:rPr>
          <w:sz w:val="20"/>
          <w:szCs w:val="20"/>
          <w:color w:val="auto"/>
        </w:rPr>
        <w:tab/>
      </w:r>
      <w:r>
        <w:rPr>
          <w:rFonts w:ascii="Arial" w:cs="Arial" w:eastAsia="Arial" w:hAnsi="Arial"/>
          <w:sz w:val="18"/>
          <w:szCs w:val="18"/>
          <w:color w:val="auto"/>
        </w:rPr>
        <w:t>BY ORDER OF THE BOARD OF DIRECTORS MARVIN E. DEE, Secretary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HAWKINS, INC.</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ind w:left="1540"/>
        <w:spacing w:after="0"/>
        <w:rPr>
          <w:sz w:val="20"/>
          <w:szCs w:val="20"/>
          <w:color w:val="auto"/>
        </w:rPr>
      </w:pPr>
      <w:r>
        <w:rPr>
          <w:rFonts w:ascii="Arial" w:cs="Arial" w:eastAsia="Arial" w:hAnsi="Arial"/>
          <w:sz w:val="16"/>
          <w:szCs w:val="16"/>
          <w:b w:val="1"/>
          <w:bCs w:val="1"/>
          <w:color w:val="auto"/>
        </w:rPr>
        <w:t>ANNUAL MEETING OF STOCKHOLDERS</w:t>
      </w:r>
    </w:p>
    <w:p>
      <w:pPr>
        <w:spacing w:after="0" w:line="248"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Thursday, August 3, 2006</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3:00 p.m., Central Daylight Time</w:t>
      </w:r>
    </w:p>
    <w:p>
      <w:pPr>
        <w:spacing w:after="0" w:line="213"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Midland Hills Country Club</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2001 Fulham Street</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Roseville,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531495" cy="283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1495" cy="28321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3100 East Hennepin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pacing w:after="0" w:line="261" w:lineRule="exact"/>
        <w:rPr>
          <w:sz w:val="20"/>
          <w:szCs w:val="20"/>
          <w:color w:val="auto"/>
        </w:rPr>
      </w:pPr>
    </w:p>
    <w:p>
      <w:pPr>
        <w:sectPr>
          <w:pgSz w:w="11900" w:h="16838" w:orient="portrait"/>
          <w:cols w:equalWidth="0" w:num="2">
            <w:col w:w="9900" w:space="720"/>
            <w:col w:w="800"/>
          </w:cols>
          <w:pgMar w:left="240" w:top="125" w:right="239" w:bottom="1440" w:gutter="0" w:footer="0" w:header="0"/>
          <w:type w:val="continuous"/>
        </w:sectPr>
      </w:pPr>
    </w:p>
    <w:p>
      <w:pPr>
        <w:spacing w:after="0" w:line="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THIS PROXY IS SOLICITED BY THE BOARD OF DIRECTORS FOR USE AT THE ANNUAL MEETING OF SHAREHOLDERS ON AUGUST 3,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PROPOSAL 1.</w:t>
      </w:r>
    </w:p>
    <w:p>
      <w:pPr>
        <w:spacing w:after="0" w:line="23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By signing the proxy, you revoke all prior proxies and appoint John R. Hawkins and Marvin E. Dee, and each of them, with full power of substitution, to vote your shares on the matters shown on the reverse side and any other matters that may come before the Annual Meeting and all adjournments.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ind w:left="580"/>
              <w:spacing w:after="0"/>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i w:val="1"/>
                <w:iCs w:val="1"/>
                <w:color w:val="auto"/>
                <w:w w:val="91"/>
              </w:rPr>
              <w:t>Please detach here</w:t>
            </w:r>
          </w:p>
        </w:tc>
        <w:tc>
          <w:tcPr>
            <w:tcW w:w="2180" w:type="dxa"/>
            <w:vAlign w:val="bottom"/>
          </w:tcPr>
          <w:p>
            <w:pPr>
              <w:jc w:val="right"/>
              <w:ind w:right="1927"/>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9"/>
                <w:szCs w:val="19"/>
                <w:color w:val="auto"/>
              </w:rPr>
            </w:pPr>
          </w:p>
        </w:tc>
      </w:tr>
      <w:tr>
        <w:trPr>
          <w:trHeight w:val="648"/>
        </w:trPr>
        <w:tc>
          <w:tcPr>
            <w:tcW w:w="2100" w:type="dxa"/>
            <w:vAlign w:val="bottom"/>
          </w:tcPr>
          <w:p>
            <w:pPr>
              <w:spacing w:after="0"/>
              <w:rPr>
                <w:sz w:val="24"/>
                <w:szCs w:val="24"/>
                <w:color w:val="auto"/>
              </w:rPr>
            </w:pPr>
          </w:p>
        </w:tc>
        <w:tc>
          <w:tcPr>
            <w:tcW w:w="8440" w:type="dxa"/>
            <w:vAlign w:val="bottom"/>
            <w:gridSpan w:val="5"/>
          </w:tcPr>
          <w:p>
            <w:pPr>
              <w:spacing w:after="0"/>
              <w:rPr>
                <w:sz w:val="20"/>
                <w:szCs w:val="20"/>
                <w:color w:val="auto"/>
              </w:rPr>
            </w:pPr>
            <w:r>
              <w:rPr>
                <w:rFonts w:ascii="Arial" w:cs="Arial" w:eastAsia="Arial" w:hAnsi="Arial"/>
                <w:sz w:val="18"/>
                <w:szCs w:val="18"/>
                <w:b w:val="1"/>
                <w:bCs w:val="1"/>
                <w:color w:val="auto"/>
              </w:rPr>
              <w:t>THE BOARD OF DIRECTORS RECOMMENDS A VOTE FOR ALL NOMINEES IN ITEM 1.</w:t>
            </w:r>
          </w:p>
        </w:tc>
      </w:tr>
      <w:tr>
        <w:trPr>
          <w:trHeight w:val="426"/>
        </w:trPr>
        <w:tc>
          <w:tcPr>
            <w:tcW w:w="2100" w:type="dxa"/>
            <w:vAlign w:val="bottom"/>
          </w:tcPr>
          <w:p>
            <w:pPr>
              <w:jc w:val="right"/>
              <w:spacing w:after="0"/>
              <w:rPr>
                <w:sz w:val="20"/>
                <w:szCs w:val="20"/>
                <w:color w:val="auto"/>
              </w:rPr>
            </w:pPr>
            <w:r>
              <w:rPr>
                <w:rFonts w:ascii="Arial" w:cs="Arial" w:eastAsia="Arial" w:hAnsi="Arial"/>
                <w:sz w:val="18"/>
                <w:szCs w:val="18"/>
                <w:color w:val="auto"/>
                <w:w w:val="94"/>
              </w:rPr>
              <w:t>1. Election of directors:   01</w:t>
            </w:r>
          </w:p>
        </w:tc>
        <w:tc>
          <w:tcPr>
            <w:tcW w:w="1720" w:type="dxa"/>
            <w:vAlign w:val="bottom"/>
          </w:tcPr>
          <w:p>
            <w:pPr>
              <w:ind w:left="40"/>
              <w:spacing w:after="0"/>
              <w:rPr>
                <w:sz w:val="20"/>
                <w:szCs w:val="20"/>
                <w:color w:val="auto"/>
              </w:rPr>
            </w:pPr>
            <w:r>
              <w:rPr>
                <w:rFonts w:ascii="Arial" w:cs="Arial" w:eastAsia="Arial" w:hAnsi="Arial"/>
                <w:sz w:val="18"/>
                <w:szCs w:val="18"/>
                <w:color w:val="auto"/>
              </w:rPr>
              <w:t>John S. McKeon</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200" w:type="dxa"/>
            <w:vAlign w:val="bottom"/>
          </w:tcPr>
          <w:p>
            <w:pPr>
              <w:ind w:left="20"/>
              <w:spacing w:after="0"/>
              <w:rPr>
                <w:sz w:val="20"/>
                <w:szCs w:val="20"/>
                <w:color w:val="auto"/>
              </w:rPr>
            </w:pPr>
            <w:r>
              <w:rPr>
                <w:rFonts w:ascii="Arial" w:cs="Arial" w:eastAsia="Arial" w:hAnsi="Arial"/>
                <w:sz w:val="18"/>
                <w:szCs w:val="18"/>
                <w:color w:val="auto"/>
              </w:rPr>
              <w:t>G. Robert Gey</w:t>
            </w:r>
          </w:p>
        </w:tc>
        <w:tc>
          <w:tcPr>
            <w:tcW w:w="2180" w:type="dxa"/>
            <w:vAlign w:val="bottom"/>
          </w:tcPr>
          <w:p>
            <w:pPr>
              <w:ind w:left="3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FOR</w:t>
            </w:r>
          </w:p>
        </w:tc>
        <w:tc>
          <w:tcPr>
            <w:tcW w:w="1920" w:type="dxa"/>
            <w:vAlign w:val="bottom"/>
          </w:tcPr>
          <w:p>
            <w:pPr>
              <w:ind w:left="28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WITHHELD</w:t>
            </w:r>
          </w:p>
        </w:tc>
      </w:tr>
      <w:tr>
        <w:trPr>
          <w:trHeight w:val="216"/>
        </w:trPr>
        <w:tc>
          <w:tcPr>
            <w:tcW w:w="2100" w:type="dxa"/>
            <w:vAlign w:val="bottom"/>
          </w:tcPr>
          <w:p>
            <w:pPr>
              <w:jc w:val="right"/>
              <w:spacing w:after="0"/>
              <w:rPr>
                <w:sz w:val="20"/>
                <w:szCs w:val="20"/>
                <w:color w:val="auto"/>
              </w:rPr>
            </w:pPr>
            <w:r>
              <w:rPr>
                <w:rFonts w:ascii="Arial" w:cs="Arial" w:eastAsia="Arial" w:hAnsi="Arial"/>
                <w:sz w:val="18"/>
                <w:szCs w:val="18"/>
                <w:color w:val="auto"/>
              </w:rPr>
              <w:t>02</w:t>
            </w:r>
          </w:p>
        </w:tc>
        <w:tc>
          <w:tcPr>
            <w:tcW w:w="1720" w:type="dxa"/>
            <w:vAlign w:val="bottom"/>
          </w:tcPr>
          <w:p>
            <w:pPr>
              <w:ind w:left="40"/>
              <w:spacing w:after="0"/>
              <w:rPr>
                <w:sz w:val="20"/>
                <w:szCs w:val="20"/>
                <w:color w:val="auto"/>
              </w:rPr>
            </w:pPr>
            <w:r>
              <w:rPr>
                <w:rFonts w:ascii="Arial" w:cs="Arial" w:eastAsia="Arial" w:hAnsi="Arial"/>
                <w:sz w:val="18"/>
                <w:szCs w:val="18"/>
                <w:color w:val="auto"/>
              </w:rPr>
              <w:t>John R. Hawkins</w:t>
            </w: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2200" w:type="dxa"/>
            <w:vAlign w:val="bottom"/>
          </w:tcPr>
          <w:p>
            <w:pPr>
              <w:ind w:left="20"/>
              <w:spacing w:after="0"/>
              <w:rPr>
                <w:sz w:val="20"/>
                <w:szCs w:val="20"/>
                <w:color w:val="auto"/>
              </w:rPr>
            </w:pPr>
            <w:r>
              <w:rPr>
                <w:rFonts w:ascii="Arial" w:cs="Arial" w:eastAsia="Arial" w:hAnsi="Arial"/>
                <w:sz w:val="18"/>
                <w:szCs w:val="18"/>
                <w:color w:val="auto"/>
              </w:rPr>
              <w:t>Daryl I. Skaar</w:t>
            </w:r>
          </w:p>
        </w:tc>
        <w:tc>
          <w:tcPr>
            <w:tcW w:w="2180" w:type="dxa"/>
            <w:vAlign w:val="bottom"/>
          </w:tcPr>
          <w:p>
            <w:pPr>
              <w:ind w:left="560"/>
              <w:spacing w:after="0"/>
              <w:rPr>
                <w:sz w:val="20"/>
                <w:szCs w:val="20"/>
                <w:color w:val="auto"/>
              </w:rPr>
            </w:pPr>
            <w:r>
              <w:rPr>
                <w:rFonts w:ascii="Arial" w:cs="Arial" w:eastAsia="Arial" w:hAnsi="Arial"/>
                <w:sz w:val="18"/>
                <w:szCs w:val="18"/>
                <w:color w:val="auto"/>
              </w:rPr>
              <w:t>all nominees</w:t>
            </w:r>
          </w:p>
        </w:tc>
        <w:tc>
          <w:tcPr>
            <w:tcW w:w="1920" w:type="dxa"/>
            <w:vAlign w:val="bottom"/>
          </w:tcPr>
          <w:p>
            <w:pPr>
              <w:ind w:left="620"/>
              <w:spacing w:after="0"/>
              <w:rPr>
                <w:sz w:val="20"/>
                <w:szCs w:val="20"/>
                <w:color w:val="auto"/>
              </w:rPr>
            </w:pPr>
            <w:r>
              <w:rPr>
                <w:rFonts w:ascii="Arial" w:cs="Arial" w:eastAsia="Arial" w:hAnsi="Arial"/>
                <w:sz w:val="18"/>
                <w:szCs w:val="18"/>
                <w:color w:val="auto"/>
                <w:w w:val="90"/>
              </w:rPr>
              <w:t>from all nominees</w:t>
            </w:r>
          </w:p>
        </w:tc>
      </w:tr>
      <w:tr>
        <w:trPr>
          <w:trHeight w:val="216"/>
        </w:trPr>
        <w:tc>
          <w:tcPr>
            <w:tcW w:w="2100" w:type="dxa"/>
            <w:vAlign w:val="bottom"/>
          </w:tcPr>
          <w:p>
            <w:pPr>
              <w:jc w:val="right"/>
              <w:spacing w:after="0"/>
              <w:rPr>
                <w:sz w:val="20"/>
                <w:szCs w:val="20"/>
                <w:color w:val="auto"/>
              </w:rPr>
            </w:pPr>
            <w:r>
              <w:rPr>
                <w:rFonts w:ascii="Arial" w:cs="Arial" w:eastAsia="Arial" w:hAnsi="Arial"/>
                <w:sz w:val="18"/>
                <w:szCs w:val="18"/>
                <w:color w:val="auto"/>
              </w:rPr>
              <w:t>03</w:t>
            </w:r>
          </w:p>
        </w:tc>
        <w:tc>
          <w:tcPr>
            <w:tcW w:w="1720" w:type="dxa"/>
            <w:vAlign w:val="bottom"/>
          </w:tcPr>
          <w:p>
            <w:pPr>
              <w:ind w:left="40"/>
              <w:spacing w:after="0"/>
              <w:rPr>
                <w:sz w:val="20"/>
                <w:szCs w:val="20"/>
                <w:color w:val="auto"/>
              </w:rPr>
            </w:pPr>
            <w:r>
              <w:rPr>
                <w:rFonts w:ascii="Arial" w:cs="Arial" w:eastAsia="Arial" w:hAnsi="Arial"/>
                <w:sz w:val="18"/>
                <w:szCs w:val="18"/>
                <w:color w:val="auto"/>
              </w:rPr>
              <w:t>Howard M. Hawkins</w:t>
            </w: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2200" w:type="dxa"/>
            <w:vAlign w:val="bottom"/>
          </w:tcPr>
          <w:p>
            <w:pPr>
              <w:ind w:left="20"/>
              <w:spacing w:after="0"/>
              <w:rPr>
                <w:sz w:val="20"/>
                <w:szCs w:val="20"/>
                <w:color w:val="auto"/>
              </w:rPr>
            </w:pPr>
            <w:r>
              <w:rPr>
                <w:rFonts w:ascii="Arial" w:cs="Arial" w:eastAsia="Arial" w:hAnsi="Arial"/>
                <w:sz w:val="18"/>
                <w:szCs w:val="18"/>
                <w:color w:val="auto"/>
              </w:rPr>
              <w:t>Eapen Chacko</w:t>
            </w:r>
          </w:p>
        </w:tc>
        <w:tc>
          <w:tcPr>
            <w:tcW w:w="2180" w:type="dxa"/>
            <w:vAlign w:val="bottom"/>
          </w:tcPr>
          <w:p>
            <w:pPr>
              <w:ind w:left="560"/>
              <w:spacing w:after="0"/>
              <w:rPr>
                <w:sz w:val="20"/>
                <w:szCs w:val="20"/>
                <w:color w:val="auto"/>
              </w:rPr>
            </w:pPr>
            <w:r>
              <w:rPr>
                <w:rFonts w:ascii="Arial" w:cs="Arial" w:eastAsia="Arial" w:hAnsi="Arial"/>
                <w:sz w:val="18"/>
                <w:szCs w:val="18"/>
                <w:color w:val="auto"/>
              </w:rPr>
              <w:t>(except as marked)</w:t>
            </w:r>
          </w:p>
        </w:tc>
        <w:tc>
          <w:tcPr>
            <w:tcW w:w="1920" w:type="dxa"/>
            <w:vAlign w:val="bottom"/>
          </w:tcPr>
          <w:p>
            <w:pPr>
              <w:spacing w:after="0"/>
              <w:rPr>
                <w:sz w:val="18"/>
                <w:szCs w:val="18"/>
                <w:color w:val="auto"/>
              </w:rPr>
            </w:pPr>
          </w:p>
        </w:tc>
      </w:tr>
      <w:tr>
        <w:trPr>
          <w:trHeight w:val="222"/>
        </w:trPr>
        <w:tc>
          <w:tcPr>
            <w:tcW w:w="2100" w:type="dxa"/>
            <w:vAlign w:val="bottom"/>
          </w:tcPr>
          <w:p>
            <w:pPr>
              <w:jc w:val="right"/>
              <w:spacing w:after="0"/>
              <w:rPr>
                <w:sz w:val="20"/>
                <w:szCs w:val="20"/>
                <w:color w:val="auto"/>
              </w:rPr>
            </w:pPr>
            <w:r>
              <w:rPr>
                <w:rFonts w:ascii="Arial" w:cs="Arial" w:eastAsia="Arial" w:hAnsi="Arial"/>
                <w:sz w:val="18"/>
                <w:szCs w:val="18"/>
                <w:color w:val="auto"/>
              </w:rPr>
              <w:t>04</w:t>
            </w:r>
          </w:p>
        </w:tc>
        <w:tc>
          <w:tcPr>
            <w:tcW w:w="1720" w:type="dxa"/>
            <w:vAlign w:val="bottom"/>
          </w:tcPr>
          <w:p>
            <w:pPr>
              <w:ind w:left="40"/>
              <w:spacing w:after="0"/>
              <w:rPr>
                <w:sz w:val="20"/>
                <w:szCs w:val="20"/>
                <w:color w:val="auto"/>
              </w:rPr>
            </w:pPr>
            <w:r>
              <w:rPr>
                <w:rFonts w:ascii="Arial" w:cs="Arial" w:eastAsia="Arial" w:hAnsi="Arial"/>
                <w:sz w:val="18"/>
                <w:szCs w:val="18"/>
                <w:color w:val="auto"/>
                <w:w w:val="99"/>
              </w:rPr>
              <w:t>Duane M. Jergenson</w:t>
            </w:r>
          </w:p>
        </w:tc>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(Instructions: To withhold authority to vote for any indicated nominee, write the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-115570</wp:posOffset>
            </wp:positionV>
            <wp:extent cx="2752725" cy="291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52725" cy="29146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the nominee(s) in the box provided to the right.)</w:t>
      </w:r>
    </w:p>
    <w:p>
      <w:pPr>
        <w:spacing w:after="0" w:line="23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 their discretion, the Proxies are authorized to vote upon such other matters as may properly come before the meeting.</w:t>
      </w:r>
    </w:p>
    <w:p>
      <w:pPr>
        <w:spacing w:after="0" w:line="21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THIS PROXY WHEN PROPERLY EXECUTED WILL BE VOTED AS DIRECTED OR, IF NO DIRECTION IS GIVEN,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EACH PROPOSAL.</w:t>
      </w:r>
    </w:p>
    <w:p>
      <w:pPr>
        <w:spacing w:after="0" w:line="180" w:lineRule="exact"/>
        <w:rPr>
          <w:sz w:val="20"/>
          <w:szCs w:val="20"/>
          <w:color w:val="auto"/>
        </w:rPr>
      </w:pPr>
    </w:p>
    <w:p>
      <w:pPr>
        <w:spacing w:after="0"/>
        <w:tabs>
          <w:tab w:leader="none" w:pos="2200" w:val="left"/>
          <w:tab w:leader="none" w:pos="2480" w:val="left"/>
          <w:tab w:leader="none" w:pos="7140" w:val="left"/>
        </w:tabs>
        <w:rPr>
          <w:sz w:val="20"/>
          <w:szCs w:val="20"/>
          <w:color w:val="auto"/>
        </w:rPr>
      </w:pPr>
      <w:r>
        <w:rPr>
          <w:rFonts w:ascii="Arial" w:cs="Arial" w:eastAsia="Arial" w:hAnsi="Arial"/>
          <w:sz w:val="18"/>
          <w:szCs w:val="18"/>
          <w:color w:val="auto"/>
        </w:rPr>
        <w:t>Address Change? Mark Box</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8"/>
          <w:szCs w:val="18"/>
          <w:color w:val="auto"/>
        </w:rPr>
        <w:t>Indicate changes below:</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7620</wp:posOffset>
            </wp:positionV>
            <wp:extent cx="24955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290195</wp:posOffset>
            </wp:positionV>
            <wp:extent cx="2787015" cy="4800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870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040"/>
        <w:spacing w:after="0"/>
        <w:rPr>
          <w:sz w:val="20"/>
          <w:szCs w:val="20"/>
          <w:color w:val="auto"/>
        </w:rPr>
      </w:pPr>
      <w:r>
        <w:rPr>
          <w:rFonts w:ascii="Arial" w:cs="Arial" w:eastAsia="Arial" w:hAnsi="Arial"/>
          <w:sz w:val="14"/>
          <w:szCs w:val="14"/>
          <w:color w:val="auto"/>
        </w:rPr>
        <w:t>Signature(s) in Box</w:t>
      </w:r>
    </w:p>
    <w:p>
      <w:pPr>
        <w:ind w:left="7040"/>
        <w:spacing w:after="0"/>
        <w:rPr>
          <w:sz w:val="20"/>
          <w:szCs w:val="20"/>
          <w:color w:val="auto"/>
        </w:rPr>
      </w:pPr>
      <w:r>
        <w:rPr>
          <w:rFonts w:ascii="Arial" w:cs="Arial" w:eastAsia="Arial" w:hAnsi="Arial"/>
          <w:sz w:val="11"/>
          <w:szCs w:val="11"/>
          <w:color w:val="auto"/>
        </w:rPr>
        <w:t>(Please sign exactly as your name appears to the left. When shares are held by</w:t>
      </w:r>
    </w:p>
    <w:p>
      <w:pPr>
        <w:spacing w:after="0" w:line="22"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joint tenants, both should sign. When signing as executor, administrator,</w:t>
      </w:r>
    </w:p>
    <w:p>
      <w:pPr>
        <w:spacing w:after="0" w:line="11"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attorney, trustee or guardian, please give full title as such. If a corporation,</w:t>
      </w:r>
    </w:p>
    <w:p>
      <w:pPr>
        <w:spacing w:after="0" w:line="11"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please sign in full corporate name by president or other authorized officer. If a</w:t>
      </w:r>
    </w:p>
    <w:p>
      <w:pPr>
        <w:spacing w:after="0" w:line="11"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partnership, please sign in partnership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260"/>
      </w:cols>
      <w:pgMar w:left="24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x"/>
      <w:numFmt w:val="bullet"/>
      <w:start w:val="1"/>
    </w:lvl>
  </w:abstractNum>
  <w:abstractNum w:abstractNumId="2">
    <w:nsid w:val="515F007C"/>
    <w:multiLevelType w:val="hybridMultilevel"/>
    <w:lvl w:ilvl="0">
      <w:lvlJc w:val="left"/>
      <w:lvlText w:val="o"/>
      <w:numFmt w:val="bullet"/>
      <w:start w:val="1"/>
    </w:lvl>
  </w:abstractNum>
  <w:abstractNum w:abstractNumId="3">
    <w:nsid w:val="5BD062C2"/>
    <w:multiLevelType w:val="hybridMultilevel"/>
    <w:lvl w:ilvl="0">
      <w:lvlJc w:val="left"/>
      <w:lvlText w:val="x"/>
      <w:numFmt w:val="bullet"/>
      <w:start w:val="1"/>
    </w:lvl>
  </w:abstractNum>
  <w:abstractNum w:abstractNumId="4">
    <w:nsid w:val="12200854"/>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5">
    <w:nsid w:val="4DB127F8"/>
    <w:multiLevelType w:val="hybridMultilevel"/>
    <w:lvl w:ilvl="0">
      <w:lvlJc w:val="left"/>
      <w:lvlText w:val="o"/>
      <w:numFmt w:val="bullet"/>
      <w:start w:val="1"/>
    </w:lvl>
    <w:lvl w:ilvl="1">
      <w:lvlJc w:val="left"/>
      <w:lvlText w:val="(%2)"/>
      <w:numFmt w:val="decimal"/>
      <w:start w:val="3"/>
    </w:lvl>
    <w:lvl w:ilvl="2">
      <w:lvlJc w:val="left"/>
      <w:lvlText w:val="(%3)"/>
      <w:numFmt w:val="decimal"/>
      <w:start w:val="4"/>
    </w:lvl>
  </w:abstractNum>
  <w:abstractNum w:abstractNumId="6">
    <w:nsid w:val="216231B"/>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7"/>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2019-12-13T01:49:17Z</dcterms:created>
  <dcterms:modified xsi:type="dcterms:W3CDTF">2019-12-13T01:49:17Z</dcterms:modified>
</cp:coreProperties>
</file>