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Preliminary Proxy Statement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Confidential, for Use of the Commission Only (as permitted by Rule 14a-6(e)(2))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/x/</w:t>
            </w:r>
          </w:p>
        </w:tc>
        <w:tc>
          <w:tcPr>
            <w:tcW w:w="4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Definitive Proxy Statement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Definitive Additional Materials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Soliciting Material Pursuant to Section 240.14a-11(c) or Section 240.14a-12</w:t>
            </w:r>
          </w:p>
        </w:tc>
      </w:tr>
      <w:tr>
        <w:trPr>
          <w:trHeight w:val="498"/>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Pr>
          <w:p>
            <w:pPr>
              <w:jc w:val="center"/>
              <w:ind w:right="1611"/>
              <w:spacing w:after="0"/>
              <w:rPr>
                <w:sz w:val="20"/>
                <w:szCs w:val="20"/>
                <w:color w:val="auto"/>
              </w:rPr>
            </w:pPr>
            <w:r>
              <w:rPr>
                <w:rFonts w:ascii="Arial" w:cs="Arial" w:eastAsia="Arial" w:hAnsi="Arial"/>
                <w:sz w:val="22"/>
                <w:szCs w:val="22"/>
                <w:b w:val="1"/>
                <w:bCs w:val="1"/>
                <w:color w:val="auto"/>
                <w:w w:val="99"/>
              </w:rPr>
              <w:t>HAWKINS, INC.</w:t>
            </w:r>
          </w:p>
        </w:tc>
      </w:tr>
      <w:tr>
        <w:trPr>
          <w:trHeight w:val="108"/>
        </w:trPr>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700" w:type="dxa"/>
            <w:vAlign w:val="bottom"/>
            <w:tcBorders>
              <w:bottom w:val="single" w:sz="8" w:color="808080"/>
            </w:tcBorders>
          </w:tcPr>
          <w:p>
            <w:pPr>
              <w:spacing w:after="0"/>
              <w:rPr>
                <w:sz w:val="9"/>
                <w:szCs w:val="9"/>
                <w:color w:val="auto"/>
              </w:rPr>
            </w:pPr>
          </w:p>
        </w:tc>
      </w:tr>
      <w:tr>
        <w:trPr>
          <w:trHeight w:val="319"/>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Pr>
          <w:p>
            <w:pPr>
              <w:jc w:val="center"/>
              <w:ind w:right="1631"/>
              <w:spacing w:after="0"/>
              <w:rPr>
                <w:sz w:val="20"/>
                <w:szCs w:val="20"/>
                <w:color w:val="auto"/>
              </w:rPr>
            </w:pPr>
            <w:r>
              <w:rPr>
                <w:rFonts w:ascii="Arial" w:cs="Arial" w:eastAsia="Arial" w:hAnsi="Arial"/>
                <w:sz w:val="18"/>
                <w:szCs w:val="18"/>
                <w:color w:val="auto"/>
                <w:w w:val="89"/>
              </w:rPr>
              <w:t>(Name of Registrant as Specified In Its Charter)</w:t>
            </w:r>
          </w:p>
        </w:tc>
      </w:tr>
      <w:tr>
        <w:trPr>
          <w:trHeight w:val="607"/>
        </w:trPr>
        <w:tc>
          <w:tcPr>
            <w:tcW w:w="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Pr>
          <w:p>
            <w:pPr>
              <w:jc w:val="center"/>
              <w:ind w:right="1611"/>
              <w:spacing w:after="0"/>
              <w:rPr>
                <w:sz w:val="20"/>
                <w:szCs w:val="20"/>
                <w:color w:val="auto"/>
              </w:rPr>
            </w:pPr>
            <w:r>
              <w:rPr>
                <w:rFonts w:ascii="Arial" w:cs="Arial" w:eastAsia="Arial" w:hAnsi="Arial"/>
                <w:sz w:val="18"/>
                <w:szCs w:val="18"/>
                <w:color w:val="auto"/>
                <w:w w:val="88"/>
              </w:rPr>
              <w:t>(Name of Person(s) Filing Proxy Statement, if other than the Registrant)</w:t>
            </w: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Payment of Filing Fee (Check the appropriate box):</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/x/</w:t>
            </w:r>
          </w:p>
        </w:tc>
        <w:tc>
          <w:tcPr>
            <w:tcW w:w="10860" w:type="dxa"/>
            <w:vAlign w:val="bottom"/>
            <w:gridSpan w:val="3"/>
          </w:tcPr>
          <w:p>
            <w:pPr>
              <w:ind w:left="380"/>
              <w:spacing w:after="0"/>
              <w:rPr>
                <w:sz w:val="20"/>
                <w:szCs w:val="20"/>
                <w:color w:val="auto"/>
              </w:rPr>
            </w:pPr>
            <w:r>
              <w:rPr>
                <w:rFonts w:ascii="Arial" w:cs="Arial" w:eastAsia="Arial" w:hAnsi="Arial"/>
                <w:sz w:val="18"/>
                <w:szCs w:val="18"/>
                <w:color w:val="auto"/>
              </w:rPr>
              <w:t>No fee required.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10860" w:type="dxa"/>
            <w:vAlign w:val="bottom"/>
            <w:gridSpan w:val="3"/>
          </w:tcPr>
          <w:p>
            <w:pPr>
              <w:ind w:left="380"/>
              <w:spacing w:after="0"/>
              <w:rPr>
                <w:sz w:val="20"/>
                <w:szCs w:val="20"/>
                <w:color w:val="auto"/>
              </w:rPr>
            </w:pPr>
            <w:r>
              <w:rPr>
                <w:rFonts w:ascii="Arial" w:cs="Arial" w:eastAsia="Arial" w:hAnsi="Arial"/>
                <w:sz w:val="18"/>
                <w:szCs w:val="18"/>
                <w:color w:val="auto"/>
              </w:rPr>
              <w:t>Fee computed on table below per Exchange Act Rules 14a-6(i)(1) and 0-11.</w:t>
            </w:r>
          </w:p>
        </w:tc>
      </w:tr>
      <w:tr>
        <w:trPr>
          <w:trHeight w:val="222"/>
        </w:trPr>
        <w:tc>
          <w:tcPr>
            <w:tcW w:w="560" w:type="dxa"/>
            <w:vAlign w:val="bottom"/>
          </w:tcPr>
          <w:p>
            <w:pPr>
              <w:spacing w:after="0"/>
              <w:rPr>
                <w:sz w:val="19"/>
                <w:szCs w:val="19"/>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1</w:t>
            </w:r>
          </w:p>
        </w:tc>
        <w:tc>
          <w:tcPr>
            <w:tcW w:w="68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Title of each class of securities to which transaction applies:</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2</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Aggregate number of securities to which transaction applies:</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3</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89"/>
              </w:rPr>
              <w:t>Per unit price or other underlying value of transaction computed pursuant to Exchange Act Rule 0-11 (set forth the amount on which the</w:t>
            </w:r>
          </w:p>
        </w:tc>
      </w:tr>
      <w:tr>
        <w:trPr>
          <w:trHeight w:val="222"/>
        </w:trPr>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filing fee is calculated and state how it was determined):</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4</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Proposed maximum aggregate value of transaction:</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5</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Total fee paid:</w:t>
            </w:r>
          </w:p>
        </w:tc>
      </w:tr>
      <w:tr>
        <w:trPr>
          <w:trHeight w:val="552"/>
        </w:trPr>
        <w:tc>
          <w:tcPr>
            <w:tcW w:w="5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535"/>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10860" w:type="dxa"/>
            <w:vAlign w:val="bottom"/>
            <w:gridSpan w:val="3"/>
          </w:tcPr>
          <w:p>
            <w:pPr>
              <w:ind w:left="380"/>
              <w:spacing w:after="0"/>
              <w:rPr>
                <w:sz w:val="20"/>
                <w:szCs w:val="20"/>
                <w:color w:val="auto"/>
              </w:rPr>
            </w:pPr>
            <w:r>
              <w:rPr>
                <w:rFonts w:ascii="Arial" w:cs="Arial" w:eastAsia="Arial" w:hAnsi="Arial"/>
                <w:sz w:val="18"/>
                <w:szCs w:val="18"/>
                <w:color w:val="auto"/>
              </w:rPr>
              <w:t>Fee paid previously with preliminary materials.</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10860" w:type="dxa"/>
            <w:vAlign w:val="bottom"/>
            <w:gridSpan w:val="3"/>
          </w:tcPr>
          <w:p>
            <w:pPr>
              <w:ind w:left="380"/>
              <w:spacing w:after="0"/>
              <w:rPr>
                <w:sz w:val="20"/>
                <w:szCs w:val="20"/>
                <w:color w:val="auto"/>
              </w:rPr>
            </w:pPr>
            <w:r>
              <w:rPr>
                <w:rFonts w:ascii="Arial" w:cs="Arial" w:eastAsia="Arial" w:hAnsi="Arial"/>
                <w:sz w:val="18"/>
                <w:szCs w:val="18"/>
                <w:color w:val="auto"/>
                <w:w w:val="91"/>
              </w:rPr>
              <w:t>Check box if any part of the fee is offset as provided by Exchange Act Rule 0-11(a)(2) and identify the filing for which the offsetting fee was paid</w:t>
            </w:r>
          </w:p>
        </w:tc>
      </w:tr>
      <w:tr>
        <w:trPr>
          <w:trHeight w:val="222"/>
        </w:trPr>
        <w:tc>
          <w:tcPr>
            <w:tcW w:w="560" w:type="dxa"/>
            <w:vAlign w:val="bottom"/>
          </w:tcPr>
          <w:p>
            <w:pPr>
              <w:spacing w:after="0"/>
              <w:rPr>
                <w:sz w:val="19"/>
                <w:szCs w:val="19"/>
                <w:color w:val="auto"/>
              </w:rPr>
            </w:pPr>
          </w:p>
        </w:tc>
        <w:tc>
          <w:tcPr>
            <w:tcW w:w="10860" w:type="dxa"/>
            <w:vAlign w:val="bottom"/>
            <w:gridSpan w:val="3"/>
          </w:tcPr>
          <w:p>
            <w:pPr>
              <w:ind w:left="380"/>
              <w:spacing w:after="0"/>
              <w:rPr>
                <w:sz w:val="20"/>
                <w:szCs w:val="20"/>
                <w:color w:val="auto"/>
              </w:rPr>
            </w:pPr>
            <w:r>
              <w:rPr>
                <w:rFonts w:ascii="Arial" w:cs="Arial" w:eastAsia="Arial" w:hAnsi="Arial"/>
                <w:sz w:val="18"/>
                <w:szCs w:val="18"/>
                <w:color w:val="auto"/>
              </w:rPr>
              <w:t>previously. Identify the previous filing by registration statement number, or the Form or Schedule and the date of its filing.</w:t>
            </w:r>
          </w:p>
        </w:tc>
      </w:tr>
      <w:tr>
        <w:trPr>
          <w:trHeight w:val="432"/>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1</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Amount Previously Paid:</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2</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Form, Schedule or Registration Statement No.:</w:t>
            </w:r>
          </w:p>
        </w:tc>
      </w:tr>
      <w:tr>
        <w:trPr>
          <w:trHeight w:val="55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r>
        <w:trPr>
          <w:trHeight w:val="319"/>
        </w:trPr>
        <w:tc>
          <w:tcPr>
            <w:tcW w:w="56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w w:val="79"/>
              </w:rPr>
              <w:t>3</w:t>
            </w:r>
          </w:p>
        </w:tc>
        <w:tc>
          <w:tcPr>
            <w:tcW w:w="68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Filing Party: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-6562725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-6562725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-5962650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-4573270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-4573270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-4007485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-4007485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-3303905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-3303905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-2738120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-2738120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-2172335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-2172335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-782955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342265</wp:posOffset>
            </wp:positionV>
            <wp:extent cx="616140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ectPr>
          <w:pgSz w:w="11900" w:h="16857"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1720" w:hanging="780"/>
        <w:spacing w:after="0"/>
        <w:tabs>
          <w:tab w:leader="none" w:pos="1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57"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1244600</wp:posOffset>
            </wp:positionH>
            <wp:positionV relativeFrom="page">
              <wp:posOffset>429895</wp:posOffset>
            </wp:positionV>
            <wp:extent cx="616140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61405"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740410</wp:posOffset>
            </wp:positionV>
            <wp:extent cx="1672590" cy="909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7259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13, 2002</w:t>
      </w:r>
    </w:p>
    <w:p>
      <w:pPr>
        <w:spacing w:after="0" w:line="219" w:lineRule="exact"/>
        <w:rPr>
          <w:sz w:val="20"/>
          <w:szCs w:val="20"/>
          <w:color w:val="auto"/>
        </w:rPr>
      </w:pPr>
    </w:p>
    <w:p>
      <w:pPr>
        <w:ind w:right="60" w:firstLine="172"/>
        <w:spacing w:after="0" w:line="268" w:lineRule="auto"/>
        <w:rPr>
          <w:sz w:val="20"/>
          <w:szCs w:val="20"/>
          <w:color w:val="auto"/>
        </w:rPr>
      </w:pPr>
      <w:r>
        <w:rPr>
          <w:rFonts w:ascii="Arial" w:cs="Arial" w:eastAsia="Arial" w:hAnsi="Arial"/>
          <w:sz w:val="18"/>
          <w:szCs w:val="18"/>
          <w:color w:val="auto"/>
        </w:rPr>
        <w:t>The annual meeting of shareholders of Hawkins, Inc. (the "Company") will be held at the Four Points Sheraton Hotel, 1330 Industrial Boulevard, Minneapolis, Minnesota, on Wednesday, February 13, 2002, at 3:30 P.M., Central Standard Time, for the following purposes: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elect nine directors.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transact such other business as may properly come before the meeting or any adjournment thereof.</w:t>
      </w:r>
    </w:p>
    <w:p>
      <w:pPr>
        <w:spacing w:after="0" w:line="219"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The Board of Directors has fixed the close of business on January 4, 2002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200" w:lineRule="exact"/>
        <w:rPr>
          <w:sz w:val="20"/>
          <w:szCs w:val="20"/>
          <w:color w:val="auto"/>
        </w:rPr>
      </w:pPr>
    </w:p>
    <w:p>
      <w:pPr>
        <w:spacing w:after="0" w:line="210"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January 11, 2002.</w:t>
      </w:r>
      <w:r>
        <w:rPr>
          <w:sz w:val="20"/>
          <w:szCs w:val="20"/>
          <w:color w:val="auto"/>
        </w:rPr>
        <w:tab/>
      </w:r>
      <w:r>
        <w:rPr>
          <w:rFonts w:ascii="Arial" w:cs="Arial" w:eastAsia="Arial" w:hAnsi="Arial"/>
          <w:sz w:val="16"/>
          <w:szCs w:val="16"/>
          <w:color w:val="auto"/>
        </w:rPr>
        <w:t>BY ORDER OF THE BOARD OF DIRECTORS</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11, 2002</w:t>
      </w:r>
    </w:p>
    <w:p>
      <w:pPr>
        <w:spacing w:after="0" w:line="231" w:lineRule="exact"/>
        <w:rPr>
          <w:sz w:val="20"/>
          <w:szCs w:val="20"/>
          <w:color w:val="auto"/>
        </w:rPr>
      </w:pPr>
    </w:p>
    <w:p>
      <w:pPr>
        <w:ind w:right="180" w:firstLine="172"/>
        <w:spacing w:after="0" w:line="306" w:lineRule="auto"/>
        <w:rPr>
          <w:sz w:val="20"/>
          <w:szCs w:val="20"/>
          <w:color w:val="auto"/>
        </w:rPr>
      </w:pPr>
      <w:r>
        <w:rPr>
          <w:rFonts w:ascii="Arial" w:cs="Arial" w:eastAsia="Arial" w:hAnsi="Arial"/>
          <w:sz w:val="16"/>
          <w:szCs w:val="16"/>
          <w:color w:val="auto"/>
        </w:rPr>
        <w:t>The following statement is furnished in connection with the solicitation of proxies by the Board of Directors of Hawkins, Inc. (the "Company") to be voted at the annual meeting of shareholders of the Company to be held on Wednesday, February 13, 2002, or at any adjournment or adjournments of such meeting. Distribution of this proxy statement and proxy to the shareholders began on or about January 11, 2002.</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firstLine="172"/>
        <w:spacing w:after="0" w:line="298" w:lineRule="auto"/>
        <w:rPr>
          <w:sz w:val="20"/>
          <w:szCs w:val="20"/>
          <w:color w:val="auto"/>
        </w:rPr>
      </w:pPr>
      <w:r>
        <w:rPr>
          <w:rFonts w:ascii="Arial" w:cs="Arial" w:eastAsia="Arial" w:hAnsi="Arial"/>
          <w:sz w:val="16"/>
          <w:szCs w:val="16"/>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ind w:right="40" w:firstLine="166"/>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91" w:lineRule="exact"/>
        <w:rPr>
          <w:sz w:val="20"/>
          <w:szCs w:val="20"/>
          <w:color w:val="auto"/>
        </w:rPr>
      </w:pPr>
    </w:p>
    <w:p>
      <w:pPr>
        <w:ind w:right="100" w:firstLine="176"/>
        <w:spacing w:after="0" w:line="310" w:lineRule="auto"/>
        <w:rPr>
          <w:sz w:val="20"/>
          <w:szCs w:val="20"/>
          <w:color w:val="auto"/>
        </w:rPr>
      </w:pPr>
      <w:r>
        <w:rPr>
          <w:rFonts w:ascii="Arial" w:cs="Arial" w:eastAsia="Arial" w:hAnsi="Arial"/>
          <w:sz w:val="16"/>
          <w:szCs w:val="16"/>
          <w:color w:val="auto"/>
        </w:rPr>
        <w:t xml:space="preserve">Unless otherwise directed in the accompanying proxy, the persons named therein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nominees for director as set forth in this Notice of Annual Meeting of Shareholders. Management is not aware of any other business that will, or is likely to, come before the meeting. If any other business does properly come before the meeting, such persons will vote in accordance with their judgment as to what is in the Company's best interests.</w:t>
      </w:r>
    </w:p>
    <w:p>
      <w:pPr>
        <w:sectPr>
          <w:pgSz w:w="11900" w:h="16838" w:orient="portrait"/>
          <w:cols w:equalWidth="0" w:num="1">
            <w:col w:w="11420"/>
          </w:cols>
          <w:pgMar w:left="240" w:top="1440" w:right="239" w:bottom="0" w:gutter="0" w:footer="0" w:header="0"/>
        </w:sectPr>
      </w:pPr>
    </w:p>
    <w:bookmarkStart w:id="2" w:name="page3"/>
    <w:bookmarkEnd w:id="2"/>
    <w:p>
      <w:pPr>
        <w:spacing w:after="0" w:line="66" w:lineRule="exact"/>
        <w:rPr>
          <w:sz w:val="20"/>
          <w:szCs w:val="20"/>
          <w:color w:val="auto"/>
        </w:rPr>
      </w:pPr>
    </w:p>
    <w:p>
      <w:pPr>
        <w:ind w:right="60" w:firstLine="166"/>
        <w:spacing w:after="0" w:line="323" w:lineRule="auto"/>
        <w:rPr>
          <w:sz w:val="20"/>
          <w:szCs w:val="20"/>
          <w:color w:val="auto"/>
        </w:rPr>
      </w:pPr>
      <w:r>
        <w:rPr>
          <w:rFonts w:ascii="Arial" w:cs="Arial" w:eastAsia="Arial" w:hAnsi="Arial"/>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Amended and Second Restated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ind w:right="100" w:firstLine="166"/>
        <w:spacing w:after="0" w:line="256" w:lineRule="auto"/>
        <w:rPr>
          <w:sz w:val="20"/>
          <w:szCs w:val="20"/>
          <w:color w:val="auto"/>
        </w:rPr>
      </w:pPr>
      <w:r>
        <w:rPr>
          <w:rFonts w:ascii="Arial" w:cs="Arial" w:eastAsia="Arial" w:hAnsi="Arial"/>
          <w:sz w:val="18"/>
          <w:szCs w:val="18"/>
          <w:color w:val="auto"/>
        </w:rPr>
        <w:t>As of the close of business on January 4, 2002, there were outstanding 10,216,688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2002 annual meeting is January 4, 2002. There is no 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176"/>
        <w:spacing w:after="0" w:line="288" w:lineRule="auto"/>
        <w:rPr>
          <w:sz w:val="20"/>
          <w:szCs w:val="20"/>
          <w:color w:val="auto"/>
        </w:rPr>
      </w:pPr>
      <w:r>
        <w:rPr>
          <w:rFonts w:ascii="Arial" w:cs="Arial" w:eastAsia="Arial" w:hAnsi="Arial"/>
          <w:sz w:val="16"/>
          <w:szCs w:val="16"/>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the following persons failed to file reports on a timely basis for the transactions identified (i) Marvin E. Dee for a transaction in July 2001, (ii) Keenan A. Paulson for a transaction in August 2001 (iii) John R. Hawkins for a transaction in October 2001 and in November 2001, (iv) Howard M. Hawkins for a transaction in October 2001, and (v) each of Keenan A. Paulson, John R. Sevenich, and Daniel E. Soderlund failed to file on a timely basis a Form 5 for the fiscal year ended September 30, 2001, all of which reports have since been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BENEFICIAL OWNERSHIP</w:t>
      </w:r>
    </w:p>
    <w:p>
      <w:pPr>
        <w:spacing w:after="0" w:line="219" w:lineRule="exact"/>
        <w:rPr>
          <w:sz w:val="20"/>
          <w:szCs w:val="20"/>
          <w:color w:val="auto"/>
        </w:rPr>
      </w:pPr>
    </w:p>
    <w:p>
      <w:pPr>
        <w:ind w:right="240" w:firstLine="172"/>
        <w:spacing w:after="0" w:line="256" w:lineRule="auto"/>
        <w:rPr>
          <w:sz w:val="20"/>
          <w:szCs w:val="20"/>
          <w:color w:val="auto"/>
        </w:rPr>
      </w:pPr>
      <w:r>
        <w:rPr>
          <w:rFonts w:ascii="Arial" w:cs="Arial" w:eastAsia="Arial" w:hAnsi="Arial"/>
          <w:sz w:val="18"/>
          <w:szCs w:val="18"/>
          <w:color w:val="auto"/>
        </w:rPr>
        <w:t>The following table contains information as of December 4, 2001 concerning the beneficial ownership of the Company's common shares by all directors and nominees, by the named executive officers in the Summary Compensation table, by all current directors and executive officers as a group and by shareholders known to the Company to beneficially own more than 5% of its common shares. Unless otherwise noted, the address for each shareholder listed below is the Company's executive offices.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240" w:type="dxa"/>
            <w:vAlign w:val="bottom"/>
          </w:tcPr>
          <w:p>
            <w:pPr>
              <w:spacing w:after="0"/>
              <w:rPr>
                <w:sz w:val="15"/>
                <w:szCs w:val="15"/>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Shares(a)</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744,652(b)</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2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179,748(c)</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L. Hahn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109,778(d)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2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120,520(e)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43,210(f)</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24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20,619(g)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G. Robert Gey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3,461</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15,310(h)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2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18,603(j)</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6,547(k)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All current directors and officers as a group (13 persons)</w:t>
            </w:r>
          </w:p>
        </w:tc>
        <w:tc>
          <w:tcPr>
            <w:tcW w:w="2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536,891(l)</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Hawkins, Inc.</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 and Trust</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2,312,625(m)</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7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-2364105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-2364105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-2364105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-2364105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-2364105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than one percent.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noted, all shares shown are held by shareholders possessing sole voting and investment power with respect to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ind w:left="540" w:right="860"/>
        <w:spacing w:after="0" w:line="250" w:lineRule="auto"/>
        <w:rPr>
          <w:sz w:val="20"/>
          <w:szCs w:val="20"/>
          <w:color w:val="auto"/>
        </w:rPr>
      </w:pPr>
      <w:r>
        <w:rPr>
          <w:rFonts w:ascii="Arial" w:cs="Arial" w:eastAsia="Arial" w:hAnsi="Arial"/>
          <w:sz w:val="18"/>
          <w:szCs w:val="18"/>
          <w:color w:val="auto"/>
        </w:rPr>
        <w:t>Based on Schedule 13F-HR filed with the Securities and Exchange Commission on November 8, 2001. The address for Royce &amp; Associates is 1414 Avenue of the Americas, New York, NY 10019.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ind w:left="540" w:right="400"/>
        <w:spacing w:after="0" w:line="361" w:lineRule="auto"/>
        <w:rPr>
          <w:sz w:val="20"/>
          <w:szCs w:val="20"/>
          <w:color w:val="auto"/>
        </w:rPr>
      </w:pPr>
      <w:r>
        <w:rPr>
          <w:rFonts w:ascii="Arial" w:cs="Arial" w:eastAsia="Arial" w:hAnsi="Arial"/>
          <w:sz w:val="15"/>
          <w:szCs w:val="15"/>
          <w:color w:val="auto"/>
        </w:rPr>
        <w:t>Includes 64,195 shares held by Mr. Hawkins' wife as to which he may be deemed to share voting and investment power, but as to which he disclaims beneficial ownership; and 14,346 shares that Mr. Hawkins holds jointly with his wife as to which he shares voting and investment power. Does not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include shares representing the beneficial interest of Mr. Hawkins as of September 30, 2001 in the Company's Employee Stock Ownership Plan (107,086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5" w:lineRule="exact"/>
        <w:rPr>
          <w:sz w:val="20"/>
          <w:szCs w:val="20"/>
          <w:color w:val="auto"/>
        </w:rPr>
      </w:pPr>
    </w:p>
    <w:p>
      <w:pPr>
        <w:ind w:left="540" w:right="160"/>
        <w:spacing w:after="0" w:line="323" w:lineRule="auto"/>
        <w:rPr>
          <w:sz w:val="20"/>
          <w:szCs w:val="20"/>
          <w:color w:val="auto"/>
        </w:rPr>
      </w:pPr>
      <w:r>
        <w:rPr>
          <w:rFonts w:ascii="Arial" w:cs="Arial" w:eastAsia="Arial" w:hAnsi="Arial"/>
          <w:sz w:val="16"/>
          <w:szCs w:val="16"/>
          <w:color w:val="auto"/>
        </w:rPr>
        <w:t>Includes 7,018 shares that Mr. Hahn holds jointly with his wife as to which he shares voting and investment power. Does not include shares representing Mr. Hahn's beneficial interest as of September 30, 2001 in the Company's Employee Stock Ownership Plan (84,644 shares).</w:t>
      </w:r>
    </w:p>
    <w:p>
      <w:pPr>
        <w:sectPr>
          <w:pgSz w:w="11900" w:h="16904" w:orient="portrait"/>
          <w:cols w:equalWidth="0" w:num="1">
            <w:col w:w="11420"/>
          </w:cols>
          <w:pgMar w:left="240" w:top="131" w:right="239" w:bottom="0" w:gutter="0" w:footer="0" w:header="0"/>
        </w:sectPr>
      </w:pPr>
    </w:p>
    <w:bookmarkStart w:id="3" w:name="page4"/>
    <w:bookmarkEnd w:id="3"/>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5" w:lineRule="exact"/>
        <w:rPr>
          <w:sz w:val="20"/>
          <w:szCs w:val="20"/>
          <w:color w:val="auto"/>
        </w:rPr>
      </w:pPr>
    </w:p>
    <w:p>
      <w:pPr>
        <w:ind w:left="540" w:right="300"/>
        <w:spacing w:after="0" w:line="250" w:lineRule="auto"/>
        <w:rPr>
          <w:sz w:val="20"/>
          <w:szCs w:val="20"/>
          <w:color w:val="auto"/>
        </w:rPr>
      </w:pPr>
      <w:r>
        <w:rPr>
          <w:rFonts w:ascii="Arial" w:cs="Arial" w:eastAsia="Arial" w:hAnsi="Arial"/>
          <w:sz w:val="18"/>
          <w:szCs w:val="18"/>
          <w:color w:val="auto"/>
        </w:rPr>
        <w:t>Includes 60,000 shares held by Mr. Shipp's wife as to which he may be deemed to share voting and investment power, but as to which he disclaims beneficial ownership. Does not include shares representing Mr. Shipp's beneficial interest as of September 30, 2001 in the Company's Employee Stock Ownership Plan (189,424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ind w:left="540" w:right="740"/>
        <w:spacing w:after="0" w:line="300" w:lineRule="auto"/>
        <w:rPr>
          <w:sz w:val="20"/>
          <w:szCs w:val="20"/>
          <w:color w:val="auto"/>
        </w:rPr>
      </w:pPr>
      <w:r>
        <w:rPr>
          <w:rFonts w:ascii="Arial" w:cs="Arial" w:eastAsia="Arial" w:hAnsi="Arial"/>
          <w:sz w:val="15"/>
          <w:szCs w:val="15"/>
          <w:color w:val="auto"/>
        </w:rPr>
        <w:t>Includes 33,170 shares that Mr. Hawkins holds jointly with his wife as to which he shares voting and investment power. Does not include shares representing Mr. Hawkins' beneficial interest as of September 30, 2001 in the Company's Employee Stock Ownership Plan (128,424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ind w:left="540" w:right="100"/>
        <w:spacing w:after="0" w:line="250" w:lineRule="auto"/>
        <w:rPr>
          <w:sz w:val="20"/>
          <w:szCs w:val="20"/>
          <w:color w:val="auto"/>
        </w:rPr>
      </w:pPr>
      <w:r>
        <w:rPr>
          <w:rFonts w:ascii="Arial" w:cs="Arial" w:eastAsia="Arial" w:hAnsi="Arial"/>
          <w:sz w:val="18"/>
          <w:szCs w:val="18"/>
          <w:color w:val="auto"/>
        </w:rPr>
        <w:t>Includes 810 shares held by Mr. McKeon as custodian for his children as to which Mr. McKeon has sole voting and investment power, but as to which he disclaims beneficial ownership.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ind w:left="540" w:right="200"/>
        <w:spacing w:after="0" w:line="300" w:lineRule="auto"/>
        <w:rPr>
          <w:sz w:val="20"/>
          <w:szCs w:val="20"/>
          <w:color w:val="auto"/>
        </w:rPr>
      </w:pPr>
      <w:r>
        <w:rPr>
          <w:rFonts w:ascii="Arial" w:cs="Arial" w:eastAsia="Arial" w:hAnsi="Arial"/>
          <w:sz w:val="15"/>
          <w:szCs w:val="15"/>
          <w:color w:val="auto"/>
        </w:rPr>
        <w:t>Includes 1,428 shares held by Mr. Norman's wife as custodian for their children, as to which he disclaims beneficial ownership. Does not include shares representing the beneficial interest of Mr. Norman as of September 30, 2001 in the Company's Employee Stock Ownership Plan (29,594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ind w:left="540"/>
        <w:spacing w:after="0" w:line="250" w:lineRule="auto"/>
        <w:rPr>
          <w:sz w:val="20"/>
          <w:szCs w:val="20"/>
          <w:color w:val="auto"/>
        </w:rPr>
      </w:pPr>
      <w:r>
        <w:rPr>
          <w:rFonts w:ascii="Arial" w:cs="Arial" w:eastAsia="Arial" w:hAnsi="Arial"/>
          <w:sz w:val="18"/>
          <w:szCs w:val="18"/>
          <w:color w:val="auto"/>
        </w:rPr>
        <w:t>Does not include shares representing the beneficial interest of Mr. Dee in the Company's Employee Stock Ownership Plan (456 shares as of September 30, 2001).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ind w:left="540" w:right="480"/>
        <w:spacing w:after="0" w:line="250" w:lineRule="auto"/>
        <w:rPr>
          <w:sz w:val="20"/>
          <w:szCs w:val="20"/>
          <w:color w:val="auto"/>
        </w:rPr>
      </w:pPr>
      <w:r>
        <w:rPr>
          <w:rFonts w:ascii="Arial" w:cs="Arial" w:eastAsia="Arial" w:hAnsi="Arial"/>
          <w:sz w:val="18"/>
          <w:szCs w:val="18"/>
          <w:color w:val="auto"/>
        </w:rPr>
        <w:t>Does not include shares representing the beneficial interest of Mr. Sevenich in the Company's Employee Stock Ownership Plan (19,184 shares as of September 30, 2001).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ind w:left="540" w:right="280"/>
        <w:spacing w:after="0" w:line="250" w:lineRule="auto"/>
        <w:rPr>
          <w:sz w:val="20"/>
          <w:szCs w:val="20"/>
          <w:color w:val="auto"/>
        </w:rPr>
      </w:pPr>
      <w:r>
        <w:rPr>
          <w:rFonts w:ascii="Arial" w:cs="Arial" w:eastAsia="Arial" w:hAnsi="Arial"/>
          <w:sz w:val="18"/>
          <w:szCs w:val="18"/>
          <w:color w:val="auto"/>
        </w:rPr>
        <w:t>Ms. Paulson holds these shares with her spouse and shares voting and investment power. Does not include shares representing the beneficial interest of Ms. Paulson in the Company's Employee Stock Ownership Plan (66,944 shares as of September 30, 2001).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ind w:left="540" w:right="440"/>
        <w:spacing w:after="0" w:line="250" w:lineRule="auto"/>
        <w:rPr>
          <w:sz w:val="20"/>
          <w:szCs w:val="20"/>
          <w:color w:val="auto"/>
        </w:rPr>
      </w:pPr>
      <w:r>
        <w:rPr>
          <w:rFonts w:ascii="Arial" w:cs="Arial" w:eastAsia="Arial" w:hAnsi="Arial"/>
          <w:sz w:val="18"/>
          <w:szCs w:val="18"/>
          <w:color w:val="auto"/>
        </w:rPr>
        <w:t>Does not include shares representing the beneficial interest of the directors and officers in the Company's Employee Stock Ownership Plan (636,277 shares as of September 30, 2001).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9" w:lineRule="exact"/>
        <w:rPr>
          <w:sz w:val="20"/>
          <w:szCs w:val="20"/>
          <w:color w:val="auto"/>
        </w:rPr>
      </w:pPr>
    </w:p>
    <w:p>
      <w:pPr>
        <w:ind w:left="540" w:right="20"/>
        <w:spacing w:after="0" w:line="295" w:lineRule="auto"/>
        <w:rPr>
          <w:sz w:val="20"/>
          <w:szCs w:val="20"/>
          <w:color w:val="auto"/>
        </w:rPr>
      </w:pPr>
      <w:r>
        <w:rPr>
          <w:rFonts w:ascii="Arial" w:cs="Arial" w:eastAsia="Arial" w:hAnsi="Arial"/>
          <w:sz w:val="16"/>
          <w:szCs w:val="16"/>
          <w:color w:val="auto"/>
        </w:rPr>
        <w:t>The current trustees of the Hawkins, Inc. Employee Stock Ownership Plan and Trust are John R. Hawkins, Kurt R. Norman, and Marvin E. Dee.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TO BE ACTED UPON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19" w:lineRule="exact"/>
        <w:rPr>
          <w:sz w:val="20"/>
          <w:szCs w:val="20"/>
          <w:color w:val="auto"/>
        </w:rPr>
      </w:pPr>
    </w:p>
    <w:p>
      <w:pPr>
        <w:ind w:right="40" w:firstLine="166"/>
        <w:spacing w:after="0" w:line="254" w:lineRule="auto"/>
        <w:rPr>
          <w:sz w:val="20"/>
          <w:szCs w:val="20"/>
          <w:color w:val="auto"/>
        </w:rPr>
      </w:pPr>
      <w:r>
        <w:rPr>
          <w:rFonts w:ascii="Arial" w:cs="Arial" w:eastAsia="Arial" w:hAnsi="Arial"/>
          <w:sz w:val="18"/>
          <w:szCs w:val="18"/>
          <w:color w:val="auto"/>
        </w:rPr>
        <w:t>At the forthcoming annual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and broker non-votes have the effect of a vote against the nominees. Proxies will be voted for the election of all nominees unless you direct otherwise. Should any nominee decline or be unable to accept such nomination or to serve as a director (an event which management does not now expect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occur), proxies will be voted for a substitute nominee or nominees in accordance with the best judgment of the person or persons acting under them.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31" w:lineRule="exact"/>
        <w:rPr>
          <w:sz w:val="20"/>
          <w:szCs w:val="20"/>
          <w:color w:val="auto"/>
        </w:rPr>
      </w:pPr>
    </w:p>
    <w:p>
      <w:pPr>
        <w:ind w:right="220" w:firstLine="166"/>
        <w:spacing w:after="0" w:line="259" w:lineRule="auto"/>
        <w:rPr>
          <w:sz w:val="20"/>
          <w:szCs w:val="20"/>
          <w:color w:val="auto"/>
        </w:rPr>
      </w:pPr>
      <w:r>
        <w:rPr>
          <w:rFonts w:ascii="Arial" w:cs="Arial" w:eastAsia="Arial" w:hAnsi="Arial"/>
          <w:sz w:val="18"/>
          <w:szCs w:val="18"/>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December 1, 2001; all occupations are with the Company unless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tcPr>
          <w:p>
            <w:pPr>
              <w:ind w:left="218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340" w:type="dxa"/>
            <w:vAlign w:val="bottom"/>
          </w:tcPr>
          <w:p>
            <w:pPr>
              <w:spacing w:after="0"/>
              <w:rPr>
                <w:sz w:val="15"/>
                <w:szCs w:val="15"/>
                <w:color w:val="auto"/>
              </w:rPr>
            </w:pPr>
          </w:p>
        </w:tc>
        <w:tc>
          <w:tcPr>
            <w:tcW w:w="5600" w:type="dxa"/>
            <w:vAlign w:val="bottom"/>
          </w:tcPr>
          <w:p>
            <w:pPr>
              <w:ind w:left="2300"/>
              <w:spacing w:after="0"/>
              <w:rPr>
                <w:sz w:val="20"/>
                <w:szCs w:val="20"/>
                <w:color w:val="auto"/>
              </w:rPr>
            </w:pPr>
            <w:r>
              <w:rPr>
                <w:rFonts w:ascii="Arial" w:cs="Arial" w:eastAsia="Arial" w:hAnsi="Arial"/>
                <w:sz w:val="14"/>
                <w:szCs w:val="14"/>
                <w:b w:val="1"/>
                <w:bCs w:val="1"/>
                <w:color w:val="auto"/>
              </w:rPr>
              <w:t>and Employment</w:t>
            </w:r>
          </w:p>
        </w:tc>
        <w:tc>
          <w:tcPr>
            <w:tcW w:w="34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Chairman of the Board and Chief Executive Officer since February 2000;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President from December 1998 to February 2000; Executive Vice President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from 1997 to December 1998; Vice President of Sales from 1987 to 1997;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Secretary from 1991 to 1999.</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Kurt R. Norman</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President and Chief Operating Officer since February 2000; Vice President</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from February 1999 to February 2000; Vice President, Hawkins Water</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Treatment Group from 1996 to February 1999; General Manager of Hawkins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Water Treatment Group from 1988 to 1996.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Dean L. Hahn</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Retired; Chairman of the Board and Chief Executive Officer from 1996 to</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2000; President from 1983 to 1996.</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Donald L. Shipp</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Retired; Vice Chairman from December 1998 to September 2000; President</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66</w:t>
            </w:r>
          </w:p>
        </w:tc>
        <w:tc>
          <w:tcPr>
            <w:tcW w:w="800" w:type="dxa"/>
            <w:vAlign w:val="bottom"/>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from 1996 to December 1998; Executive Vice President from 1983 to 1996;</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0"/>
              </w:rPr>
              <w:t>President of Feed-Rite Controls, Inc., then a subsidiary of the Company, from</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1967 to 1996.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Retired; Treasurer from 1973 to 1999; Vice President from 1996 to 1999.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John S. McKeon</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of Golden Valley Microwave Foods, Inc. since August 1993;</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800" w:type="dxa"/>
            <w:vAlign w:val="bottom"/>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President of McKeon Associates, Inc. 1991 to 1993 (corporate finance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consulting); Vice President of Northstar Industries, Inc. 1976 to 1990.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Retired; Vice President, Operations of Taylor Corporation from 1985 to 1999.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-2687955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-2687955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-2687955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-2687955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-2687955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-2687955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-2687955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-2687955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 Robert Gey</w:t>
            </w:r>
          </w:p>
        </w:tc>
        <w:tc>
          <w:tcPr>
            <w:tcW w:w="7280" w:type="dxa"/>
            <w:vAlign w:val="bottom"/>
          </w:tcPr>
          <w:p>
            <w:pPr>
              <w:ind w:left="1360"/>
              <w:spacing w:after="0"/>
              <w:rPr>
                <w:sz w:val="20"/>
                <w:szCs w:val="20"/>
                <w:color w:val="auto"/>
              </w:rPr>
            </w:pPr>
            <w:r>
              <w:rPr>
                <w:rFonts w:ascii="Arial" w:cs="Arial" w:eastAsia="Arial" w:hAnsi="Arial"/>
                <w:sz w:val="18"/>
                <w:szCs w:val="18"/>
                <w:color w:val="auto"/>
                <w:w w:val="98"/>
              </w:rPr>
              <w:t>Retired President, Pentair Service Equipment Business from 1996 to 2001;</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57</w:t>
            </w:r>
          </w:p>
        </w:tc>
        <w:tc>
          <w:tcPr>
            <w:tcW w:w="7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2420" w:type="dxa"/>
            <w:vAlign w:val="bottom"/>
          </w:tcPr>
          <w:p>
            <w:pPr>
              <w:spacing w:after="0"/>
              <w:rPr>
                <w:sz w:val="18"/>
                <w:szCs w:val="18"/>
                <w:color w:val="auto"/>
              </w:rPr>
            </w:pPr>
          </w:p>
        </w:tc>
        <w:tc>
          <w:tcPr>
            <w:tcW w:w="7280" w:type="dxa"/>
            <w:vAlign w:val="bottom"/>
          </w:tcPr>
          <w:p>
            <w:pPr>
              <w:ind w:left="1360"/>
              <w:spacing w:after="0"/>
              <w:rPr>
                <w:sz w:val="20"/>
                <w:szCs w:val="20"/>
                <w:color w:val="auto"/>
              </w:rPr>
            </w:pPr>
            <w:r>
              <w:rPr>
                <w:rFonts w:ascii="Arial" w:cs="Arial" w:eastAsia="Arial" w:hAnsi="Arial"/>
                <w:sz w:val="18"/>
                <w:szCs w:val="18"/>
                <w:color w:val="auto"/>
                <w:w w:val="94"/>
              </w:rPr>
              <w:t>Vice President, Pentair Corporate Development from 1995 to 1996; President,</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7280" w:type="dxa"/>
            <w:vAlign w:val="bottom"/>
          </w:tcPr>
          <w:p>
            <w:pPr>
              <w:ind w:left="1360"/>
              <w:spacing w:after="0"/>
              <w:rPr>
                <w:sz w:val="20"/>
                <w:szCs w:val="20"/>
                <w:color w:val="auto"/>
              </w:rPr>
            </w:pPr>
            <w:r>
              <w:rPr>
                <w:rFonts w:ascii="Arial" w:cs="Arial" w:eastAsia="Arial" w:hAnsi="Arial"/>
                <w:sz w:val="18"/>
                <w:szCs w:val="18"/>
                <w:color w:val="auto"/>
                <w:w w:val="98"/>
              </w:rPr>
              <w:t>Niagara Paper Corp. from 1992 to 1995; various positions with Pentair, Inc.</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2420" w:type="dxa"/>
            <w:vAlign w:val="bottom"/>
          </w:tcPr>
          <w:p>
            <w:pPr>
              <w:spacing w:after="0"/>
              <w:rPr>
                <w:sz w:val="19"/>
                <w:szCs w:val="19"/>
                <w:color w:val="auto"/>
              </w:rPr>
            </w:pPr>
          </w:p>
        </w:tc>
        <w:tc>
          <w:tcPr>
            <w:tcW w:w="7280" w:type="dxa"/>
            <w:vAlign w:val="bottom"/>
          </w:tcPr>
          <w:p>
            <w:pPr>
              <w:ind w:left="1360"/>
              <w:spacing w:after="0"/>
              <w:rPr>
                <w:sz w:val="20"/>
                <w:szCs w:val="20"/>
                <w:color w:val="auto"/>
              </w:rPr>
            </w:pPr>
            <w:r>
              <w:rPr>
                <w:rFonts w:ascii="Arial" w:cs="Arial" w:eastAsia="Arial" w:hAnsi="Arial"/>
                <w:sz w:val="18"/>
                <w:szCs w:val="18"/>
                <w:color w:val="auto"/>
              </w:rPr>
              <w:t>from 1983 to 1992.</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Daryl I. Skaar</w:t>
            </w:r>
          </w:p>
        </w:tc>
        <w:tc>
          <w:tcPr>
            <w:tcW w:w="728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Retired; Vice President, Chief Procurement Officer of Lucent Technologies</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2420" w:type="dxa"/>
            <w:vAlign w:val="bottom"/>
            <w:shd w:val="clear" w:color="auto" w:fill="CCEEFF"/>
          </w:tcPr>
          <w:p>
            <w:pPr>
              <w:spacing w:after="0"/>
              <w:rPr>
                <w:sz w:val="18"/>
                <w:szCs w:val="18"/>
                <w:color w:val="auto"/>
              </w:rPr>
            </w:pPr>
          </w:p>
        </w:tc>
        <w:tc>
          <w:tcPr>
            <w:tcW w:w="728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6"/>
              </w:rPr>
              <w:t>from 1997 to 2000; various positions at 3M from 1965 to 1997, most recently</w:t>
            </w: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spacing w:after="0"/>
              <w:rPr>
                <w:sz w:val="19"/>
                <w:szCs w:val="19"/>
                <w:color w:val="auto"/>
              </w:rPr>
            </w:pPr>
          </w:p>
        </w:tc>
        <w:tc>
          <w:tcPr>
            <w:tcW w:w="72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as Vice President of Purchasing and Packaging Engineering.</w:t>
            </w:r>
          </w:p>
        </w:tc>
        <w:tc>
          <w:tcPr>
            <w:tcW w:w="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right="500" w:firstLine="176"/>
        <w:spacing w:after="0" w:line="268" w:lineRule="auto"/>
        <w:rPr>
          <w:sz w:val="20"/>
          <w:szCs w:val="20"/>
          <w:color w:val="auto"/>
        </w:rPr>
      </w:pPr>
      <w:r>
        <w:rPr>
          <w:rFonts w:ascii="Arial" w:cs="Arial" w:eastAsia="Arial" w:hAnsi="Arial"/>
          <w:sz w:val="18"/>
          <w:szCs w:val="18"/>
          <w:color w:val="auto"/>
        </w:rPr>
        <w:t>Howard M. Hawkins and John R. Hawkins are brothers. Donald L. Shipp is the father-in-law of Kurt R. Norman. There are no other family relationships between officers or directors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Board of Directors</w:t>
      </w:r>
    </w:p>
    <w:p>
      <w:pPr>
        <w:spacing w:after="0" w:line="231" w:lineRule="exact"/>
        <w:rPr>
          <w:sz w:val="20"/>
          <w:szCs w:val="20"/>
          <w:color w:val="auto"/>
        </w:rPr>
      </w:pPr>
    </w:p>
    <w:p>
      <w:pPr>
        <w:ind w:right="80" w:firstLine="172"/>
        <w:spacing w:after="0" w:line="291" w:lineRule="auto"/>
        <w:rPr>
          <w:sz w:val="20"/>
          <w:szCs w:val="20"/>
          <w:color w:val="auto"/>
        </w:rPr>
      </w:pPr>
      <w:r>
        <w:rPr>
          <w:rFonts w:ascii="Arial" w:cs="Arial" w:eastAsia="Arial" w:hAnsi="Arial"/>
          <w:sz w:val="16"/>
          <w:szCs w:val="16"/>
          <w:color w:val="auto"/>
        </w:rPr>
        <w:t>The Board of Directors held four meetings in fiscal 2001. All directors attended at least 75% of the total number of meetings of the Board and the committees on which they served. The Audit Committee, which presently consists of John S. McKeon, Duane M. Jergenson, G. Robert Gey and Daryl I. Skaar is responsible for selecting auditors, ensuring the fiscal integrity of the Company, and establishing and reviewing internal controls. The Audit Committee held four meetings during fiscal 2001. The Compensation Committee, which consists of John S. McKeon, Duane M. Jergenson, G. Robert Gey and Daryl I. Skaar is responsible for establishing compensation policies for the Company and for reviewing and setting compensation for senior executives of the Company. The Compensation Committee held three meetings during fiscal 2001.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w:t>
      </w:r>
    </w:p>
    <w:p>
      <w:pPr>
        <w:spacing w:after="0" w:line="231" w:lineRule="exact"/>
        <w:rPr>
          <w:sz w:val="20"/>
          <w:szCs w:val="20"/>
          <w:color w:val="auto"/>
        </w:rPr>
      </w:pPr>
    </w:p>
    <w:p>
      <w:pPr>
        <w:ind w:right="20" w:firstLine="176"/>
        <w:spacing w:after="0" w:line="286" w:lineRule="auto"/>
        <w:rPr>
          <w:sz w:val="20"/>
          <w:szCs w:val="20"/>
          <w:color w:val="auto"/>
        </w:rPr>
      </w:pPr>
      <w:r>
        <w:rPr>
          <w:rFonts w:ascii="Arial" w:cs="Arial" w:eastAsia="Arial" w:hAnsi="Arial"/>
          <w:sz w:val="16"/>
          <w:szCs w:val="16"/>
          <w:color w:val="auto"/>
        </w:rPr>
        <w:t>Sections 8 through 11 of Article II of the Company's Second Amended and Superseding By-Laws, as currently in effect (the "Bylaws"),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fiscal 2001, each director who is not an employee of the Company was paid $12,000 as an annual retainer plus $1,000 for each meeting attended.</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DIRECTOR.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00" w:firstLine="176"/>
        <w:spacing w:after="0" w:line="259" w:lineRule="auto"/>
        <w:rPr>
          <w:sz w:val="20"/>
          <w:szCs w:val="20"/>
          <w:color w:val="auto"/>
        </w:rPr>
      </w:pPr>
      <w:r>
        <w:rPr>
          <w:rFonts w:ascii="Arial" w:cs="Arial" w:eastAsia="Arial" w:hAnsi="Arial"/>
          <w:sz w:val="18"/>
          <w:szCs w:val="18"/>
          <w:color w:val="auto"/>
        </w:rPr>
        <w:t>Management does not know of any other business which will be presented for consideration at the annual meeting. If, however, any other business does properly come before the meeting, proxies will be voted in accordance with the judgment of the person or persons acting under them as to what is in the best interests of the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PUBLIC ACCOUNTANTS</w:t>
      </w:r>
    </w:p>
    <w:p>
      <w:pPr>
        <w:spacing w:after="0" w:line="231"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86" w:lineRule="exact"/>
        <w:rPr>
          <w:sz w:val="20"/>
          <w:szCs w:val="20"/>
          <w:color w:val="auto"/>
        </w:rPr>
      </w:pPr>
    </w:p>
    <w:p>
      <w:pPr>
        <w:ind w:right="380" w:firstLine="176"/>
        <w:spacing w:after="0" w:line="268" w:lineRule="auto"/>
        <w:rPr>
          <w:sz w:val="20"/>
          <w:szCs w:val="20"/>
          <w:color w:val="auto"/>
        </w:rPr>
      </w:pPr>
      <w:r>
        <w:rPr>
          <w:rFonts w:ascii="Arial" w:cs="Arial" w:eastAsia="Arial" w:hAnsi="Arial"/>
          <w:sz w:val="18"/>
          <w:szCs w:val="18"/>
          <w:color w:val="auto"/>
        </w:rPr>
        <w:t>Representatives of Deloitte &amp; Touche LLP are expected to attend this annual meeting with the opportunity to make a statement if they desire. They will be available to respond to appropriate questions.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ind w:right="240" w:firstLine="172"/>
        <w:spacing w:after="0" w:line="306" w:lineRule="auto"/>
        <w:rPr>
          <w:sz w:val="20"/>
          <w:szCs w:val="20"/>
          <w:color w:val="auto"/>
        </w:rPr>
      </w:pPr>
      <w:r>
        <w:rPr>
          <w:rFonts w:ascii="Arial" w:cs="Arial" w:eastAsia="Arial" w:hAnsi="Arial"/>
          <w:sz w:val="16"/>
          <w:szCs w:val="16"/>
          <w:color w:val="auto"/>
        </w:rPr>
        <w:t>The Audit Committee of the Board of Directors is responsible for selecting auditors, ensuring the fiscal integrity of the Company and establishing and reviewing internal controls. The Audit Committee operates under a written charter adopted by the Board of Directors, a copy of which is attached to this Proxy Statement as Appendix I. The Audit Committee was comprised of the following directors during fiscal 2001:</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John S. McKeon, Chair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Duane M. Jergenson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 Robert Gey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Daryl I. Skaar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-633730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-633730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p>
      <w:pPr>
        <w:ind w:right="60" w:firstLine="176"/>
        <w:spacing w:after="0" w:line="255" w:lineRule="auto"/>
        <w:rPr>
          <w:sz w:val="20"/>
          <w:szCs w:val="20"/>
          <w:color w:val="auto"/>
        </w:rPr>
      </w:pPr>
      <w:r>
        <w:rPr>
          <w:rFonts w:ascii="Arial" w:cs="Arial" w:eastAsia="Arial" w:hAnsi="Arial"/>
          <w:sz w:val="18"/>
          <w:szCs w:val="18"/>
          <w:color w:val="auto"/>
        </w:rPr>
        <w:t>During fiscal 2001, the Committee considered the revised requirements for members of audit committees adopted by the Securities and Exchange Commission ("SEC"). All of the members of the Committee have been determined to be independent. None of the members of the Committee were officers or employees of the Company during fiscal 2001 or had a relationship with the Company that would, in the opinion of the Board of Directors, interfere with the exercise of his independence from management and the Company. All of the members of the Audit Committee have substantial experience in financial matters and business operations.</w:t>
      </w:r>
    </w:p>
    <w:p>
      <w:pPr>
        <w:spacing w:after="0" w:line="197" w:lineRule="exact"/>
        <w:rPr>
          <w:sz w:val="20"/>
          <w:szCs w:val="20"/>
          <w:color w:val="auto"/>
        </w:rPr>
      </w:pPr>
    </w:p>
    <w:p>
      <w:pPr>
        <w:ind w:right="80" w:firstLine="172"/>
        <w:spacing w:after="0" w:line="255" w:lineRule="auto"/>
        <w:rPr>
          <w:sz w:val="20"/>
          <w:szCs w:val="20"/>
          <w:color w:val="auto"/>
        </w:rPr>
      </w:pPr>
      <w:r>
        <w:rPr>
          <w:rFonts w:ascii="Arial" w:cs="Arial" w:eastAsia="Arial" w:hAnsi="Arial"/>
          <w:sz w:val="18"/>
          <w:szCs w:val="18"/>
          <w:color w:val="auto"/>
        </w:rPr>
        <w:t>The Audit Committee has (i) reviewed and discussed the Company's audited financial statements with management; (ii) discussed with the Company's independent auditors, Deloitte &amp; Touche, LLP, the matters required to be discussed by Statement on Auditing Standards No. 61; and (iii) received from the auditors disclosures regarding the auditors' independence required by Independence Standards Board Standard No. 1 and discussed with the auditors the auditors' independence (iv) considered whether the level of non-audit services provided by Deloitte &amp; Touche LLP is compatible with maintaining the independence of its auditors.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September 30, 2001, Deloitte &amp; Touche LLP provided various audit, audit related and non-audit services to the Company as follows: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80"/>
        <w:spacing w:after="0" w:line="261" w:lineRule="auto"/>
        <w:rPr>
          <w:sz w:val="20"/>
          <w:szCs w:val="20"/>
          <w:color w:val="auto"/>
        </w:rPr>
      </w:pPr>
      <w:r>
        <w:rPr>
          <w:rFonts w:ascii="Arial" w:cs="Arial" w:eastAsia="Arial" w:hAnsi="Arial"/>
          <w:sz w:val="18"/>
          <w:szCs w:val="18"/>
          <w:color w:val="auto"/>
        </w:rPr>
        <w:t>Audit Fees: Audit fees for professional services rendered for the audit of the Company's fiscal 2001 annual financial statements and review of financial statements in the Company's Form 10-Q Reports were $100,000.</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Financial Information Systems Design and Implementation Fees: Aggregate fees billed for services rendered in fiscal 2001 were $111,263.</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261" w:lineRule="auto"/>
        <w:rPr>
          <w:sz w:val="20"/>
          <w:szCs w:val="20"/>
          <w:color w:val="auto"/>
        </w:rPr>
      </w:pPr>
      <w:r>
        <w:rPr>
          <w:rFonts w:ascii="Arial" w:cs="Arial" w:eastAsia="Arial" w:hAnsi="Arial"/>
          <w:sz w:val="18"/>
          <w:szCs w:val="18"/>
          <w:color w:val="auto"/>
        </w:rPr>
        <w:t>All Other Fees: Fees billed during fiscal 2001 for all other non-audit services, including an executive compensation study and tax consultation services, totaled $44,125.</w:t>
      </w:r>
    </w:p>
    <w:p>
      <w:pPr>
        <w:spacing w:after="0" w:line="192" w:lineRule="exact"/>
        <w:rPr>
          <w:sz w:val="20"/>
          <w:szCs w:val="20"/>
          <w:color w:val="auto"/>
        </w:rPr>
      </w:pPr>
    </w:p>
    <w:p>
      <w:pPr>
        <w:ind w:right="280" w:firstLine="176"/>
        <w:spacing w:after="0" w:line="259"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the Company's audited financial statements for the year ended September 30, 2001 be included in the Company's Annual Report on Form 10-K for filing with the SEC. Additionally, the Audit Committee reviewed the Company's quarterly results prior to public release.</w:t>
      </w:r>
    </w:p>
    <w:p>
      <w:pPr>
        <w:spacing w:after="0" w:line="194" w:lineRule="exact"/>
        <w:rPr>
          <w:sz w:val="20"/>
          <w:szCs w:val="20"/>
          <w:color w:val="auto"/>
        </w:rPr>
      </w:pPr>
    </w:p>
    <w:p>
      <w:pPr>
        <w:ind w:left="560"/>
        <w:spacing w:after="0"/>
        <w:tabs>
          <w:tab w:leader="none" w:pos="3880" w:val="left"/>
          <w:tab w:leader="none" w:pos="7080" w:val="left"/>
          <w:tab w:leader="none" w:pos="9860" w:val="left"/>
        </w:tabs>
        <w:rPr>
          <w:sz w:val="20"/>
          <w:szCs w:val="20"/>
          <w:color w:val="auto"/>
        </w:rPr>
      </w:pPr>
      <w:r>
        <w:rPr>
          <w:rFonts w:ascii="Arial" w:cs="Arial" w:eastAsia="Arial" w:hAnsi="Arial"/>
          <w:sz w:val="18"/>
          <w:szCs w:val="18"/>
          <w:i w:val="1"/>
          <w:iCs w:val="1"/>
          <w:color w:val="auto"/>
        </w:rPr>
        <w:t>John S. McKeon,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AND OTHER BENEFITS</w:t>
      </w:r>
    </w:p>
    <w:p>
      <w:pPr>
        <w:spacing w:after="0" w:line="231" w:lineRule="exact"/>
        <w:rPr>
          <w:sz w:val="20"/>
          <w:szCs w:val="20"/>
          <w:color w:val="auto"/>
        </w:rPr>
      </w:pPr>
    </w:p>
    <w:p>
      <w:pPr>
        <w:ind w:right="140" w:firstLine="172"/>
        <w:spacing w:after="0" w:line="332" w:lineRule="auto"/>
        <w:rPr>
          <w:sz w:val="20"/>
          <w:szCs w:val="20"/>
          <w:color w:val="auto"/>
        </w:rPr>
      </w:pPr>
      <w:r>
        <w:rPr>
          <w:rFonts w:ascii="Arial" w:cs="Arial" w:eastAsia="Arial" w:hAnsi="Arial"/>
          <w:sz w:val="16"/>
          <w:szCs w:val="16"/>
          <w:color w:val="auto"/>
        </w:rPr>
        <w:t>The following table sets forth the compensation of the Chief Executive Officer and the four highest paid executive officers whose aggregate annual salary and bonus exceeded $100,000 for the Company's last fiscal year ended September 30, 2001 (collectively, the "Named Executive Officers"):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Annual Compensation</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Other Annual</w:t>
            </w:r>
          </w:p>
        </w:tc>
        <w:tc>
          <w:tcPr>
            <w:tcW w:w="300" w:type="dxa"/>
            <w:vAlign w:val="bottom"/>
          </w:tcPr>
          <w:p>
            <w:pPr>
              <w:spacing w:after="0"/>
              <w:rPr>
                <w:sz w:val="20"/>
                <w:szCs w:val="20"/>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260" w:type="dxa"/>
            <w:vAlign w:val="bottom"/>
          </w:tcPr>
          <w:p>
            <w:pPr>
              <w:spacing w:after="0"/>
              <w:rPr>
                <w:sz w:val="15"/>
                <w:szCs w:val="15"/>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Compensation(a)</w:t>
            </w:r>
          </w:p>
        </w:tc>
        <w:tc>
          <w:tcPr>
            <w:tcW w:w="300" w:type="dxa"/>
            <w:vAlign w:val="bottom"/>
          </w:tcPr>
          <w:p>
            <w:pPr>
              <w:spacing w:after="0"/>
              <w:rPr>
                <w:sz w:val="15"/>
                <w:szCs w:val="15"/>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Compensation(b)(c)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Hawkins(1)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163,776</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Chairman of the Board and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173,400</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0" w:type="dxa"/>
            <w:vAlign w:val="bottom"/>
            <w:gridSpan w:val="4"/>
          </w:tcPr>
          <w:p>
            <w:pPr>
              <w:spacing w:after="0"/>
              <w:rPr>
                <w:sz w:val="20"/>
                <w:szCs w:val="20"/>
                <w:color w:val="auto"/>
              </w:rPr>
            </w:pPr>
            <w:r>
              <w:rPr>
                <w:rFonts w:ascii="Arial" w:cs="Arial" w:eastAsia="Arial" w:hAnsi="Arial"/>
                <w:sz w:val="18"/>
                <w:szCs w:val="18"/>
                <w:color w:val="auto"/>
              </w:rPr>
              <w:t>Kurt R. Norman(2)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142,867</w:t>
            </w:r>
          </w:p>
        </w:tc>
        <w:tc>
          <w:tcPr>
            <w:tcW w:w="4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140,000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143,000</w:t>
            </w:r>
          </w:p>
        </w:tc>
        <w:tc>
          <w:tcPr>
            <w:tcW w:w="2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3600" w:type="dxa"/>
            <w:vAlign w:val="bottom"/>
            <w:gridSpan w:val="4"/>
          </w:tcPr>
          <w:p>
            <w:pPr>
              <w:spacing w:after="0"/>
              <w:rPr>
                <w:sz w:val="20"/>
                <w:szCs w:val="20"/>
                <w:color w:val="auto"/>
              </w:rPr>
            </w:pPr>
            <w:r>
              <w:rPr>
                <w:rFonts w:ascii="Arial" w:cs="Arial" w:eastAsia="Arial" w:hAnsi="Arial"/>
                <w:sz w:val="18"/>
                <w:szCs w:val="18"/>
                <w:color w:val="auto"/>
              </w:rPr>
              <w:t>Operating Officer</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111,788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149,000</w:t>
            </w:r>
          </w:p>
        </w:tc>
        <w:tc>
          <w:tcPr>
            <w:tcW w:w="26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Marvin E. Dee(3)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President—Chief Financial Officer,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Secretary and Treasurer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0" w:type="dxa"/>
            <w:vAlign w:val="bottom"/>
            <w:gridSpan w:val="4"/>
          </w:tcPr>
          <w:p>
            <w:pPr>
              <w:spacing w:after="0"/>
              <w:rPr>
                <w:sz w:val="20"/>
                <w:szCs w:val="20"/>
                <w:color w:val="auto"/>
              </w:rPr>
            </w:pPr>
            <w:r>
              <w:rPr>
                <w:rFonts w:ascii="Arial" w:cs="Arial" w:eastAsia="Arial" w:hAnsi="Arial"/>
                <w:sz w:val="18"/>
                <w:szCs w:val="18"/>
                <w:color w:val="auto"/>
              </w:rPr>
              <w:t>John R. Sevenich</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115,750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74,000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Vice President—Manufacturing</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110,683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74,000</w:t>
            </w:r>
          </w:p>
        </w:tc>
        <w:tc>
          <w:tcPr>
            <w:tcW w:w="2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3600" w:type="dxa"/>
            <w:vAlign w:val="bottom"/>
            <w:gridSpan w:val="4"/>
          </w:tcPr>
          <w:p>
            <w:pPr>
              <w:spacing w:after="0"/>
              <w:rPr>
                <w:sz w:val="20"/>
                <w:szCs w:val="20"/>
                <w:color w:val="auto"/>
              </w:rPr>
            </w:pPr>
            <w:r>
              <w:rPr>
                <w:rFonts w:ascii="Arial" w:cs="Arial" w:eastAsia="Arial" w:hAnsi="Arial"/>
                <w:sz w:val="18"/>
                <w:szCs w:val="18"/>
                <w:color w:val="auto"/>
              </w:rPr>
              <w:t>and Specialty</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102,817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26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118,750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President—Water Treatment Group</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68,000</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67,800</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-3118485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-3118485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-2775585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-2775585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-2775585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-2775585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-2775585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-2775585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-2775585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-2775585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-2775585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-2775585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Hawkins was elected Chairman and CEO effective February 16,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Norman was elected President and COO effective February 16,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 w:right="239" w:bottom="0" w:gutter="0" w:footer="0" w:header="0"/>
        </w:sectPr>
      </w:pPr>
    </w:p>
    <w:bookmarkStart w:id="6" w:name="page7"/>
    <w:bookmarkEnd w:id="6"/>
    <w:p>
      <w:pPr>
        <w:ind w:left="540"/>
        <w:spacing w:after="0"/>
        <w:rPr>
          <w:sz w:val="20"/>
          <w:szCs w:val="20"/>
          <w:color w:val="auto"/>
        </w:rPr>
      </w:pPr>
      <w:r>
        <w:rPr>
          <w:rFonts w:ascii="Arial" w:cs="Arial" w:eastAsia="Arial" w:hAnsi="Arial"/>
          <w:sz w:val="16"/>
          <w:szCs w:val="16"/>
          <w:color w:val="auto"/>
        </w:rPr>
        <w:t>Mr. Dee has been the Company's Chief Financial Officer since September 1999 and was elected Secretary and Treasurer in December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231" w:lineRule="exact"/>
        <w:rPr>
          <w:sz w:val="20"/>
          <w:szCs w:val="20"/>
          <w:color w:val="auto"/>
        </w:rPr>
      </w:pPr>
    </w:p>
    <w:p>
      <w:pPr>
        <w:ind w:right="140" w:firstLine="166"/>
        <w:spacing w:after="0" w:line="298" w:lineRule="auto"/>
        <w:rPr>
          <w:sz w:val="20"/>
          <w:szCs w:val="20"/>
          <w:color w:val="auto"/>
        </w:rPr>
      </w:pPr>
      <w:r>
        <w:rPr>
          <w:rFonts w:ascii="Arial" w:cs="Arial" w:eastAsia="Arial" w:hAnsi="Arial"/>
          <w:sz w:val="16"/>
          <w:szCs w:val="16"/>
          <w:color w:val="auto"/>
        </w:rPr>
        <w:t>All employees of the Company who have attained the age of 18 years and who have been employed by the Company for 90 days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shares of the Company's common stock for the participant's individual account under the Plan. Shares purchased with the Company's bonus vest over a five-year schedule.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Money Purchase Pension Plan</w:t>
      </w:r>
    </w:p>
    <w:p>
      <w:pPr>
        <w:spacing w:after="0" w:line="231"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Non-bargaining employees of the Company who have attained the age of 21 years and completed one year of service are eligible to participate in this defined contribution pension plan. For each year, the Company contributes an amount equal to ten percent of an eligible participant's compensation, and this amount is credited to an account maintained for the participant under the Plan. The maximum annual compensation that may be used to determine Plan benefits is capped at $170,000 for the current plan year; this limit will be adjusted in future years under federal tax law for cost-of-living increases.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firstLine="176"/>
        <w:spacing w:after="0" w:line="259"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Ownership Plan</w:t>
      </w:r>
    </w:p>
    <w:p>
      <w:pPr>
        <w:spacing w:after="0" w:line="231" w:lineRule="exact"/>
        <w:rPr>
          <w:sz w:val="20"/>
          <w:szCs w:val="20"/>
          <w:color w:val="auto"/>
        </w:rPr>
      </w:pPr>
    </w:p>
    <w:p>
      <w:pPr>
        <w:ind w:right="220" w:firstLine="176"/>
        <w:spacing w:after="0" w:line="259" w:lineRule="auto"/>
        <w:rPr>
          <w:sz w:val="20"/>
          <w:szCs w:val="20"/>
          <w:color w:val="auto"/>
        </w:rPr>
      </w:pPr>
      <w:r>
        <w:rPr>
          <w:rFonts w:ascii="Arial" w:cs="Arial" w:eastAsia="Arial" w:hAnsi="Arial"/>
          <w:sz w:val="18"/>
          <w:szCs w:val="18"/>
          <w:color w:val="auto"/>
        </w:rPr>
        <w:t>Non-bargaining employees of the Company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94"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$170,000,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$35,000.</w:t>
      </w:r>
    </w:p>
    <w:p>
      <w:pPr>
        <w:spacing w:after="0" w:line="167"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and Exercises in Fiscal 2001</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options granted to or exercised by the Named Executive Officers in fiscal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Repricing of Options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166"/>
        <w:spacing w:after="0" w:line="306" w:lineRule="auto"/>
        <w:rPr>
          <w:sz w:val="20"/>
          <w:szCs w:val="20"/>
          <w:color w:val="auto"/>
        </w:rPr>
      </w:pPr>
      <w:r>
        <w:rPr>
          <w:rFonts w:ascii="Arial" w:cs="Arial" w:eastAsia="Arial" w:hAnsi="Arial"/>
          <w:sz w:val="16"/>
          <w:szCs w:val="16"/>
          <w:color w:val="auto"/>
        </w:rPr>
        <w:t>All decisions regarding compensation of executive officers of the Company in fiscal 2001 were made by the Compensation Committee of the Board of Directors. During fiscal 2001, the Compensation Committee was made up of the following directors: John S. McKeon, Duane M. Jergenson, G. Robert Gey and Daryl I. Skaar. None of the current officers of the Company participates in any board vote setting his annual salary or bonus.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231" w:lineRule="exact"/>
        <w:rPr>
          <w:sz w:val="20"/>
          <w:szCs w:val="20"/>
          <w:color w:val="auto"/>
        </w:rPr>
      </w:pPr>
    </w:p>
    <w:p>
      <w:pPr>
        <w:ind w:right="40" w:firstLine="172"/>
        <w:spacing w:after="0" w:line="259"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Salaries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salary increase of the Company's executive officers are tied to inflation, performance and increase in corporate profits.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225"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ectPr>
          <w:pgSz w:w="11900" w:h="16838" w:orient="portrait"/>
          <w:cols w:equalWidth="0" w:num="1">
            <w:col w:w="11420"/>
          </w:cols>
          <w:pgMar w:left="240" w:top="131" w:right="239" w:bottom="52" w:gutter="0" w:footer="0" w:header="0"/>
        </w:sectPr>
      </w:pPr>
    </w:p>
    <w:bookmarkStart w:id="7" w:name="page8"/>
    <w:bookmarkEnd w:id="7"/>
    <w:p>
      <w:pPr>
        <w:ind w:right="80" w:firstLine="176"/>
        <w:spacing w:after="0" w:line="294" w:lineRule="auto"/>
        <w:rPr>
          <w:sz w:val="20"/>
          <w:szCs w:val="20"/>
          <w:color w:val="auto"/>
        </w:rPr>
      </w:pPr>
      <w:r>
        <w:rPr>
          <w:rFonts w:ascii="Arial" w:cs="Arial" w:eastAsia="Arial" w:hAnsi="Arial"/>
          <w:sz w:val="16"/>
          <w:szCs w:val="16"/>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compensation of John R. Hawkins, Chief Executive Officer, is determined in the same manner as set forth above for all other executive officers.</w:t>
      </w:r>
    </w:p>
    <w:p>
      <w:pPr>
        <w:spacing w:after="0" w:line="248" w:lineRule="exact"/>
        <w:rPr>
          <w:sz w:val="20"/>
          <w:szCs w:val="20"/>
          <w:color w:val="auto"/>
        </w:rPr>
      </w:pPr>
    </w:p>
    <w:p>
      <w:pPr>
        <w:ind w:left="400"/>
        <w:spacing w:after="0"/>
        <w:tabs>
          <w:tab w:leader="none" w:pos="3380" w:val="left"/>
          <w:tab w:leader="none" w:pos="6900" w:val="left"/>
          <w:tab w:leader="none" w:pos="9920" w:val="left"/>
        </w:tabs>
        <w:rPr>
          <w:sz w:val="20"/>
          <w:szCs w:val="20"/>
          <w:color w:val="auto"/>
        </w:rPr>
      </w:pPr>
      <w:r>
        <w:rPr>
          <w:rFonts w:ascii="Arial" w:cs="Arial" w:eastAsia="Arial" w:hAnsi="Arial"/>
          <w:sz w:val="18"/>
          <w:szCs w:val="18"/>
          <w:i w:val="1"/>
          <w:iCs w:val="1"/>
          <w:color w:val="auto"/>
        </w:rPr>
        <w:t>John S. McKeon</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STOCK PERFORMANCE GRAPH</w:t>
      </w:r>
    </w:p>
    <w:p>
      <w:pPr>
        <w:spacing w:after="0" w:line="231" w:lineRule="exact"/>
        <w:rPr>
          <w:sz w:val="20"/>
          <w:szCs w:val="20"/>
          <w:color w:val="auto"/>
        </w:rPr>
      </w:pPr>
    </w:p>
    <w:p>
      <w:pPr>
        <w:ind w:right="320" w:firstLine="172"/>
        <w:spacing w:after="0" w:line="256" w:lineRule="auto"/>
        <w:rPr>
          <w:sz w:val="20"/>
          <w:szCs w:val="20"/>
          <w:color w:val="auto"/>
        </w:rPr>
      </w:pPr>
      <w:r>
        <w:rPr>
          <w:rFonts w:ascii="Arial" w:cs="Arial" w:eastAsia="Arial" w:hAnsi="Arial"/>
          <w:sz w:val="18"/>
          <w:szCs w:val="18"/>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September 29, 1996,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130810</wp:posOffset>
            </wp:positionV>
            <wp:extent cx="5694045" cy="3756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404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BY SHAREHOLDERS</w:t>
      </w:r>
    </w:p>
    <w:p>
      <w:pPr>
        <w:spacing w:after="0" w:line="231" w:lineRule="exact"/>
        <w:rPr>
          <w:sz w:val="20"/>
          <w:szCs w:val="20"/>
          <w:color w:val="auto"/>
        </w:rPr>
      </w:pPr>
    </w:p>
    <w:p>
      <w:pPr>
        <w:ind w:firstLine="176"/>
        <w:spacing w:after="0" w:line="287" w:lineRule="auto"/>
        <w:rPr>
          <w:sz w:val="20"/>
          <w:szCs w:val="20"/>
          <w:color w:val="auto"/>
        </w:rPr>
      </w:pPr>
      <w:r>
        <w:rPr>
          <w:rFonts w:ascii="Arial" w:cs="Arial" w:eastAsia="Arial" w:hAnsi="Arial"/>
          <w:sz w:val="16"/>
          <w:szCs w:val="16"/>
          <w:color w:val="auto"/>
        </w:rPr>
        <w:t>In order for a shareholder proposal to be considered for inclusion in the Company's proxy statement for next year's annual meeting, the written proposal must be received by the Company at its principal executive office no later than September 13, 2002. Any such proposals also must comply with the rules and regulations of 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November 27, 2002.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have been filed with the Commission and are available on the Commission's website (www.sec.gov) or they may be obtained by sending a written request to the Corporate Secretary at the Company's headquarters.</w:t>
      </w:r>
    </w:p>
    <w:p>
      <w:pPr>
        <w:sectPr>
          <w:pgSz w:w="11900" w:h="16838" w:orient="portrait"/>
          <w:cols w:equalWidth="0" w:num="1">
            <w:col w:w="11420"/>
          </w:cols>
          <w:pgMar w:left="240" w:top="131" w:right="239" w:bottom="292"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type w:val="continuous"/>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ind w:right="180" w:firstLine="172"/>
        <w:spacing w:after="0" w:line="298" w:lineRule="auto"/>
        <w:rPr>
          <w:sz w:val="20"/>
          <w:szCs w:val="20"/>
          <w:color w:val="auto"/>
        </w:rPr>
      </w:pPr>
      <w:r>
        <w:rPr>
          <w:rFonts w:ascii="Arial" w:cs="Arial" w:eastAsia="Arial" w:hAnsi="Arial"/>
          <w:sz w:val="16"/>
          <w:szCs w:val="16"/>
          <w:color w:val="auto"/>
        </w:rPr>
        <w:t>The Company's 2001 Annual Report on Form 10-K for the fiscal year ended September 30, 2001, including financial statements, are being mailed with this Proxy Statement. Shareholders who wish to obtain an additional copy of the Company's Annual Report on Form 10-K for fiscal 2001 may do so without charge by writing to: Hawkins, Inc., 3100 East Hennepin Avenue, Minneapolis, Minnesota 55413, Attention: Corporate Secretary. The annual report on Form 10-K, as well as other Company reports, are also available on the Commission's website (www.sec.gov).</w:t>
      </w:r>
    </w:p>
    <w:p>
      <w:pPr>
        <w:spacing w:after="0" w:line="383"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January 11, 2002.</w:t>
      </w:r>
      <w:r>
        <w:rPr>
          <w:sz w:val="20"/>
          <w:szCs w:val="20"/>
          <w:color w:val="auto"/>
        </w:rPr>
        <w:tab/>
      </w:r>
      <w:r>
        <w:rPr>
          <w:rFonts w:ascii="Arial" w:cs="Arial" w:eastAsia="Arial" w:hAnsi="Arial"/>
          <w:sz w:val="16"/>
          <w:szCs w:val="16"/>
          <w:color w:val="auto"/>
        </w:rPr>
        <w:t>BY ORDER OF THE BOARD OF DIRECTORS</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31" w:lineRule="exact"/>
        <w:rPr>
          <w:sz w:val="20"/>
          <w:szCs w:val="20"/>
          <w:color w:val="auto"/>
        </w:rPr>
      </w:pPr>
    </w:p>
    <w:p>
      <w:pPr>
        <w:ind w:firstLine="172"/>
        <w:spacing w:after="0" w:line="259" w:lineRule="auto"/>
        <w:rPr>
          <w:sz w:val="20"/>
          <w:szCs w:val="20"/>
          <w:color w:val="auto"/>
        </w:rPr>
      </w:pPr>
      <w:r>
        <w:rPr>
          <w:rFonts w:ascii="Arial" w:cs="Arial" w:eastAsia="Arial" w:hAnsi="Arial"/>
          <w:sz w:val="18"/>
          <w:szCs w:val="18"/>
          <w:color w:val="auto"/>
        </w:rPr>
        <w:t>The primary function of the Audit Committee is to assist the Board of Directors of Hawkins, Inc. in fulfilling its oversight responsibilities related to corporate accounting, financial reporting practices, quality and integrity of financial reports as well as legal compliance and business ethics. The Audit Committee's primary duties and responsibilities are to:</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Provide an open avenue of communication among the independent accountants, financial and senior management and the Board of Directors.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Serve as an independent and objective party to monitor the corporation's financial reporting process and internal control system.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Review and appraise the audit efforts of the corporation's independent accountants.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Membership</w:t>
      </w:r>
    </w:p>
    <w:p>
      <w:pPr>
        <w:spacing w:after="0" w:line="231" w:lineRule="exact"/>
        <w:rPr>
          <w:sz w:val="20"/>
          <w:szCs w:val="20"/>
          <w:color w:val="auto"/>
        </w:rPr>
      </w:pPr>
    </w:p>
    <w:p>
      <w:pPr>
        <w:ind w:right="60" w:firstLine="172"/>
        <w:spacing w:after="0" w:line="294" w:lineRule="auto"/>
        <w:rPr>
          <w:sz w:val="20"/>
          <w:szCs w:val="20"/>
          <w:color w:val="auto"/>
        </w:rPr>
      </w:pPr>
      <w:r>
        <w:rPr>
          <w:rFonts w:ascii="Arial" w:cs="Arial" w:eastAsia="Arial" w:hAnsi="Arial"/>
          <w:sz w:val="16"/>
          <w:szCs w:val="16"/>
          <w:color w:val="auto"/>
        </w:rPr>
        <w:t>The Audit Committee shall be comprised of three or more directors as determined by the Board of Directors, each of whom shall be independent directors as defined in Rule 4200 of the National Association of Securities Dealers, Inc. The members will be free from any financial, family or other material personal relationships that, in the opinion of the Board or Audit Committee members, would interfere with the exercise of his or her independence from management and the corporation. All members of the Audit Committee will have a working familiarity with basic finance and accounting practices, and at least one member of the Audit Committee must have accounting or related financial management experience.</w:t>
      </w:r>
    </w:p>
    <w:p>
      <w:pPr>
        <w:spacing w:after="0" w:line="170" w:lineRule="exact"/>
        <w:rPr>
          <w:sz w:val="20"/>
          <w:szCs w:val="20"/>
          <w:color w:val="auto"/>
        </w:rPr>
      </w:pPr>
    </w:p>
    <w:p>
      <w:pPr>
        <w:ind w:right="380" w:firstLine="172"/>
        <w:spacing w:after="0" w:line="332" w:lineRule="auto"/>
        <w:rPr>
          <w:sz w:val="20"/>
          <w:szCs w:val="20"/>
          <w:color w:val="auto"/>
        </w:rPr>
      </w:pPr>
      <w:r>
        <w:rPr>
          <w:rFonts w:ascii="Arial" w:cs="Arial" w:eastAsia="Arial" w:hAnsi="Arial"/>
          <w:sz w:val="16"/>
          <w:szCs w:val="16"/>
          <w:color w:val="auto"/>
        </w:rPr>
        <w:t>The members of the Audit Committee shall be elected by the Board of Directors at the annual organizational meeting of the Board of Directors. Unless the Board of Directors elects a Chair, the members of the Audit Committee may designate a Chair by majority vote of the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Meetings</w:t>
      </w:r>
    </w:p>
    <w:p>
      <w:pPr>
        <w:spacing w:after="0" w:line="231" w:lineRule="exact"/>
        <w:rPr>
          <w:sz w:val="20"/>
          <w:szCs w:val="20"/>
          <w:color w:val="auto"/>
        </w:rPr>
      </w:pPr>
    </w:p>
    <w:p>
      <w:pPr>
        <w:ind w:right="740" w:firstLine="172"/>
        <w:spacing w:after="0" w:line="332" w:lineRule="auto"/>
        <w:rPr>
          <w:sz w:val="20"/>
          <w:szCs w:val="20"/>
          <w:color w:val="auto"/>
        </w:rPr>
      </w:pPr>
      <w:r>
        <w:rPr>
          <w:rFonts w:ascii="Arial" w:cs="Arial" w:eastAsia="Arial" w:hAnsi="Arial"/>
          <w:sz w:val="16"/>
          <w:szCs w:val="16"/>
          <w:color w:val="auto"/>
        </w:rPr>
        <w:t>The Audit Committee will meet at least four times annually, either in person or by conference calls. A majority shall constitute a quorum of the Audit Committee. A majority of the members in attendance shall decide any questions brought before any meeting of the Committee.</w:t>
      </w:r>
    </w:p>
    <w:p>
      <w:pPr>
        <w:spacing w:after="0" w:line="139" w:lineRule="exact"/>
        <w:rPr>
          <w:sz w:val="20"/>
          <w:szCs w:val="20"/>
          <w:color w:val="auto"/>
        </w:rPr>
      </w:pPr>
    </w:p>
    <w:p>
      <w:pPr>
        <w:ind w:right="240" w:firstLine="166"/>
        <w:spacing w:after="0" w:line="259" w:lineRule="auto"/>
        <w:rPr>
          <w:sz w:val="20"/>
          <w:szCs w:val="20"/>
          <w:color w:val="auto"/>
        </w:rPr>
      </w:pPr>
      <w:r>
        <w:rPr>
          <w:rFonts w:ascii="Arial" w:cs="Arial" w:eastAsia="Arial" w:hAnsi="Arial"/>
          <w:sz w:val="18"/>
          <w:szCs w:val="18"/>
          <w:color w:val="auto"/>
        </w:rPr>
        <w:t>As part of its job to foster open communication, the Audit Committee has access to management and the independent accountants to discuss any matters that the Committee or any one of these groups feels need to be discussed privately. In addition, the Audit Committee or at least the Chair should meet with management quarterly to review the corporation's quarterly financial results prior to release.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Responsibilities and Duties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Audit Committee will fulfill their duties and responsibilities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 General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Review annually the formal written charter that is adopted by the full Board of Directors that specifies scope of responsibility, membership, etc.</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Maintain minutes or other records of meetings and activities.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Report Committee actions to the Board of Directors with recommendations the Committee may deem appropriate.</w:t>
      </w:r>
    </w:p>
    <w:p>
      <w:pPr>
        <w:sectPr>
          <w:pgSz w:w="11900" w:h="16838" w:orient="portrait"/>
          <w:cols w:equalWidth="0" w:num="1">
            <w:col w:w="11420"/>
          </w:cols>
          <w:pgMar w:left="240" w:top="341" w:right="239" w:bottom="0" w:gutter="0" w:footer="0" w:header="0"/>
        </w:sectPr>
      </w:pPr>
    </w:p>
    <w:bookmarkStart w:id="9" w:name="page10"/>
    <w:bookmarkEnd w:id="9"/>
    <w:p>
      <w:pPr>
        <w:ind w:left="540"/>
        <w:spacing w:after="0"/>
        <w:rPr>
          <w:sz w:val="20"/>
          <w:szCs w:val="20"/>
          <w:color w:val="auto"/>
        </w:rPr>
      </w:pPr>
      <w:r>
        <w:rPr>
          <w:rFonts w:ascii="Arial" w:cs="Arial" w:eastAsia="Arial" w:hAnsi="Arial"/>
          <w:sz w:val="18"/>
          <w:szCs w:val="18"/>
          <w:i w:val="1"/>
          <w:iCs w:val="1"/>
          <w:color w:val="auto"/>
        </w:rPr>
        <w:t>B. Independent Accountants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60"/>
        <w:spacing w:after="0" w:line="261" w:lineRule="auto"/>
        <w:rPr>
          <w:sz w:val="20"/>
          <w:szCs w:val="20"/>
          <w:color w:val="auto"/>
        </w:rPr>
      </w:pPr>
      <w:r>
        <w:rPr>
          <w:rFonts w:ascii="Arial" w:cs="Arial" w:eastAsia="Arial" w:hAnsi="Arial"/>
          <w:sz w:val="18"/>
          <w:szCs w:val="18"/>
          <w:color w:val="auto"/>
        </w:rPr>
        <w:t>Recommend to the Board of Directors the selection of independent accountants for the annual financial audit, considering independence and effectiveness. Review and approve the discharge of the independent accountants.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80"/>
        <w:spacing w:after="0" w:line="361" w:lineRule="auto"/>
        <w:rPr>
          <w:sz w:val="20"/>
          <w:szCs w:val="20"/>
          <w:color w:val="auto"/>
        </w:rPr>
      </w:pPr>
      <w:r>
        <w:rPr>
          <w:rFonts w:ascii="Arial" w:cs="Arial" w:eastAsia="Arial" w:hAnsi="Arial"/>
          <w:sz w:val="15"/>
          <w:szCs w:val="15"/>
          <w:color w:val="auto"/>
        </w:rPr>
        <w:t>Consult with independent accountants, with and without (at least once per year without) management's presence about internal controls, disagreements between the independent accountants and management, and the completeness/accuracy of financial statements.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20"/>
        <w:spacing w:after="0" w:line="261" w:lineRule="auto"/>
        <w:rPr>
          <w:sz w:val="20"/>
          <w:szCs w:val="20"/>
          <w:color w:val="auto"/>
        </w:rPr>
      </w:pPr>
      <w:r>
        <w:rPr>
          <w:rFonts w:ascii="Arial" w:cs="Arial" w:eastAsia="Arial" w:hAnsi="Arial"/>
          <w:sz w:val="18"/>
          <w:szCs w:val="18"/>
          <w:color w:val="auto"/>
        </w:rPr>
        <w:t>Review, prior to the annual audit, the scope and general extent of the independent accountants' audit examinations, including their engagement letter.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apprised on audit work performed by other accounting firms that the independent accountants rely upon.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61" w:lineRule="auto"/>
        <w:rPr>
          <w:sz w:val="20"/>
          <w:szCs w:val="20"/>
          <w:color w:val="auto"/>
        </w:rPr>
      </w:pPr>
      <w:r>
        <w:rPr>
          <w:rFonts w:ascii="Arial" w:cs="Arial" w:eastAsia="Arial" w:hAnsi="Arial"/>
          <w:sz w:val="18"/>
          <w:szCs w:val="18"/>
          <w:color w:val="auto"/>
        </w:rPr>
        <w:t>On an annual basis, review and discuss with the accountants all significant relationships the accountants have with the corporation to determine the accountants' independence. This should include a review of management consulting services.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Consider results of the independent accountants' last peer review, litigation status and disciplinary actions, if any.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80"/>
        <w:spacing w:after="0" w:line="323" w:lineRule="auto"/>
        <w:rPr>
          <w:sz w:val="20"/>
          <w:szCs w:val="20"/>
          <w:color w:val="auto"/>
        </w:rPr>
      </w:pPr>
      <w:r>
        <w:rPr>
          <w:rFonts w:ascii="Arial" w:cs="Arial" w:eastAsia="Arial" w:hAnsi="Arial"/>
          <w:sz w:val="16"/>
          <w:szCs w:val="16"/>
          <w:color w:val="auto"/>
        </w:rPr>
        <w:t>The Committee shall have a clear understanding with management and the independent auditors that the independent auditors are ultimately accountable to the Board of Directors and the Audit Committee, as representatives of the Company's shareholders.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 Financial Statements/Internal Controls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20"/>
        <w:spacing w:after="0" w:line="361" w:lineRule="auto"/>
        <w:rPr>
          <w:sz w:val="20"/>
          <w:szCs w:val="20"/>
          <w:color w:val="auto"/>
        </w:rPr>
      </w:pPr>
      <w:r>
        <w:rPr>
          <w:rFonts w:ascii="Arial" w:cs="Arial" w:eastAsia="Arial" w:hAnsi="Arial"/>
          <w:sz w:val="15"/>
          <w:szCs w:val="15"/>
          <w:color w:val="auto"/>
        </w:rPr>
        <w:t>Review annual financial statements with management and the independent accountants to determine that the independent auditors are satisfied with the disclosure and content of the financial statements, and approve such financial statements prior to release of the annual earnings.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Review the SEC Form 10-K prior to its filing.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Consider independent accountants' judgments regarding the quality and appropriateness of financial statements.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Make inquiries of management and independent accountants' concerning the adequacy of the corporation's system of internal controls.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80"/>
        <w:spacing w:after="0" w:line="261" w:lineRule="auto"/>
        <w:rPr>
          <w:sz w:val="20"/>
          <w:szCs w:val="20"/>
          <w:color w:val="auto"/>
        </w:rPr>
      </w:pPr>
      <w:r>
        <w:rPr>
          <w:rFonts w:ascii="Arial" w:cs="Arial" w:eastAsia="Arial" w:hAnsi="Arial"/>
          <w:sz w:val="18"/>
          <w:szCs w:val="18"/>
          <w:color w:val="auto"/>
        </w:rPr>
        <w:t>Inquire of management and the independent accountants about significant risks or exposures, including legal matters, that exist and assess the steps management has taken to minimize such risks and exposures.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0"/>
        <w:spacing w:after="0" w:line="261" w:lineRule="auto"/>
        <w:rPr>
          <w:sz w:val="20"/>
          <w:szCs w:val="20"/>
          <w:color w:val="auto"/>
        </w:rPr>
      </w:pPr>
      <w:r>
        <w:rPr>
          <w:rFonts w:ascii="Arial" w:cs="Arial" w:eastAsia="Arial" w:hAnsi="Arial"/>
          <w:sz w:val="18"/>
          <w:szCs w:val="18"/>
          <w:color w:val="auto"/>
        </w:rPr>
        <w:t>Following completion of the annual audit, be apprised of any significant difficulties encountered during the course of the audit, including any restrictions on the scope of work or access to required information.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 Ethics and Business Conduct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Review the corporation's codes of conduct annually and direct management to establish a system reasonably designed to assure compliance with the code.</w:t>
      </w:r>
    </w:p>
    <w:p>
      <w:pPr>
        <w:spacing w:after="0" w:line="192" w:lineRule="exact"/>
        <w:rPr>
          <w:sz w:val="20"/>
          <w:szCs w:val="20"/>
          <w:color w:val="auto"/>
        </w:rPr>
      </w:pPr>
    </w:p>
    <w:p>
      <w:pPr>
        <w:ind w:firstLine="172"/>
        <w:spacing w:after="0" w:line="306" w:lineRule="auto"/>
        <w:rPr>
          <w:sz w:val="20"/>
          <w:szCs w:val="20"/>
          <w:color w:val="auto"/>
        </w:rPr>
      </w:pPr>
      <w:r>
        <w:rPr>
          <w:rFonts w:ascii="Arial" w:cs="Arial" w:eastAsia="Arial" w:hAnsi="Arial"/>
          <w:sz w:val="16"/>
          <w:szCs w:val="16"/>
          <w:color w:val="auto"/>
        </w:rPr>
        <w:t>The above list represents examples of actions the Audit Committee may take in fulfilling their responsibilities. The list shall not be construed as mandatory functions of the committee. The Audit Committee has the power to conduct or authorize investigations into any matters within the committee's scope of responsibilities. The duties and responsibilities of a member of the Audit Committee are in addition to those duties set out for a member of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left="1540"/>
        <w:spacing w:after="0"/>
        <w:rPr>
          <w:sz w:val="20"/>
          <w:szCs w:val="20"/>
          <w:color w:val="auto"/>
        </w:rPr>
      </w:pPr>
      <w:r>
        <w:rPr>
          <w:rFonts w:ascii="Arial" w:cs="Arial" w:eastAsia="Arial" w:hAnsi="Arial"/>
          <w:sz w:val="22"/>
          <w:szCs w:val="22"/>
          <w:b w:val="1"/>
          <w:bCs w:val="1"/>
          <w:color w:val="auto"/>
        </w:rPr>
        <w:t>HAWKINS, INC.</w:t>
      </w:r>
    </w:p>
    <w:p>
      <w:pPr>
        <w:spacing w:after="0" w:line="219"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ANNUAL MEETING OF SHAREHOLDERS</w:t>
      </w: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Wednesday, February 13, 2002</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3:30 P.M., Central Standard Time</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Four Points Sheraton Hotel</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1330 Industrial Boulevard</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Minneapolis, Minnesota</w:t>
      </w:r>
    </w:p>
    <w:p>
      <w:pPr>
        <w:spacing w:after="0" w:line="2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3100 EAST HENNEPIN AVENUE, MINNEAPOLIS, MINNESOTA 55413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ectPr>
          <w:pgSz w:w="11900" w:h="16838" w:orient="portrait"/>
          <w:cols w:equalWidth="0" w:num="2">
            <w:col w:w="9900" w:space="720"/>
            <w:col w:w="800"/>
          </w:cols>
          <w:pgMar w:left="240" w:top="131"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88900</wp:posOffset>
            </wp:positionV>
            <wp:extent cx="771525" cy="420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20370"/>
                    </a:xfrm>
                    <a:prstGeom prst="rect">
                      <a:avLst/>
                    </a:prstGeom>
                    <a:noFill/>
                  </pic:spPr>
                </pic:pic>
              </a:graphicData>
            </a:graphic>
          </wp:anchor>
        </w:drawing>
        <w:t>THIS PROXY IS SOLICITED BY THE BOARD OF DIRECTORS FOR USE AT THE ANNUAL MEETING ON FEBRUARY 13,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w:t>
      </w:r>
    </w:p>
    <w:p>
      <w:pPr>
        <w:spacing w:after="0" w:line="23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By signing the proxy, you revoke all prior proxies and appoint John R. Hawkins, Kurt R. Norman and Marvin E. Dee, and each of them, with full power of substitution, to vote your shares on the matters shown on the reverse side and any other matters that may come before the Annual Meeting and all adjournments.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color w:val="auto"/>
        </w:rPr>
        <w:t xml:space="preserve">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ALL NOMINEES IN ITEM 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79"/>
              </w:rPr>
              <w:t>1.</w:t>
            </w:r>
          </w:p>
        </w:tc>
        <w:tc>
          <w:tcPr>
            <w:tcW w:w="1760" w:type="dxa"/>
            <w:vAlign w:val="bottom"/>
            <w:vMerge w:val="restart"/>
          </w:tcPr>
          <w:p>
            <w:pPr>
              <w:ind w:left="160"/>
              <w:spacing w:after="0"/>
              <w:rPr>
                <w:sz w:val="20"/>
                <w:szCs w:val="20"/>
                <w:color w:val="auto"/>
              </w:rPr>
            </w:pPr>
            <w:r>
              <w:rPr>
                <w:rFonts w:ascii="Arial" w:cs="Arial" w:eastAsia="Arial" w:hAnsi="Arial"/>
                <w:sz w:val="18"/>
                <w:szCs w:val="18"/>
                <w:color w:val="auto"/>
                <w:w w:val="96"/>
              </w:rPr>
              <w:t>Election of directors:</w:t>
            </w: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01 John R. Hawkins</w:t>
            </w:r>
          </w:p>
        </w:tc>
        <w:tc>
          <w:tcPr>
            <w:tcW w:w="2500" w:type="dxa"/>
            <w:vAlign w:val="bottom"/>
            <w:gridSpan w:val="2"/>
          </w:tcPr>
          <w:p>
            <w:pPr>
              <w:ind w:left="660"/>
              <w:spacing w:after="0"/>
              <w:rPr>
                <w:sz w:val="20"/>
                <w:szCs w:val="20"/>
                <w:color w:val="auto"/>
              </w:rPr>
            </w:pPr>
            <w:r>
              <w:rPr>
                <w:rFonts w:ascii="Arial" w:cs="Arial" w:eastAsia="Arial" w:hAnsi="Arial"/>
                <w:sz w:val="14"/>
                <w:szCs w:val="14"/>
                <w:color w:val="auto"/>
              </w:rPr>
              <w:t>06 John S. McKeon</w:t>
            </w:r>
          </w:p>
        </w:tc>
        <w:tc>
          <w:tcPr>
            <w:tcW w:w="92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 /</w:t>
            </w:r>
          </w:p>
        </w:tc>
        <w:tc>
          <w:tcPr>
            <w:tcW w:w="1780" w:type="dxa"/>
            <w:vAlign w:val="bottom"/>
            <w:vMerge w:val="restart"/>
          </w:tcPr>
          <w:p>
            <w:pPr>
              <w:ind w:left="200"/>
              <w:spacing w:after="0"/>
              <w:rPr>
                <w:sz w:val="20"/>
                <w:szCs w:val="20"/>
                <w:color w:val="auto"/>
              </w:rPr>
            </w:pPr>
            <w:r>
              <w:rPr>
                <w:rFonts w:ascii="Arial" w:cs="Arial" w:eastAsia="Arial" w:hAnsi="Arial"/>
                <w:sz w:val="18"/>
                <w:szCs w:val="18"/>
                <w:color w:val="auto"/>
              </w:rPr>
              <w:t>Vote FOR all</w:t>
            </w:r>
          </w:p>
        </w:tc>
        <w:tc>
          <w:tcPr>
            <w:tcW w:w="48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rPr>
              <w:t>/ /</w:t>
            </w:r>
          </w:p>
        </w:tc>
        <w:tc>
          <w:tcPr>
            <w:tcW w:w="1720" w:type="dxa"/>
            <w:vAlign w:val="bottom"/>
            <w:vMerge w:val="restart"/>
          </w:tcPr>
          <w:p>
            <w:pPr>
              <w:ind w:left="180"/>
              <w:spacing w:after="0"/>
              <w:rPr>
                <w:sz w:val="20"/>
                <w:szCs w:val="20"/>
                <w:color w:val="auto"/>
              </w:rPr>
            </w:pPr>
            <w:r>
              <w:rPr>
                <w:rFonts w:ascii="Arial" w:cs="Arial" w:eastAsia="Arial" w:hAnsi="Arial"/>
                <w:sz w:val="18"/>
                <w:szCs w:val="18"/>
                <w:color w:val="auto"/>
                <w:w w:val="93"/>
              </w:rPr>
              <w:t>Vote WITHHELD for</w:t>
            </w:r>
          </w:p>
        </w:tc>
        <w:tc>
          <w:tcPr>
            <w:tcW w:w="0" w:type="dxa"/>
            <w:vAlign w:val="bottom"/>
          </w:tcPr>
          <w:p>
            <w:pPr>
              <w:spacing w:after="0"/>
              <w:rPr>
                <w:sz w:val="1"/>
                <w:szCs w:val="1"/>
                <w:color w:val="auto"/>
              </w:rPr>
            </w:pPr>
          </w:p>
        </w:tc>
      </w:tr>
      <w:tr>
        <w:trPr>
          <w:trHeight w:val="70"/>
        </w:trPr>
        <w:tc>
          <w:tcPr>
            <w:tcW w:w="32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280" w:type="dxa"/>
            <w:vAlign w:val="bottom"/>
            <w:vMerge w:val="restart"/>
          </w:tcPr>
          <w:p>
            <w:pPr>
              <w:ind w:left="120"/>
              <w:spacing w:after="0" w:line="149" w:lineRule="exact"/>
              <w:rPr>
                <w:sz w:val="20"/>
                <w:szCs w:val="20"/>
                <w:color w:val="auto"/>
              </w:rPr>
            </w:pPr>
            <w:r>
              <w:rPr>
                <w:rFonts w:ascii="Arial" w:cs="Arial" w:eastAsia="Arial" w:hAnsi="Arial"/>
                <w:sz w:val="14"/>
                <w:szCs w:val="14"/>
                <w:color w:val="auto"/>
                <w:w w:val="89"/>
              </w:rPr>
              <w:t>02</w:t>
            </w:r>
          </w:p>
        </w:tc>
        <w:tc>
          <w:tcPr>
            <w:tcW w:w="160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Kurt R. Norman</w:t>
            </w:r>
          </w:p>
        </w:tc>
        <w:tc>
          <w:tcPr>
            <w:tcW w:w="820" w:type="dxa"/>
            <w:vAlign w:val="bottom"/>
            <w:vMerge w:val="restart"/>
          </w:tcPr>
          <w:p>
            <w:pPr>
              <w:ind w:left="660"/>
              <w:spacing w:after="0" w:line="149" w:lineRule="exact"/>
              <w:rPr>
                <w:sz w:val="20"/>
                <w:szCs w:val="20"/>
                <w:color w:val="auto"/>
              </w:rPr>
            </w:pPr>
            <w:r>
              <w:rPr>
                <w:rFonts w:ascii="Arial" w:cs="Arial" w:eastAsia="Arial" w:hAnsi="Arial"/>
                <w:sz w:val="14"/>
                <w:szCs w:val="14"/>
                <w:color w:val="auto"/>
                <w:w w:val="89"/>
              </w:rPr>
              <w:t>07</w:t>
            </w:r>
          </w:p>
        </w:tc>
        <w:tc>
          <w:tcPr>
            <w:tcW w:w="168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Duane M. Jergenson</w:t>
            </w:r>
          </w:p>
        </w:tc>
        <w:tc>
          <w:tcPr>
            <w:tcW w:w="9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780" w:type="dxa"/>
            <w:vAlign w:val="bottom"/>
            <w:vMerge w:val="restart"/>
          </w:tcPr>
          <w:p>
            <w:pPr>
              <w:ind w:left="200"/>
              <w:spacing w:after="0"/>
              <w:rPr>
                <w:sz w:val="20"/>
                <w:szCs w:val="20"/>
                <w:color w:val="auto"/>
              </w:rPr>
            </w:pPr>
            <w:r>
              <w:rPr>
                <w:rFonts w:ascii="Arial" w:cs="Arial" w:eastAsia="Arial" w:hAnsi="Arial"/>
                <w:sz w:val="18"/>
                <w:szCs w:val="18"/>
                <w:color w:val="auto"/>
                <w:w w:val="92"/>
              </w:rPr>
              <w:t>Nominees (except as</w:t>
            </w:r>
          </w:p>
        </w:tc>
        <w:tc>
          <w:tcPr>
            <w:tcW w:w="480" w:type="dxa"/>
            <w:vAlign w:val="bottom"/>
          </w:tcPr>
          <w:p>
            <w:pPr>
              <w:spacing w:after="0"/>
              <w:rPr>
                <w:sz w:val="6"/>
                <w:szCs w:val="6"/>
                <w:color w:val="auto"/>
              </w:rPr>
            </w:pPr>
          </w:p>
        </w:tc>
        <w:tc>
          <w:tcPr>
            <w:tcW w:w="1720" w:type="dxa"/>
            <w:vAlign w:val="bottom"/>
            <w:vMerge w:val="restart"/>
          </w:tcPr>
          <w:p>
            <w:pPr>
              <w:ind w:left="180"/>
              <w:spacing w:after="0"/>
              <w:rPr>
                <w:sz w:val="20"/>
                <w:szCs w:val="20"/>
                <w:color w:val="auto"/>
              </w:rPr>
            </w:pPr>
            <w:r>
              <w:rPr>
                <w:rFonts w:ascii="Arial" w:cs="Arial" w:eastAsia="Arial" w:hAnsi="Arial"/>
                <w:sz w:val="18"/>
                <w:szCs w:val="18"/>
                <w:color w:val="auto"/>
              </w:rPr>
              <w:t>ALL nominees</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ind w:left="120"/>
              <w:spacing w:after="0" w:line="137" w:lineRule="exact"/>
              <w:rPr>
                <w:sz w:val="20"/>
                <w:szCs w:val="20"/>
                <w:color w:val="auto"/>
              </w:rPr>
            </w:pPr>
            <w:r>
              <w:rPr>
                <w:rFonts w:ascii="Arial" w:cs="Arial" w:eastAsia="Arial" w:hAnsi="Arial"/>
                <w:sz w:val="14"/>
                <w:szCs w:val="14"/>
                <w:color w:val="auto"/>
                <w:w w:val="89"/>
              </w:rPr>
              <w:t>03</w:t>
            </w:r>
          </w:p>
        </w:tc>
        <w:tc>
          <w:tcPr>
            <w:tcW w:w="1600" w:type="dxa"/>
            <w:vAlign w:val="bottom"/>
          </w:tcPr>
          <w:p>
            <w:pPr>
              <w:ind w:left="20"/>
              <w:spacing w:after="0" w:line="137" w:lineRule="exact"/>
              <w:rPr>
                <w:sz w:val="20"/>
                <w:szCs w:val="20"/>
                <w:color w:val="auto"/>
              </w:rPr>
            </w:pPr>
            <w:r>
              <w:rPr>
                <w:rFonts w:ascii="Arial" w:cs="Arial" w:eastAsia="Arial" w:hAnsi="Arial"/>
                <w:sz w:val="14"/>
                <w:szCs w:val="14"/>
                <w:color w:val="auto"/>
              </w:rPr>
              <w:t>Dean L. Hahn</w:t>
            </w:r>
          </w:p>
        </w:tc>
        <w:tc>
          <w:tcPr>
            <w:tcW w:w="820" w:type="dxa"/>
            <w:vAlign w:val="bottom"/>
          </w:tcPr>
          <w:p>
            <w:pPr>
              <w:ind w:left="660"/>
              <w:spacing w:after="0" w:line="137" w:lineRule="exact"/>
              <w:rPr>
                <w:sz w:val="20"/>
                <w:szCs w:val="20"/>
                <w:color w:val="auto"/>
              </w:rPr>
            </w:pPr>
            <w:r>
              <w:rPr>
                <w:rFonts w:ascii="Arial" w:cs="Arial" w:eastAsia="Arial" w:hAnsi="Arial"/>
                <w:sz w:val="14"/>
                <w:szCs w:val="14"/>
                <w:color w:val="auto"/>
                <w:w w:val="89"/>
              </w:rPr>
              <w:t>08</w:t>
            </w:r>
          </w:p>
        </w:tc>
        <w:tc>
          <w:tcPr>
            <w:tcW w:w="1680" w:type="dxa"/>
            <w:vAlign w:val="bottom"/>
          </w:tcPr>
          <w:p>
            <w:pPr>
              <w:ind w:left="20"/>
              <w:spacing w:after="0" w:line="137" w:lineRule="exact"/>
              <w:rPr>
                <w:sz w:val="20"/>
                <w:szCs w:val="20"/>
                <w:color w:val="auto"/>
              </w:rPr>
            </w:pPr>
            <w:r>
              <w:rPr>
                <w:rFonts w:ascii="Arial" w:cs="Arial" w:eastAsia="Arial" w:hAnsi="Arial"/>
                <w:sz w:val="14"/>
                <w:szCs w:val="14"/>
                <w:color w:val="auto"/>
              </w:rPr>
              <w:t>G. Robert Gey</w:t>
            </w:r>
          </w:p>
        </w:tc>
        <w:tc>
          <w:tcPr>
            <w:tcW w:w="9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auto"/>
                <w:w w:val="89"/>
              </w:rPr>
              <w:t>04</w:t>
            </w:r>
          </w:p>
        </w:tc>
        <w:tc>
          <w:tcPr>
            <w:tcW w:w="1600" w:type="dxa"/>
            <w:vAlign w:val="bottom"/>
          </w:tcPr>
          <w:p>
            <w:pPr>
              <w:ind w:left="20"/>
              <w:spacing w:after="0"/>
              <w:rPr>
                <w:sz w:val="20"/>
                <w:szCs w:val="20"/>
                <w:color w:val="auto"/>
              </w:rPr>
            </w:pPr>
            <w:r>
              <w:rPr>
                <w:rFonts w:ascii="Arial" w:cs="Arial" w:eastAsia="Arial" w:hAnsi="Arial"/>
                <w:sz w:val="14"/>
                <w:szCs w:val="14"/>
                <w:color w:val="auto"/>
              </w:rPr>
              <w:t>Donald L. Shipp</w:t>
            </w:r>
          </w:p>
        </w:tc>
        <w:tc>
          <w:tcPr>
            <w:tcW w:w="820" w:type="dxa"/>
            <w:vAlign w:val="bottom"/>
          </w:tcPr>
          <w:p>
            <w:pPr>
              <w:ind w:left="660"/>
              <w:spacing w:after="0"/>
              <w:rPr>
                <w:sz w:val="20"/>
                <w:szCs w:val="20"/>
                <w:color w:val="auto"/>
              </w:rPr>
            </w:pPr>
            <w:r>
              <w:rPr>
                <w:rFonts w:ascii="Arial" w:cs="Arial" w:eastAsia="Arial" w:hAnsi="Arial"/>
                <w:sz w:val="14"/>
                <w:szCs w:val="14"/>
                <w:color w:val="auto"/>
                <w:w w:val="89"/>
              </w:rPr>
              <w:t>09</w:t>
            </w:r>
          </w:p>
        </w:tc>
        <w:tc>
          <w:tcPr>
            <w:tcW w:w="1680" w:type="dxa"/>
            <w:vAlign w:val="bottom"/>
          </w:tcPr>
          <w:p>
            <w:pPr>
              <w:ind w:left="20"/>
              <w:spacing w:after="0"/>
              <w:rPr>
                <w:sz w:val="20"/>
                <w:szCs w:val="20"/>
                <w:color w:val="auto"/>
              </w:rPr>
            </w:pPr>
            <w:r>
              <w:rPr>
                <w:rFonts w:ascii="Arial" w:cs="Arial" w:eastAsia="Arial" w:hAnsi="Arial"/>
                <w:sz w:val="14"/>
                <w:szCs w:val="14"/>
                <w:color w:val="auto"/>
              </w:rPr>
              <w:t>Daryl I. Skaar</w:t>
            </w:r>
          </w:p>
        </w:tc>
        <w:tc>
          <w:tcPr>
            <w:tcW w:w="920" w:type="dxa"/>
            <w:vAlign w:val="bottom"/>
          </w:tcPr>
          <w:p>
            <w:pPr>
              <w:spacing w:after="0"/>
              <w:rPr>
                <w:sz w:val="14"/>
                <w:szCs w:val="14"/>
                <w:color w:val="auto"/>
              </w:rPr>
            </w:pPr>
          </w:p>
        </w:tc>
        <w:tc>
          <w:tcPr>
            <w:tcW w:w="1780" w:type="dxa"/>
            <w:vAlign w:val="bottom"/>
          </w:tcPr>
          <w:p>
            <w:pPr>
              <w:ind w:left="200"/>
              <w:spacing w:after="0" w:line="172" w:lineRule="exact"/>
              <w:rPr>
                <w:sz w:val="20"/>
                <w:szCs w:val="20"/>
                <w:color w:val="auto"/>
              </w:rPr>
            </w:pPr>
            <w:r>
              <w:rPr>
                <w:rFonts w:ascii="Arial" w:cs="Arial" w:eastAsia="Arial" w:hAnsi="Arial"/>
                <w:sz w:val="18"/>
                <w:szCs w:val="18"/>
                <w:color w:val="auto"/>
              </w:rPr>
              <w:t>marked)</w:t>
            </w: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200"/>
        <w:spacing w:after="0"/>
        <w:rPr>
          <w:sz w:val="20"/>
          <w:szCs w:val="20"/>
          <w:color w:val="auto"/>
        </w:rPr>
      </w:pPr>
      <w:r>
        <w:rPr>
          <w:rFonts w:ascii="Arial" w:cs="Arial" w:eastAsia="Arial" w:hAnsi="Arial"/>
          <w:sz w:val="14"/>
          <w:szCs w:val="14"/>
          <w:color w:val="auto"/>
        </w:rPr>
        <w:t>05 Howard M. Hawkins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To withhold authority to vote for any indicated nominee, write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-38100</wp:posOffset>
            </wp:positionV>
            <wp:extent cx="279971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99715" cy="215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107950</wp:posOffset>
            </wp:positionV>
            <wp:extent cx="279971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997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In their discretion, the Proxies are authorized to vote upon such other</w:t>
            </w:r>
          </w:p>
        </w:tc>
        <w:tc>
          <w:tcPr>
            <w:tcW w:w="1520" w:type="dxa"/>
            <w:vAlign w:val="bottom"/>
          </w:tcPr>
          <w:p>
            <w:pPr>
              <w:ind w:left="320"/>
              <w:spacing w:after="0"/>
              <w:rPr>
                <w:sz w:val="20"/>
                <w:szCs w:val="20"/>
                <w:color w:val="auto"/>
              </w:rPr>
            </w:pPr>
            <w:r>
              <w:rPr>
                <w:rFonts w:ascii="Arial" w:cs="Arial" w:eastAsia="Arial" w:hAnsi="Arial"/>
                <w:sz w:val="22"/>
                <w:szCs w:val="22"/>
                <w:b w:val="1"/>
                <w:bCs w:val="1"/>
                <w:color w:val="auto"/>
              </w:rPr>
              <w:t xml:space="preserve">/ / </w:t>
            </w:r>
            <w:r>
              <w:rPr>
                <w:rFonts w:ascii="Arial" w:cs="Arial" w:eastAsia="Arial" w:hAnsi="Arial"/>
                <w:sz w:val="17"/>
                <w:szCs w:val="17"/>
                <w:color w:val="auto"/>
              </w:rPr>
              <w:t>For</w:t>
            </w:r>
          </w:p>
        </w:tc>
        <w:tc>
          <w:tcPr>
            <w:tcW w:w="2080" w:type="dxa"/>
            <w:vAlign w:val="bottom"/>
          </w:tcPr>
          <w:p>
            <w:pPr>
              <w:ind w:left="740"/>
              <w:spacing w:after="0"/>
              <w:rPr>
                <w:sz w:val="20"/>
                <w:szCs w:val="20"/>
                <w:color w:val="auto"/>
              </w:rPr>
            </w:pPr>
            <w:r>
              <w:rPr>
                <w:rFonts w:ascii="Arial" w:cs="Arial" w:eastAsia="Arial" w:hAnsi="Arial"/>
                <w:sz w:val="22"/>
                <w:szCs w:val="22"/>
                <w:b w:val="1"/>
                <w:bCs w:val="1"/>
                <w:color w:val="auto"/>
              </w:rPr>
              <w:t xml:space="preserve">/ / </w:t>
            </w:r>
            <w:r>
              <w:rPr>
                <w:rFonts w:ascii="Arial" w:cs="Arial" w:eastAsia="Arial" w:hAnsi="Arial"/>
                <w:sz w:val="17"/>
                <w:szCs w:val="17"/>
                <w:color w:val="auto"/>
              </w:rPr>
              <w:t>Against</w:t>
            </w:r>
          </w:p>
        </w:tc>
        <w:tc>
          <w:tcPr>
            <w:tcW w:w="1340" w:type="dxa"/>
            <w:vAlign w:val="bottom"/>
          </w:tcPr>
          <w:p>
            <w:pPr>
              <w:ind w:left="580"/>
              <w:spacing w:after="0"/>
              <w:rPr>
                <w:sz w:val="20"/>
                <w:szCs w:val="20"/>
                <w:color w:val="auto"/>
              </w:rPr>
            </w:pPr>
            <w:r>
              <w:rPr>
                <w:rFonts w:ascii="Arial" w:cs="Arial" w:eastAsia="Arial" w:hAnsi="Arial"/>
                <w:sz w:val="22"/>
                <w:szCs w:val="22"/>
                <w:b w:val="1"/>
                <w:bCs w:val="1"/>
                <w:color w:val="auto"/>
                <w:w w:val="91"/>
              </w:rPr>
              <w:t xml:space="preserve">/ / </w:t>
            </w:r>
            <w:r>
              <w:rPr>
                <w:rFonts w:ascii="Arial" w:cs="Arial" w:eastAsia="Arial" w:hAnsi="Arial"/>
                <w:sz w:val="17"/>
                <w:szCs w:val="17"/>
                <w:color w:val="auto"/>
                <w:w w:val="91"/>
              </w:rPr>
              <w:t>Abstain</w:t>
            </w:r>
          </w:p>
        </w:tc>
      </w:tr>
      <w:tr>
        <w:trPr>
          <w:trHeight w:val="222"/>
        </w:trPr>
        <w:tc>
          <w:tcPr>
            <w:tcW w:w="30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matters as may properly come before the meeting.</w:t>
            </w:r>
          </w:p>
        </w:tc>
        <w:tc>
          <w:tcPr>
            <w:tcW w:w="1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9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200" w:type="dxa"/>
            <w:vAlign w:val="bottom"/>
          </w:tcPr>
          <w:p>
            <w:pPr>
              <w:spacing w:after="0"/>
              <w:rPr>
                <w:sz w:val="20"/>
                <w:szCs w:val="20"/>
                <w:color w:val="auto"/>
              </w:rPr>
            </w:pPr>
            <w:r>
              <w:rPr>
                <w:rFonts w:ascii="Arial" w:cs="Arial" w:eastAsia="Arial" w:hAnsi="Arial"/>
                <w:sz w:val="18"/>
                <w:szCs w:val="18"/>
                <w:color w:val="auto"/>
              </w:rPr>
              <w:t xml:space="preserve">Address Change? Mark Box  </w:t>
            </w:r>
            <w:r>
              <w:rPr>
                <w:rFonts w:ascii="Arial" w:cs="Arial" w:eastAsia="Arial" w:hAnsi="Arial"/>
                <w:sz w:val="21"/>
                <w:szCs w:val="21"/>
                <w:b w:val="1"/>
                <w:bCs w:val="1"/>
                <w:color w:val="auto"/>
              </w:rPr>
              <w:t>/ /</w:t>
            </w:r>
          </w:p>
        </w:tc>
        <w:tc>
          <w:tcPr>
            <w:tcW w:w="422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00"/>
        </w:trPr>
        <w:tc>
          <w:tcPr>
            <w:tcW w:w="7200" w:type="dxa"/>
            <w:vAlign w:val="bottom"/>
            <w:vMerge w:val="restart"/>
          </w:tcPr>
          <w:p>
            <w:pPr>
              <w:spacing w:after="0"/>
              <w:rPr>
                <w:sz w:val="20"/>
                <w:szCs w:val="20"/>
                <w:color w:val="auto"/>
              </w:rPr>
            </w:pPr>
            <w:r>
              <w:rPr>
                <w:rFonts w:ascii="Arial" w:cs="Arial" w:eastAsia="Arial" w:hAnsi="Arial"/>
                <w:sz w:val="18"/>
                <w:szCs w:val="18"/>
                <w:color w:val="auto"/>
              </w:rPr>
              <w:t>Indicate changes below:</w:t>
            </w:r>
          </w:p>
        </w:tc>
        <w:tc>
          <w:tcPr>
            <w:tcW w:w="80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2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720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407670</wp:posOffset>
            </wp:positionV>
            <wp:extent cx="267970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Signature(s) In Box</w:t>
      </w:r>
    </w:p>
    <w:p>
      <w:pPr>
        <w:ind w:left="7200"/>
        <w:spacing w:after="0"/>
        <w:rPr>
          <w:sz w:val="20"/>
          <w:szCs w:val="20"/>
          <w:color w:val="auto"/>
        </w:rPr>
      </w:pPr>
      <w:r>
        <w:rPr>
          <w:rFonts w:ascii="Arial" w:cs="Arial" w:eastAsia="Arial" w:hAnsi="Arial"/>
          <w:sz w:val="12"/>
          <w:szCs w:val="12"/>
          <w:color w:val="auto"/>
        </w:rPr>
        <w:t>(Please sign exactly as your name appears to the left. When shares are held</w:t>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by joint tenants, both should sign. When signing as executor, administrator,</w:t>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attorney, trustee or guardian, please give full title as such. If a corporation,</w:t>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please sign in full corporate name by president or other authorized officer. If</w:t>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a partnership, 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SOLICITATION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REVOCATION AND VOTING OF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OUTSTANDING SHARES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SECURITY OWNERSHIP OF MANAGEMENT AND BENEFICIAL OWNERSHIP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PROPOSALS TO BE ACTED UPON AT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ELECTION OF DIRECTORS (Proposal 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INDEPENDENT PUBLIC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THE AUDIT COMMITTEE OF THE BOARD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COMPENSATION AND OTHER BENEFITS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COMPENSATION COMMITTEE INTERLOCKS AND INSIDER PARTICIPATION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COMPENSATION COMMITTEE REPORT ON ANNUAL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RELATED PARTY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COMPARATIVE STOCK 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 BY SHAREHOLDERS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FORM 10-K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HAWKINS, INC. AUDIT COMMITTEE CHARTER</w:t>
        </w:r>
      </w:hyperlink>
    </w:p>
    <w:sectPr>
      <w:pgSz w:w="11900" w:h="16838" w:orient="portrait"/>
      <w:cols w:equalWidth="0" w:num="1">
        <w:col w:w="11420"/>
      </w:cols>
      <w:pgMar w:left="240" w:top="1246" w:right="239" w:bottom="5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4"/>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2019-12-12T09:36:12Z</dcterms:created>
  <dcterms:modified xsi:type="dcterms:W3CDTF">2019-12-12T09:36:12Z</dcterms:modified>
</cp:coreProperties>
</file>