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27,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January 29, 2016</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10,565,434</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27, 2015 and March 29, 2015</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Income – Three and Nine Months Ended December 27,</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2015 and December 28, 2014</w:t>
              </w:r>
            </w:hyperlink>
          </w:p>
        </w:tc>
        <w:tc>
          <w:tcPr>
            <w:tcW w:w="8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Comprehensive Income – Three and Nine Months Ended</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27, 2015 and December 28, 2014</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Nine Months Ended December 27, 2015</w:t>
              </w:r>
            </w:hyperlink>
          </w:p>
        </w:tc>
        <w:tc>
          <w:tcPr>
            <w:tcW w:w="9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December 28, 2014</w:t>
              </w:r>
            </w:hyperlink>
          </w:p>
        </w:tc>
        <w:tc>
          <w:tcPr>
            <w:tcW w:w="8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6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80" w:type="dxa"/>
            <w:vAlign w:val="bottom"/>
            <w:gridSpan w:val="13"/>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320" w:type="dxa"/>
            <w:vAlign w:val="bottom"/>
            <w:gridSpan w:val="1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4"/>
          </w:tcPr>
          <w:p>
            <w:pPr>
              <w:ind w:left="44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27,</w:t>
            </w:r>
          </w:p>
        </w:tc>
        <w:tc>
          <w:tcPr>
            <w:tcW w:w="22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4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20,815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18,639</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Investments 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14,485</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6"/>
                <w:szCs w:val="16"/>
                <w:color w:val="auto"/>
              </w:rPr>
              <w:t>$406 as of December 27, 2015 and $445 as of March 29, 2015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40,355</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37,028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114,340</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200,476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172,772</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79,042</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6"/>
                <w:szCs w:val="16"/>
                <w:color w:val="auto"/>
              </w:rPr>
              <w:t>Net property, plant, and equipment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112,073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93,730</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110,324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Intangible assets — less accumulated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gridSpan w:val="5"/>
          </w:tcPr>
          <w:p>
            <w:pPr>
              <w:ind w:left="500"/>
              <w:spacing w:after="0"/>
              <w:rPr>
                <w:sz w:val="20"/>
                <w:szCs w:val="20"/>
                <w:color w:val="auto"/>
              </w:rPr>
            </w:pPr>
            <w:r>
              <w:rPr>
                <w:rFonts w:ascii="Arial" w:cs="Arial" w:eastAsia="Arial" w:hAnsi="Arial"/>
                <w:sz w:val="16"/>
                <w:szCs w:val="16"/>
                <w:color w:val="auto"/>
              </w:rPr>
              <w:t>$4,847 as of December 27, 2015 and $3,933 as of March 29,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11,154</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Long-term investments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17,249</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40,392</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419,196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248,462</w:t>
            </w:r>
          </w:p>
        </w:tc>
        <w:tc>
          <w:tcPr>
            <w:tcW w:w="0" w:type="dxa"/>
            <w:vAlign w:val="bottom"/>
          </w:tcPr>
          <w:p>
            <w:pPr>
              <w:spacing w:after="0"/>
              <w:rPr>
                <w:sz w:val="1"/>
                <w:szCs w:val="1"/>
                <w:color w:val="auto"/>
              </w:rPr>
            </w:pPr>
          </w:p>
        </w:tc>
      </w:tr>
      <w:tr>
        <w:trPr>
          <w:trHeight w:val="73"/>
        </w:trPr>
        <w:tc>
          <w:tcPr>
            <w:tcW w:w="82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5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gridSpan w:val="5"/>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20,083</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Dividends payable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6,122</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Accrued stock and other acquisition-related compensation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Post close purchase price payable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36,343</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6"/>
                <w:szCs w:val="16"/>
                <w:color w:val="auto"/>
              </w:rPr>
              <w:t>LONG-TERM DEBT, LESS CURRENT PORTION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125,321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gridSpan w:val="5"/>
            <w:vMerge w:val="restart"/>
          </w:tcPr>
          <w:p>
            <w:pPr>
              <w:ind w:left="40"/>
              <w:spacing w:after="0"/>
              <w:rPr>
                <w:sz w:val="20"/>
                <w:szCs w:val="20"/>
                <w:color w:val="auto"/>
              </w:rPr>
            </w:pPr>
            <w:r>
              <w:rPr>
                <w:rFonts w:ascii="Arial" w:cs="Arial" w:eastAsia="Arial" w:hAnsi="Arial"/>
                <w:sz w:val="16"/>
                <w:szCs w:val="16"/>
                <w:color w:val="auto"/>
              </w:rPr>
              <w:t>PENSION WITHDRAWAL LIABILITY</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gridSpan w:val="5"/>
            <w:vMerge w:val="continue"/>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6,589</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29,756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9,978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LONG-TERM LIABILITIES</w:t>
            </w:r>
          </w:p>
        </w:tc>
        <w:tc>
          <w:tcPr>
            <w:tcW w:w="5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219,515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54,498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COMMITMENTS AND CONTINGENCIES</w:t>
            </w:r>
          </w:p>
        </w:tc>
        <w:tc>
          <w:tcPr>
            <w:tcW w:w="5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6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460" w:type="dxa"/>
            <w:vAlign w:val="bottom"/>
            <w:gridSpan w:val="5"/>
            <w:shd w:val="clear" w:color="auto" w:fill="CCEEFF"/>
          </w:tcPr>
          <w:p>
            <w:pPr>
              <w:ind w:left="380"/>
              <w:spacing w:after="0"/>
              <w:rPr>
                <w:sz w:val="20"/>
                <w:szCs w:val="20"/>
                <w:color w:val="auto"/>
              </w:rPr>
            </w:pPr>
            <w:r>
              <w:rPr>
                <w:rFonts w:ascii="Arial" w:cs="Arial" w:eastAsia="Arial" w:hAnsi="Arial"/>
                <w:sz w:val="16"/>
                <w:szCs w:val="16"/>
                <w:color w:val="auto"/>
              </w:rPr>
              <w:t>Common stock; authorized: 30,000,000 shares of $0.05 par value; 10,478,266 and 10,564,949 shares issued and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outstanding as of December 27, 2015 and March 29, 2015,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50,901</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142,567</w:t>
            </w:r>
          </w:p>
        </w:tc>
        <w:tc>
          <w:tcPr>
            <w:tcW w:w="0" w:type="dxa"/>
            <w:vAlign w:val="bottom"/>
          </w:tcPr>
          <w:p>
            <w:pPr>
              <w:spacing w:after="0"/>
              <w:rPr>
                <w:sz w:val="1"/>
                <w:szCs w:val="1"/>
                <w:color w:val="auto"/>
              </w:rPr>
            </w:pPr>
          </w:p>
        </w:tc>
      </w:tr>
      <w:tr>
        <w:trPr>
          <w:trHeight w:val="237"/>
        </w:trPr>
        <w:tc>
          <w:tcPr>
            <w:tcW w:w="8460" w:type="dxa"/>
            <w:vAlign w:val="bottom"/>
            <w:gridSpan w:val="5"/>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Total shareholders’ equity</w:t>
            </w:r>
          </w:p>
        </w:tc>
        <w:tc>
          <w:tcPr>
            <w:tcW w:w="59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193,964</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419,196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248,462</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4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5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759"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6"/>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2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2"/>
                <w:szCs w:val="12"/>
                <w:color w:val="auto"/>
              </w:rPr>
            </w:pPr>
          </w:p>
        </w:tc>
        <w:tc>
          <w:tcPr>
            <w:tcW w:w="118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w w:val="96"/>
              </w:rPr>
              <w:t>December 28,</w:t>
            </w:r>
          </w:p>
        </w:tc>
      </w:tr>
      <w:tr>
        <w:trPr>
          <w:trHeight w:val="192"/>
        </w:trPr>
        <w:tc>
          <w:tcPr>
            <w:tcW w:w="5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270,742</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(220,482)</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50,260</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(25,843)</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(9,114)</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10,478,266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10,564,990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10,534,933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10,564,401</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10,528,126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10,614,740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10,591,543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10,623,148</w:t>
            </w: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32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28,</w:t>
            </w:r>
          </w:p>
        </w:tc>
      </w:tr>
      <w:tr>
        <w:trPr>
          <w:trHeight w:val="192"/>
        </w:trPr>
        <w:tc>
          <w:tcPr>
            <w:tcW w:w="5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15,319</w:t>
            </w:r>
          </w:p>
        </w:tc>
      </w:tr>
      <w:tr>
        <w:trPr>
          <w:trHeight w:val="27"/>
        </w:trPr>
        <w:tc>
          <w:tcPr>
            <w:tcW w:w="5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27,</w:t>
            </w:r>
          </w:p>
        </w:tc>
        <w:tc>
          <w:tcPr>
            <w:tcW w:w="18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December 28,</w:t>
            </w: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6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15,314</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7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9,250</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disposal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r>
      <w:tr>
        <w:trPr>
          <w:trHeight w:val="237"/>
        </w:trPr>
        <w:tc>
          <w:tcPr>
            <w:tcW w:w="6780" w:type="dxa"/>
            <w:vAlign w:val="bottom"/>
          </w:tcPr>
          <w:p>
            <w:pPr>
              <w:ind w:left="720"/>
              <w:spacing w:after="0"/>
              <w:rPr>
                <w:sz w:val="20"/>
                <w:szCs w:val="20"/>
                <w:color w:val="auto"/>
              </w:rPr>
            </w:pPr>
            <w:r>
              <w:rPr>
                <w:rFonts w:ascii="Arial" w:cs="Arial" w:eastAsia="Arial" w:hAnsi="Arial"/>
                <w:sz w:val="16"/>
                <w:szCs w:val="16"/>
                <w:color w:val="auto"/>
              </w:rPr>
              <w:t>(Gain) loss from property disposals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780" w:type="dxa"/>
            <w:vAlign w:val="bottom"/>
          </w:tcPr>
          <w:p>
            <w:pPr>
              <w:ind w:left="1140"/>
              <w:spacing w:after="0"/>
              <w:rPr>
                <w:sz w:val="20"/>
                <w:szCs w:val="20"/>
                <w:color w:val="auto"/>
              </w:rPr>
            </w:pPr>
            <w:r>
              <w:rPr>
                <w:rFonts w:ascii="Arial" w:cs="Arial" w:eastAsia="Arial" w:hAnsi="Arial"/>
                <w:sz w:val="16"/>
                <w:szCs w:val="16"/>
                <w:color w:val="auto"/>
              </w:rPr>
              <w:t>Trade receivables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4,679</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(9,965)</w:t>
            </w:r>
          </w:p>
        </w:tc>
      </w:tr>
      <w:tr>
        <w:trPr>
          <w:trHeight w:val="237"/>
        </w:trPr>
        <w:tc>
          <w:tcPr>
            <w:tcW w:w="678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r>
      <w:tr>
        <w:trPr>
          <w:trHeight w:val="237"/>
        </w:trPr>
        <w:tc>
          <w:tcPr>
            <w:tcW w:w="6780" w:type="dxa"/>
            <w:vAlign w:val="bottom"/>
          </w:tcPr>
          <w:p>
            <w:pPr>
              <w:ind w:left="114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r>
      <w:tr>
        <w:trPr>
          <w:trHeight w:val="237"/>
        </w:trPr>
        <w:tc>
          <w:tcPr>
            <w:tcW w:w="6780" w:type="dxa"/>
            <w:vAlign w:val="bottom"/>
          </w:tcPr>
          <w:p>
            <w:pPr>
              <w:ind w:left="1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17,041</w:t>
            </w:r>
          </w:p>
        </w:tc>
      </w:tr>
      <w:tr>
        <w:trPr>
          <w:trHeight w:val="224"/>
        </w:trPr>
        <w:tc>
          <w:tcPr>
            <w:tcW w:w="6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(10,086)</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(12,394)</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 and maturities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9,755</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(150,772)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(10,068)</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17"/>
        </w:trPr>
        <w:tc>
          <w:tcPr>
            <w:tcW w:w="678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(22,656)</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(7,859)</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Excess tax benefit from share-based compensation</w:t>
            </w:r>
          </w:p>
        </w:tc>
        <w:tc>
          <w:tcPr>
            <w:tcW w:w="2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Proceeds from revolver borrowings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(8,877)</w:t>
            </w:r>
          </w:p>
        </w:tc>
      </w:tr>
      <w:tr>
        <w:trPr>
          <w:trHeight w:val="217"/>
        </w:trPr>
        <w:tc>
          <w:tcPr>
            <w:tcW w:w="67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(14,492)</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33,486</w:t>
            </w:r>
          </w:p>
        </w:tc>
      </w:tr>
      <w:tr>
        <w:trPr>
          <w:trHeight w:val="217"/>
        </w:trPr>
        <w:tc>
          <w:tcPr>
            <w:tcW w:w="678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18,994</w:t>
            </w:r>
          </w:p>
        </w:tc>
      </w:tr>
      <w:tr>
        <w:trPr>
          <w:trHeight w:val="73"/>
        </w:trPr>
        <w:tc>
          <w:tcPr>
            <w:tcW w:w="67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24"/>
        </w:trPr>
        <w:tc>
          <w:tcPr>
            <w:tcW w:w="6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678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10,816</w:t>
            </w: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449</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58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March 29, 2015,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29, 2015, filed with the SEC on May 28, 2015, as amended from time to time. There has been no significant change in our accounting policies since the end of fiscal 2015.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nine months ended December 27, 2015 are not necessarily indicative of the results that may be expected for the full year.</w:t>
      </w:r>
    </w:p>
    <w:p>
      <w:pPr>
        <w:spacing w:after="0" w:line="194"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References to fiscal 2015 refer to the fiscal year ended March 29, 2015 and references to fiscal 2016 refer to the fiscal year ending April 3, 2016. As compared to our normal 52-week fiscal years, fiscal 2016 will be a 53-week year, with the extra week to be recorded in our fourth quarter’s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January 2016, the Financial Accounting Standards Board (“FASB”) issued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1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November 2015, the FASB issued new accounting guidance requiring entities with a classified balance sheet to present all deferred tax assets and liabilities as non-current. The new guidance is effective for fiscal years beginning after December 15, 2016 (our fiscal year ending April 1, 2018) with early adoption permitted. Upon adoption, all of our deferred tax assets and liabilities will be presented as long-term assets or liabilities.</w:t>
      </w:r>
    </w:p>
    <w:p>
      <w:pPr>
        <w:spacing w:after="0" w:line="1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to retrospectively adjust the financial statements for measurement-period adjustments that occur in periods after a business combination is consummated. The new guidance is effective for fiscal years beginning after December 15, 2015 (our fiscal year ending April 2, 2017), and interim periods within those years.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2015, the FASB issued new accounting requirements changing the measurement principal for inventory measured using the first-in, first-out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May 2014, the FASB issued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April 2015, the FASB issued new accounting guidance simplifying the presentation of debt issuance costs. The new guidance requires presentation of debt issuance costs related to a recognized debt liability to be presented as a direct deduction from the debt liability on the balance sheet. The guidance is effective for fiscal years beginning after December 15, 2015, with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early adoption permitted. We have elected to early adopt this guidance effective September 28, 2015, the beginning of our third quarter of fiscal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27,</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28,</w:t>
            </w: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27,</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28,</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10,478,266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10,564,990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10,534,933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10,564,401</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49,860</w:t>
            </w: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49,750</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56,610</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58,747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10,528,126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10,614,740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10,591,543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10,623,148</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each of the three and nine months ended December 27, 2015 and December 28, 2014, there were no shares or stock options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Acquisition of Stauber Performance Ingredients: </w:t>
      </w:r>
      <w:r>
        <w:rPr>
          <w:rFonts w:ascii="Arial" w:cs="Arial" w:eastAsia="Arial" w:hAnsi="Arial"/>
          <w:sz w:val="18"/>
          <w:szCs w:val="18"/>
          <w:color w:val="auto"/>
        </w:rPr>
        <w:t>On December 23, 2015, we acquired Stauber Performance Ingredients (“Stauber”) for $157.0 million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cash-free, debt-free basis. The total consideration for the acquisition is estimated at $158.5 million ($155.9 million net of cash acquired), subject to a further customary working capital adjustment. We paid $156.0 million in cash at closing and expect to pay an additional $2.5 million based upon preliminary working capital balances. The purchase was funded with $131.0 million of proceeds from the credit facility described more fully in Note 7 as well as cash on hand.</w:t>
      </w:r>
    </w:p>
    <w:p>
      <w:pPr>
        <w:spacing w:after="0" w:line="2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Stauber operates out of facilities in New York and California and blends and distributes specialty products and ingredients to the nutritional, food, pharmaceutical, cosmetic and pet care industries. The acquisition expands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will be included in our newly formed Health and Nutrition operating segment. Due to the timing of the acquisition, no operating activity is included in our third quarter or year-to-date results but will be included in our fourth quarter fiscal 2016 results.</w:t>
      </w:r>
    </w:p>
    <w:p>
      <w:pPr>
        <w:spacing w:after="0" w:line="22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Direct acquisition costs of $2.7 million, consisting mainly of professional and consulting fees, were expensed as incurred during the three and nine months ended December 27, 2015, and are classified as selling, general, and administrative expenses in our condensed consolidated statement of income, and are reported in our Health and Nutrition segment.</w:t>
      </w:r>
    </w:p>
    <w:p>
      <w:pPr>
        <w:spacing w:after="0" w:line="20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acquisition was accounted for under the acquisition method of accounting. Accordingly, the cost to acquire Stauber was allocated to the underlying net assets in proportion to estimates of their respective fair values. The excess of the purchase price over the estimated fair value of the net assets acquired was recorded as goodwill. The allocated purchase price in excess of Stauber’s tangible asset value prior to acquisition, including the intangibles and goodwill, is not deductible for tax purposes. The goodwill recognized as a result of this acquisition is primarily attributable to strategic and synergistic benefits, as well as Stauber’s assembled workforce. The allocation of the purchase price to the assets acquired and liabilities assumed, including the amount allocated to goodwill, is based upon preliminary information and is subject to change within the measurement period (up to one year from the acquisition date). The following table summarizes the preliminary fair value measurement of the assets acquired and liabilities assumed as of December 23, 2015: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0"/>
        </w:trPr>
        <w:tc>
          <w:tcPr>
            <w:tcW w:w="87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15,235</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taxes and 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11,228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50,963</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(6,470)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(21,323)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40" w:type="dxa"/>
            <w:vAlign w:val="bottom"/>
          </w:tcPr>
          <w:p>
            <w:pPr>
              <w:spacing w:after="0"/>
              <w:rPr>
                <w:sz w:val="20"/>
                <w:szCs w:val="20"/>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61,675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96,831</w:t>
            </w: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158,506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acquired cash</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5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155,859</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0" w:firstLine="8"/>
        <w:spacing w:after="0" w:line="273" w:lineRule="auto"/>
        <w:tabs>
          <w:tab w:leader="none" w:pos="196"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following pro forma information has been prepared as if the Stauber acquisition and the borrowing to finance the acquisition had occurred as of the beginning of the fiscal years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28,</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28,</w:t>
            </w:r>
          </w:p>
        </w:tc>
      </w:tr>
      <w:tr>
        <w:trPr>
          <w:trHeight w:val="221"/>
        </w:trPr>
        <w:tc>
          <w:tcPr>
            <w:tcW w:w="4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114,364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108,638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345,527</w:t>
            </w: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3,775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17,894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16,913</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unaudited pro forma financial information above is adjusted to reflect the following: (a) interest expense, including amortization of debt issuance costs, related to the $131.0 million of debt used to fund the acquisition; (b) estimated amortization expense related to the $51.0 million of identifiable intangible assets (preliminary) recognized in conjunction with the acquisition; (c) elimination of amortization of intangibles and interest expense previously reflected on Stauber’s financial statements; (d) elimination of stock and other acquisition-related compensation recorded by Stauber, and transaction-related expenses recorded by us; and (e) recording income taxes at an estimated statutory rate of 37.5% on the resulting pre-tax income.</w:t>
      </w:r>
    </w:p>
    <w:p>
      <w:pPr>
        <w:spacing w:after="0" w:line="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Through this acquisition we added one operating location in Florida and have integrated the remainder of the business into our existing Florida locations. The results of operations after the date of acquisition and the acquired assets are included in our Water Treatment Segment. Costs associated with this transaction were not material and were expensed as incurred.</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of Davis acquired based on their estimated fair values. We estimated the fair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977" w:right="29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values of the assets acquired and liabilities assumed using a discounted cash flow analysis (income approach). The following table summarizes the allocation of the purchase price to the fair values assigned to the assets acquired and liabilities assumed as of September 18, 2015:</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37"/>
        </w:trPr>
        <w:tc>
          <w:tcPr>
            <w:tcW w:w="2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Inventories</w:t>
            </w:r>
          </w:p>
        </w:tc>
        <w:tc>
          <w:tcPr>
            <w:tcW w:w="796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2,532</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assets recognized in connection with this acquisition consist of $2.4 million related to customer relationships to be amortized over 20 years, and $0.1 million related to a non-compete agreement to be amortized over five years. The goodwill recognized as a result of this acquisition is primarily attributable to strategic and synergistic benefits, as well as the assembled workforce. Such goodwill is expected to be deductible for tax purposes.</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Acquisition of The Dumont Company, Inc.</w:t>
      </w:r>
      <w:r>
        <w:rPr>
          <w:rFonts w:ascii="Arial" w:cs="Arial" w:eastAsia="Arial" w:hAnsi="Arial"/>
          <w:sz w:val="17"/>
          <w:szCs w:val="17"/>
          <w:color w:val="auto"/>
        </w:rPr>
        <w:t>: On October 20, 2014, we acquired substantially all of the assets of The Dumont Company, Inc. (“Dumont”)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 We estimated the fair values of the assets acquired and liabilities assumed using a discounted cash flow analysis (income approach). The following table summarizes the allocation of the purchase price to the fair values assigned to the assets acquired and liabilities assumed as of October 20, 2014: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0" w:type="dxa"/>
            <w:vAlign w:val="bottom"/>
          </w:tcPr>
          <w:p>
            <w:pPr>
              <w:spacing w:after="0"/>
              <w:rPr>
                <w:sz w:val="20"/>
                <w:szCs w:val="20"/>
                <w:color w:val="auto"/>
              </w:rPr>
            </w:pPr>
          </w:p>
        </w:tc>
        <w:tc>
          <w:tcPr>
            <w:tcW w:w="894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4,358</w:t>
            </w:r>
          </w:p>
        </w:tc>
      </w:tr>
      <w:tr>
        <w:trPr>
          <w:trHeight w:val="25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Intangible assets recognized in connection with this acquisition consist of $2.8 million related to customer relationships to be amortized over 20 years, and $0.7 million related to a trade name to be amortized over four years. The goodwill recognized as a result of this acquisition is primarily attributable to strategic and synergistic benefits, as well as the assembled workforce. Such goodwill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20,815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cash and cash equivalents balance at December 27, 2015 included $7.3 million of cash on Stauber’s balance sheet to fund stock and other acquisition-related compensation paid subsequent to the acquisition date. That amount was offset by an equivalent accrual in current liabilities, as the expense was recorded by Stauber prior to the acquisition date.</w:t>
      </w:r>
    </w:p>
    <w:p>
      <w:pPr>
        <w:spacing w:after="0" w:line="1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financial assets that are measured at fair value on a recurring basis and fall within valuation technique Level 2 are certificates of deposit (“CDs”) and municipal bonds, with original maturities ranging from three months to three years. The CDs and municipal bonds are classified as investments in current assets and noncurrent assets on the condensed consolidated balance sheets. As of December 27, 2015, the combined CDs and municipal bonds had a fair value of $0.4 million in current assets and $2.6 million in noncurrent assets compared to CDs and municipal bonds with a fair value of $14.5 million in current assets and $17.2 million in noncurrent assets as of March 29, 2015. During the three months ended December 27, 2015 we sold approximately $25.5 million of available-for-sale securities to partially fund the purchase of Stauber as discussed in Note 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27, 2015 and March 29, 2015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42,567</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$41.2 million at December 27, 2015 and $39.0 million at March 29, 2015. The remainder of the inventory was valued and accounted for under the FIFO method.</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LIFO reserve increased nominally during the three months ended December 27, 2015, and increased $0.3 million during the three months ended December 28, 2014. The LIFO reserve increased nominally during the nine months ended December 27, 2015, and increased $0.9 million during the nine months ended December 28, 2014. The valuation of LIFO inventory for interim periods is based on our estimates of year-end inventory levels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carrying amount of goodwill was $110.3 million as of December 27, 2015 and $11.7 million as of March 29, 2015. The increase in goodwill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December 27, 2015 represents goodwill recorded in connection with the Stauber and Davis acquisitions as discussed in Note 3. The amount of goodwill recorded in connection with the Stauber acquisition is preliminary and subject to change based on the results of the business valuation to be completed.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summary of our intangible assets as of December 27, 2015 and March 29,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27, 2015</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29, 2015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Preliminary Stauber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50,963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50,963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67,580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62,733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13,860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7"/>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68,807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63,960</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15,087</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amount of finite-life intangibles recorded in connection with the Stauber acquisition is preliminary and subject to change based on the results of the business valuation to be completed. Accordingly, the above table does not include a breakout of asset type. We expect the intangible assets related to the Stauber acquisition to include trade names, customer relationships and supplier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23, 2015, in connection with the Stauber acquisition described more fully in Note 3, we entered into a credit agreement (the “Credit Agreement”) with U.S. Bank National Association (“U.S. Bank”), as Lead Arranger, and Sole Bookrunner,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the table below with the remainder of the loan due at maturity. The Credit Facility is scheduled to terminate on December 23, 2020. The Credit Facility is secured by substantially all of our personal property assets and those of our subsidiaries.</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either 0.125%, 0.25% or 0.5%, depending on our leverage ratio. At December 23, 2015, the effective interest rate on our borrowings was 1.9%.</w:t>
      </w:r>
    </w:p>
    <w:p>
      <w:pPr>
        <w:spacing w:after="0" w:line="1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used $131.0 million of the proceeds from the Credit Facility to fund our acquisition of Stauber. We may use the remaining $34.0 million for working capital, capital expenditures, restricted payments and acquisitions permitted under the Credit Facility, and other general corporate purposes.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issuance costs of $0.7 million paid to the lenders are reflected as a reduction of long-term debt and will be amortized as interest expense over the term of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27, 2015 consisted of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91"/>
              <w:spacing w:after="0"/>
              <w:rPr>
                <w:sz w:val="20"/>
                <w:szCs w:val="20"/>
                <w:color w:val="auto"/>
              </w:rPr>
            </w:pPr>
            <w:r>
              <w:rPr>
                <w:rFonts w:ascii="Arial" w:cs="Arial" w:eastAsia="Arial" w:hAnsi="Arial"/>
                <w:sz w:val="18"/>
                <w:szCs w:val="18"/>
                <w:b w:val="1"/>
                <w:bCs w:val="1"/>
                <w:color w:val="auto"/>
                <w:w w:val="92"/>
              </w:rPr>
              <w:t>December 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CCEEFF"/>
            </w:tcBorders>
          </w:tcPr>
          <w:p>
            <w:pPr>
              <w:spacing w:after="0"/>
              <w:rPr>
                <w:sz w:val="19"/>
                <w:szCs w:val="19"/>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Senior secured term loan</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9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secured revolver</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9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9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760" w:type="dxa"/>
            <w:vAlign w:val="bottom"/>
            <w:gridSpan w:val="4"/>
            <w:vMerge w:val="restart"/>
          </w:tcPr>
          <w:p>
            <w:pPr>
              <w:spacing w:after="0"/>
              <w:rPr>
                <w:sz w:val="20"/>
                <w:szCs w:val="20"/>
                <w:color w:val="auto"/>
              </w:rPr>
            </w:pPr>
            <w:r>
              <w:rPr>
                <w:rFonts w:ascii="Arial" w:cs="Arial" w:eastAsia="Arial" w:hAnsi="Arial"/>
                <w:sz w:val="18"/>
                <w:szCs w:val="18"/>
                <w:color w:val="auto"/>
              </w:rPr>
              <w:t>Scheduled annual maturities of debt as of December 27, 2015 are as follows: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7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(In thousands)</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9620" w:type="dxa"/>
            <w:vAlign w:val="bottom"/>
            <w:gridSpan w:val="3"/>
          </w:tcPr>
          <w:p>
            <w:pPr>
              <w:spacing w:after="0"/>
              <w:rPr>
                <w:sz w:val="20"/>
                <w:szCs w:val="20"/>
                <w:color w:val="auto"/>
              </w:rPr>
            </w:pPr>
            <w:r>
              <w:rPr>
                <w:rFonts w:ascii="Arial" w:cs="Arial" w:eastAsia="Arial" w:hAnsi="Arial"/>
                <w:sz w:val="14"/>
                <w:szCs w:val="14"/>
                <w:b w:val="1"/>
                <w:bCs w:val="1"/>
                <w:color w:val="auto"/>
              </w:rPr>
              <w:t>Fiscal year ending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CCEEFF"/>
            </w:tcBorders>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as of March 29,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29, 2009 are closed to examination by the Internal Revenue Service, and with few exceptions, state and local income tax jurisdictions. Our effective tax rate for the nine months ended December 27, 2015 was approximately 40.2%, compared to an effective tax rate of 37.3% for the nine months ended December 28, 2014. The increase in the effective tax rate for the current year was driven by approximately $0.5 million of income tax expense related to $1.3 million of Stauber acquisition-related expenditures that are not deductible for tax purposes and were recorded as discrete items during the three months ended December 27, 2015. Our effective tax rate for the current year is also increased by income tax expense of $0.2 million related to a preliminary audit finding by a state income tax jurisdiction covering multiple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on our consolidated balance sheet, net of tax,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132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2016 and fiscal 2015.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50" w:right="239" w:bottom="1440" w:gutter="0" w:footer="0" w:header="0"/>
        </w:sectPr>
      </w:pPr>
    </w:p>
    <w:bookmarkStart w:id="13" w:name="page14"/>
    <w:bookmarkEnd w:id="13"/>
    <w:p>
      <w:pPr>
        <w:jc w:val="both"/>
        <w:ind w:right="320"/>
        <w:spacing w:after="0" w:line="264" w:lineRule="auto"/>
        <w:rPr>
          <w:sz w:val="20"/>
          <w:szCs w:val="20"/>
          <w:color w:val="auto"/>
        </w:rPr>
      </w:pPr>
      <w:r>
        <w:rPr>
          <w:rFonts w:ascii="Arial" w:cs="Arial" w:eastAsia="Arial" w:hAnsi="Arial"/>
          <w:sz w:val="18"/>
          <w:szCs w:val="18"/>
          <w:color w:val="auto"/>
        </w:rPr>
        <w:t>becomes available after the applicable fiscal year and will be between zero shares and 44,446 shares in the aggregate for fiscal 2016.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27, 2015:</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37,309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62,241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$0.3 million and $0.9 million for the three and nine months ended December 27, 2015 and December 28, 2014, respectively.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each non-employee director receives an annual grant of restricted stock for their Board of Director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restricted stock awards are expensed over the requisite vesting period, which is one year from the date of issuance, based on the market value on the date of grant. As of December 27, 2015, there were 6,804 shares of restricted stock with a weighted averaged grant date fair value of $36.00 outstanding under this program. Compensation expense for the three and nine months ended December 27, 2015 and December 28, 2014 related to restricted stock awards to the Board was $0.1 million and $0.2 million, respectively.</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The Board previously approved a long-term incentive equity compensation arrangement for our executive officers that provided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of non-qualified stock options that vested at the end of a three-year period. No stock options have been granted since our fiscal year ended March 28, 2010. During fiscal 2015, 9,333 options were exercised with an exercise price of $19.90. No expense was recorded in fiscal 2015 or fiscal 2016 related to the value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nine months ended December 27, 2015, we repurchased 127,852 shares of common stock at aggregate purchase price of $4.8 million. No shares were repurchased during the three months ended December 27, 2015. During fiscal 2015, we repurchased 59,602 shares at an aggregate purchase price of $2.2 million, of which 40,020 shares at an aggregate purchase price of $1.5 million were repurchased during the first nine months of the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13 – Segment Information</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three reportable segments: Industrial, Water Treatment, and Health and Nutrition. Our Health and Nutrition segment was established on December 23, 2015 in connection with the Stauber acquisition discussed in Note 3. Due to the proximity of the acquisition to the end of our three and nine months ended December 27, 2015, no results of operations for this segment are included in the table below other than expenses incurred in connection with the acquisition.</w:t>
      </w:r>
    </w:p>
    <w:p>
      <w:pPr>
        <w:spacing w:after="0" w:line="1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accounting policies of the Industrial and Water Treatment segments are the same as those described in the summary of significant accounting policies as disclosed in our fiscal 2015 Annual Report on Form 10-K. Product costs and expenses for these segments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the newly-formed Health and Nutrition segment,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outside of the United States are immaterial and all assets are located within the United States.</w:t>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20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Health and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5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20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Nutrition</w:t>
            </w:r>
          </w:p>
        </w:tc>
        <w:tc>
          <w:tcPr>
            <w:tcW w:w="36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December 27, 2015: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88,375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14,709</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2,690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Three months ended December 28, 2014:</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83,825</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8,697</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Nine months ended December 27, 2015: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185,260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99,203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284,463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55,255</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2,690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33,019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22,236</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Nine months ended December 28, 2014:</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270,742</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50,260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25,843</w:t>
            </w:r>
          </w:p>
        </w:tc>
      </w:tr>
      <w:tr>
        <w:trPr>
          <w:trHeight w:val="243"/>
        </w:trPr>
        <w:tc>
          <w:tcPr>
            <w:tcW w:w="40" w:type="dxa"/>
            <w:vAlign w:val="bottom"/>
          </w:tcPr>
          <w:p>
            <w:pPr>
              <w:spacing w:after="0"/>
              <w:rPr>
                <w:sz w:val="21"/>
                <w:szCs w:val="21"/>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24,417</w:t>
            </w: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significant changes to identifiable assets by segment occurred during the three and nine months ended December 27, 2015, other than the addition of $189.2 million in assets attributable to our new Health and Nutrition segment as a result of the Stauber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23" w:right="25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nine months ended December 27, 2015 as compared to December 28, 2014. This discussion should be read in conjunction with the Condensed Consolidated Financial Statements and Notes to Condensed Consolidated Financial Statements included in this quarterly report on Form 10-Q and Item 8 of our Annual Report on Form 10-K for the fiscal year ended March 29, 2015 (“fiscal 2015”). References to fiscal 2016 refer to the fiscal year ending April 3,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other specialty products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products, including manufacturing, blending, and repackaging certain products.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December 23, 2015, we acquired Stauber Performance Ingredients (“Stauber”) for $157.0 million on a cash-free, debt-free basis. The total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is estimated at $158.5 million ($155.9 million net of cash acquired), subject to a customary working capital adjustment. We paid $156.0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cash at closing and expect to pay an additional $2.5 million based upon preliminary working capital balances. The purchase was funded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$131.0 million of proceeds from the credit facility described more fully in Note 7 to the condensed consolidated financial statements as well as cash on hand.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Stauber operates out of facilities in New York and California and blends and distributes specialty products and ingredients to the nutritional, food,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pharmaceutical, cosmetic and pet care industries. The acquisition expands our portfolio of value-added specialty products within new markets. Stauber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of approximately $118.0 million for the twelve months ended December 23, 2015. The results of operations since the acquisition date,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assets, including the goodwill associated with the acquisition, will be included in a newly formed Health and Nutrition operating segment, starting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fourth quarter of fiscal 2016. Direct costs of $2.7 million, consisting mainly of professional and consulting fees, were expensed as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 periods ended December 27, 2015, and are classified as selling, general, and administrative expenses in our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18, 2015, we acquired substantially all of the assets of Davis Supply, Inc. (“Davis”) under the terms of an asset purchase agreement with Davis and its shareholders. We paid $4.5 million cash at closing, using available cash on hand to fund the acquisition. Davis was a water treatment chemical distribution company operating in Florida with revenues of approximately $5 million in calendar year 2014. Through this acquisition we added one operating location in Florida and have integrated the remainder of the business into our existing Florida locations. The results of operations after the date of acquisition and the acquired assets are included in our Water Treatment Segment.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October 20, 2014,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58"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nine months ended September 27, 2015, we repurchased 127,852 shares at an aggregate purchase price of $4.8 million. Since the inception of this program, we have repurchased 187,454 shares at an aggregate purchase price of $7.0 million.</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use the last in, first out (“LIFO”) method for valuing a large portion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nominal increase in our LIFO reserve for both the three and nine months ended December 27, 2015. We recorded a $0.3 million increase in our LIFO reserve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for the three months ended December 28, 2014 and a $0.9 million increase in our LIFO reserve for the nine months ended December 28, 2014, both of which decreased our reported gross profit for those periods.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disclose the sales of our bulk commodity products as a percentage of total sales dollars.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27, 2015</w:t>
            </w: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28, 2014</w:t>
            </w: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27, 2015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1"/>
              </w:rPr>
              <w:t>December 28, 2014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December 27, 2015 Compared to the Three Months Ended December 28, 2014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Sales increased $4.6 million, or 5.4%, to $88.4 million for the three months ended December 27, 2015, as compared to $83.8 million for the same period of the prior year. Sales of bulk commodity products accounted for approximately 19% of sales dollars for the three-months ended December 27, 2015 and 22% during the same period of the prior year.</w:t>
      </w:r>
    </w:p>
    <w:p>
      <w:pPr>
        <w:spacing w:after="0" w:line="12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were $59.3 million for the three months ended December 27, 2015, an increase of $1.5 million from $57.8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of the prior year. The growth in sales dollars was driven by increased sales volumes, particularly sales of our products that carry higher per-unit selling prices, partially offset by lower selling prices resulting from lower product costs on certain high volume bulk products.</w:t>
      </w:r>
    </w:p>
    <w:p>
      <w:pPr>
        <w:spacing w:after="0" w:line="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$3.0 million, or 11.7%, to $29.0 million for the three months ended December 27, 2015,</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$26.0 million for the same period of the prior year. Sales at our acquired locations increased by $2.7 million compared to the prior year. The majority of these locations were acquired during the third quarter of fiscal 2015 with additional business acquired late in the second quarter of fiscal 2016. Also contributing to the year-over-year increase was a moderate increase in overall sales volumes at our other locations.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profit was $14.7 million, or 16.6% of sales, for the three months ended December 27, 2015, an increase of $1.1 million from $13.6 million, or 16.3% of sales, for the same period of the prior year. The LIFO method of valuing inventory had a nominal impact on gross profit for the three months ended December 27, 2015 and decreased gross profit by $0.3 million for the three months ended December 28, 2014.</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increased $0.5 million to $7.5 million, or 12.6% of sales, for the three months ended December 27,</w:t>
      </w:r>
      <w:r>
        <w:rPr>
          <w:rFonts w:ascii="Arial" w:cs="Arial" w:eastAsia="Arial" w:hAnsi="Arial"/>
          <w:sz w:val="17"/>
          <w:szCs w:val="17"/>
          <w:i w:val="1"/>
          <w:iCs w:val="1"/>
          <w:color w:val="auto"/>
        </w:rPr>
        <w:t xml:space="preserve"> </w:t>
      </w:r>
      <w:r>
        <w:rPr>
          <w:rFonts w:ascii="Arial" w:cs="Arial" w:eastAsia="Arial" w:hAnsi="Arial"/>
          <w:sz w:val="17"/>
          <w:szCs w:val="17"/>
          <w:color w:val="auto"/>
        </w:rPr>
        <w:t>2015, as compared to $7.0 million, or 12.1% of sales, for the same period of the prior year. The increase in gross profit dollars was driven by an increase in sales volumes year over year, particularly sales of certain products that generate higher per-unit margins. The LIFO method of valuing inventory had a nominal impact on gross profit in the third quarter of the current year but decreased gross profit by $0.3 million in the prior year.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right="8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$0.6 million to $7.2 million, or 24.9% of sales,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2015, as compared to $6.6 million, or 25.5% of sales, for the same period of the prior year. The increase in gross profit dollars was primarily driven by profits from our acquired locations. In addition, product margins at many of our other locations increased year over year on increased volumes, offset somewhat by increased operating expenses. The LIFO method of valuing inventory had a nominal impact on gross profit in the third quarter of the current year and in the prior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Selling, general and administrative (“SG&amp;A”) expenses were $12.8 million, or 14.5% of sales, for the three months ended December 27, 2015, an increase of $4.1 million from $8.7 million, or 10.4% of sales, for the same period of the prior year. We incurred $2.7 million of expenses in connection with the Stauber acquisition, which are included in our Health and Nutrition segment. In our Water Treatment segment, the $0.7 million expense increase was driven by our acquired locations, largely due to the added costs as a result of the Davis acquisition late in the second quarter of fiscal 2016, as well as increased expenses related to additional sales personnel in our other locations. Expenses also increased by $0.7 million in our Industrial segment driven by the addition of sales personnel and other increased wages and benefits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was $1.9 million for the three months ended December 27, 2015, as compared to $4.9 million for the same period of the prior year. Operating income was negatively impacted by the $2.7 million of costs associated with the Stauber acquisition and recorded in our Special Ingredients segment. Operating income in our Industrial segment decreased $0.2 million, and operating income in our Water Treatment segment decreased $0.1 million. Higher gross profit in both of these segments was more than offset by increased SG&amp;A expenses as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effective income tax rate was 56.1% for the three months ended December 27, 2015 compared to 36.6% for the three months ended December 28, 2014. The increase in the effective tax rate for the current year is driven by income tax expense of approximately $0.5 million associated with $1.3 million of Stauber acquisition-related expenditures which are not deductible for tax purposes and were recorded as discrete items during the three months ended December 27, 2015, partially offset by approximately $0.2 million of tax benefit related to other state tax related discrete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also impacted by projected levels of annual taxable income, permanent items, and state taxes.</w:t>
      </w:r>
    </w:p>
    <w:p>
      <w:pPr>
        <w:spacing w:after="0" w:line="225" w:lineRule="exact"/>
        <w:rPr>
          <w:sz w:val="20"/>
          <w:szCs w:val="20"/>
          <w:color w:val="auto"/>
        </w:rPr>
      </w:pPr>
    </w:p>
    <w:p>
      <w:pPr>
        <w:ind w:right="4160"/>
        <w:spacing w:after="0" w:line="438" w:lineRule="auto"/>
        <w:rPr>
          <w:sz w:val="20"/>
          <w:szCs w:val="20"/>
          <w:color w:val="auto"/>
        </w:rPr>
      </w:pPr>
      <w:r>
        <w:rPr>
          <w:rFonts w:ascii="Arial" w:cs="Arial" w:eastAsia="Arial" w:hAnsi="Arial"/>
          <w:sz w:val="18"/>
          <w:szCs w:val="18"/>
          <w:b w:val="1"/>
          <w:bCs w:val="1"/>
          <w:i w:val="1"/>
          <w:iCs w:val="1"/>
          <w:color w:val="auto"/>
        </w:rPr>
        <w:t xml:space="preserve">Nine Months Ended December 27, 2015 Compared to the Nine Months Ended December 28, 2014 </w:t>
      </w:r>
      <w:r>
        <w:rPr>
          <w:rFonts w:ascii="Arial" w:cs="Arial" w:eastAsia="Arial" w:hAnsi="Arial"/>
          <w:sz w:val="18"/>
          <w:szCs w:val="18"/>
          <w:i w:val="1"/>
          <w:iCs w:val="1"/>
          <w:color w:val="auto"/>
        </w:rPr>
        <w:t>Sales</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increased $13.7 million, or 5.1%, to $284.5 million for the nine months ended December 27, 2015, as compared to $270.7 million for the same period of the prior year. Sales of bulk commodity products accounted for approximately 18% of sales dollars for the nine months ended December 27, 2015 and 21% during the same period of the prior fiscal year.</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$185.3 million for the nine months ended December 27, 2015 and $183.3 million for the same period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Our volumes were relatively flat year over year, as a shift in product mix increased sales of products with higher per-unit selling prices, largely offsetting lower sales of certain bulk commodity products at select accounts. In addition, lower selling prices on certain high-volume bulk products resulting from lower product costs negatively impacted sales dollars in the current year.</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$11.8 million, or 13.4%, to $99.2 million, as compared to $87.5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the prior year. Increased year-over-year sales at our locations acquired in fiscal 2015 and fiscal 2016 accounted for $11.1 million of the increase. Also contributing to the year-over-year increase was increased sales volumes at our other locations, partially offset by lower selling prices on certain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Gross profit was $55.3 million, or 19.4% of sales, for the nine months ended December 27, 2015, an increase of $5.0 million from $50.3 million or 18.6% of sales, for the same period of the prior year. The LIFO method of valuing inventory had a nominal impact on gross profit for the nine months ended December 27, 2015 and decreased gross profit by $0.9 million for the nine months ended December 28,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20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$2.6 million to $27.4 million, or 14.8% of sales, for the nine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27, 2015, as compared to $24.7 million, or 13.5% of sales, for the same period of the prior year. While total volumes were relatively flat year over year, increased sales of certain products that generate higher per-unit margins more than offset the impact from decreased volumes of lower-margin bulk commodity products. The LIFO method of valuing inventory had a nominal impact on gross profit in the first nine months of the current year but decreased gross profit by $0.7 million in the prior year.</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$2.4 million to $27.9 million or 28.1% of sales,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2015, as compared to $25.5 million, or 29.2% of sales, for the same period of the prior year. The increase in gross profit dollars was primarily driven by profits from our locations acquired in fiscal 2015 and fiscal 2016. Gross profit as a percentage of sales decreased due to the addition of these new locations that have lower per-branch revenues and the costs to operate represent a higher percentage of their sales than many of our existing branches. In addition, product margins at many of our other locations increased year over year on increased volumes, offset somewhat by increased operating expenses. The LIFO method of valuing inventory had a nominal impact on gross profit in the first nine months of the current year but decreased gross profit by $0.2 million in the same period of the prior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expenses were $33.0 million, or 11.6% of sales, for the nine months ended December 27, 2015 as compared to $25.8 million, or 9.5% of sales, for the same period of the prior year. We incurred $2.7 million of expenses in connection with the Stauber acquisition, which are included in our Health and Nutrition segment. We also incurred incremental expenses related to our locations acquired in fiscal 2015 and fiscal 2016, and added sales personnel in other Water Treatment locations and in our Industrial sales group.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Operating income was $22.2 million for the nine months ended December 27, 2015 as compared to $24.4 million for the same period of the prior year. Operating income was negatively impacted by the $2.7 million of costs associated with the Stauber acquisition and recorded in our Health and Nutrition segment. Operating income for the Industrial segment increased $1.1 million due to the increase in gross profit discussed above, partially offset by higher SG&amp;A expenses. Operating income for the Water Treatment segment decreased $0.6 million, as the increase in gross profit was more than offset by higher SG&amp;A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effective income tax rate was 40.2% for the nine months ended December 27, 2015 and 37.3% for the nine months ended December 28, 2014. During the third quarter of fiscal 2016 we recorded income tax expense of approximately $0.5 million related to $1.3 million of Stauber acquisition-related expenditures which are not deductible for tax purposes. Our effective tax rate for the current year is also negatively impacted by income tax expense of $0.2 million related to a preliminary audit finding by a state income tax jurisdiction covering multiple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Cash provided by operating activities for the nine months ended December 27, 2015 was $23.8 million compared to $17.0 million for the same period of the prior year. The increase in cash provided by operating activities was primarily due to the timing of inventory purchases. Our inventory levels on hand at the end of fiscal 2014 were unusually low, which resulted in significant cash expended to rebuild inventory levels in the first quarter of fiscal 2015.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Cash used in investing activities was $139.0 million for the nine months ended December 27, 2015 compared to $22.7 million for the nine month ended December 28, 2014. We expended $150.8 million of cash, net of cash acquired, to complete the Stauber and Davis acquisitions in fiscal 2016 compared to $10.1 million for the Dumont acquisition during fiscal 2015. Net cash of $28.6 million was provided by sales of investments during the nine months ended December 27, 2015 as we liquidated many of our investments to fund the Stauber acquisition. Capital expenditures were $17.1 million for the nine months ended December 27, 2015, as compared to $10.1 million in the same period of the prior fiscal year. Included in capital expenditures for the first nine months of fiscal 2016 was approximately $5.8 million related to facility improvements, including a major upgrade to one of our terminal facilities, replacement equipment, new and replacement containers, and Water Treatment trucks, and $6.5 million related to business expansion, inventory storage and process improvements.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jc w:val="both"/>
        <w:ind w:right="120"/>
        <w:spacing w:after="0" w:line="264" w:lineRule="auto"/>
        <w:rPr>
          <w:sz w:val="20"/>
          <w:szCs w:val="20"/>
          <w:color w:val="auto"/>
        </w:rPr>
      </w:pPr>
      <w:r>
        <w:rPr>
          <w:rFonts w:ascii="Arial" w:cs="Arial" w:eastAsia="Arial" w:hAnsi="Arial"/>
          <w:sz w:val="18"/>
          <w:szCs w:val="18"/>
          <w:color w:val="auto"/>
        </w:rPr>
        <w:t>Cash provided by financing activities was $117.4 million for the nine months ended December 27, 2015, as compared to cash used in financing activities of $8.9 million in the same period of the prior fiscal year. Proceeds of $131.0 million were received in connection with the credit facility we entered into during the third quarter of fiscal 2016 to fund the Stauber acquisition.</w:t>
      </w:r>
    </w:p>
    <w:p>
      <w:pPr>
        <w:spacing w:after="0" w:line="1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Cash and investments were $23.9 million at December 27, 2015, a decrease of $26.5 million as compared with the $50.4 million available as of March 29, 2015, due to cash outflows related to the Stauber acquisition, capital expenditures, the Davis acquisition, dividend payments and the share repurchase program described above exceeding the cash flows generated from operations during the nine months ended December 27, 2015. The balance of cash and investments at December 27, 2015 includes $7.3 million to fund stock and other acquisition-related compensation paid by Stauber subsequent to the end of our fiscal quarter.</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December 23, 2015, in connection with the Stauber acquisition described more fully in Note 3 to the condensed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Note 7 to the condensed consolidated financial statements, with the balance due at maturity. The Credit Facility is scheduled to terminate on December 23, 2020. The Credit Facility is secured by substantially all of our personal property assets and those of our subsidiaries.</w:t>
      </w:r>
    </w:p>
    <w:p>
      <w:pPr>
        <w:spacing w:after="0" w:line="18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either 0.125%, 0.25% or 0.5%, depending on our leverage ratio. At December 23, 2015, the effective interest rate on our borrowings was 1.9%.</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used $131.0 million of the proceeds from the Credit Facility to fund our acquisition of Stauber. As of December 27, 2015, we had $34.0 million remaining available under the Credit Facility, which may be used for working capital, capital expenditures, restricted payments and acquisitions permitted under the credit agreement, and other general corporate purposes.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will be amortized as interest expense over the term of the credit facility.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Commencing with the fiscal year ending April 3, 2016, the Credit Agreement will require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will be permitted to make distributions, pay dividends and repurchase shares so long as no default or event of default exists or would exist as a result thereof.</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significant accounting policies are set forth in Note 1 to our consolidated financial statements in our Annual Report on Form 10-K for the fiscal year ended March 29, 2015. The accounting policies used in preparing our interim fiscal 2016 condensed consolidated financial statements are the same as those described in our Annual Report. In addition, due to the significance of the estimates, existing assumptions and judgments associated with the acquisition of Stauber, we are providing the following discussion of our critical accounting policy for business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account for acquired businesses using the acquisition method of accounting which requires that the assets acquired and liabilities assumed be recorded at the date of acquisition at their respective fair values. The judgments made in determining the estimated fair value assigned to each class of assets acquired and liabilities assumed, as well as asset lives, can materially impact net income. Accordingly, for significant items, we typically obtain assistance from a third-party valuation expert.</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29, 2015.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December 27, 2015, our investment portfolio included $3.1 million of certificates of deposit and municipal bonds classified as fixed income securities and cash and cash equivalents of $20.8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maturity. Consequently, we do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27, 2015, we had $131.0 million in outstanding borrowings under the Credit Facility. Borrowings under the Credit Facility bear interest at a rate per annum equal to one of the following, plus, in both cases, an applicable margin based upon our leverage ratio: (a) LIBOR for an interest period of one, two, three or six months as selected by us, reset at the end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t>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either 0.125%, 0.25% or 0.5%, depending on our leverage ratio. As a result of the foregoing, changes in interest rates can impact our results of operations and cash flows.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6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acquired Stauber Performance Ingredients on December 23, 2015. In the conduct of our assessment of the effectiveness of our disclosure controls and procedures and internal control over financial reporting for the period ended December 27, 2015, we have excluded total assets of $189.2 million related to Stauber that are included in our condensed consolidated balance sheet as of December 27, 2015. We must include Stauber in the conduct of our assessment of the effectiveness of our disclosure controls and procedures and internal control over financial reporting no later than the third quarter of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584" w:right="29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end of the third fiscal quarter and the beginning of the fourth fiscal quarter, we were named as a defendant in several civil antitrust class action lawsuits filed in the federal District Court in Minnesota. These cases appear to have arisen out of a series of recent federal criminal and civil lawsuits in New Jersey alleging price fixing or bid rigging among manufacturers of aluminum sulfate, or alum. The lawsuits erroneously alleged that Hawkins manufactures alum even though we are only a distributor. Accordingly, after working with the attorneys for the plaintiffs in the various lawsuits, we were dismissed as a defendant in each of the lawsuits in February 2016.</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risk factors are added to the risk factors set forth in the Company’s Form 10-K for the fiscal year ended March 29, 2015, as amended.</w:t>
      </w:r>
    </w:p>
    <w:p>
      <w:pPr>
        <w:spacing w:after="0" w:line="23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Our food and nutritional products are subject to government regulation, both in the United States and abroad, which could increase our costs significantly and limit or prevent the sale of such products.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manufacture, packaging, labeling, advertising, promotion, distribution, and sale of our food and nutritional products are subject to regulation by numerous national and local governmental agencies in the United States and other countries. The primary regulatory bodies in the United States are the Food and Drug Administration (the “FDA”) and the Federal Trade Commission (the “FTC”),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nutritional supplements.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including:</w:t>
      </w:r>
    </w:p>
    <w:p>
      <w:pPr>
        <w:spacing w:after="0" w:line="16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particular, the FDA’s current good manufacturing practices (“GMPs”) describe policies and procedures designed to ensure that nutraceuticals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 procedures, the FDA may take enforcement action against us or our suppliers.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this area. There can be no assurance that the regulatory environment in which we operate will not change or that such regulatory environment, or any specific action taken against us, will not result in a material adverse effect on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40"/>
        <w:spacing w:after="0" w:line="312" w:lineRule="auto"/>
        <w:rPr>
          <w:sz w:val="20"/>
          <w:szCs w:val="20"/>
          <w:color w:val="auto"/>
        </w:rPr>
      </w:pPr>
      <w:r>
        <w:rPr>
          <w:rFonts w:ascii="Arial" w:cs="Arial" w:eastAsia="Arial" w:hAnsi="Arial"/>
          <w:sz w:val="16"/>
          <w:szCs w:val="16"/>
          <w:b w:val="1"/>
          <w:bCs w:val="1"/>
          <w:i w:val="1"/>
          <w:iCs w:val="1"/>
          <w:color w:val="auto"/>
        </w:rPr>
        <w:t>Our food and nutritional business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limit our ability to increase revenue and grow that portion of our business.</w:t>
      </w:r>
    </w:p>
    <w:p>
      <w:pPr>
        <w:spacing w:after="0" w:line="14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Decisions about purchasing made by consumers of our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nutritional supplements may also result in increased regulatory scrutiny of our industry. Adverse publicity may have a material adverse effect on our business, financial condition, results of operations and cash flows. There can be no assurance of future favorable scientific results and media attention or of the absence of unfavorable or inconsistent findings.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entered into a credit facility, and failure to comply with the covenants thereunder may have a material adverse effect.</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December 2015, we entered into a credit agreement (the “Credit Agreement”) with U.S. Bank National Association and other lenders from time to time party thereto (collectively, the “Lenders”), which provides us with senior secured credit facilities (the “Credit Facility”) totaling $165.0 million, consisting of</w:t>
      </w:r>
    </w:p>
    <w:p>
      <w:pPr>
        <w:ind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$100.0 million senior secured term loan credit facility (the “Term Loan Facility”) and (ii) a $65.0 million senior secured revolving loan credit facility (the “Revolving Loan Facility”). The Revolving Loan Facility includes a $5.0 million letter of credit subfacility and $8.0 million swingline subfacility. Loans under the Term Loan Facility will be repaid in quarterly installments on the last day of each fiscal quarter, with $5.0 million to be paid in year one, $7.5 million to be paid in year two, and $10.0 million to be paid in years three through five. The remaining outstanding balance will be repaid in full after five years.</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Credit Facility,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sell or repurchase any shares of our common stock during the third quarter of fiscal 2016. As of December 27, 2015, the maximum number of shares available to be repurchased under the share repurchase program was 112,546.</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tabs>
          <w:tab w:leader="none" w:pos="564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4375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6" w:lineRule="exact"/>
        <w:rPr>
          <w:sz w:val="20"/>
          <w:szCs w:val="20"/>
          <w:color w:val="auto"/>
        </w:rPr>
      </w:pPr>
    </w:p>
    <w:p>
      <w:pPr>
        <w:ind w:left="840" w:right="400" w:hanging="480"/>
        <w:spacing w:after="0" w:line="277" w:lineRule="auto"/>
        <w:tabs>
          <w:tab w:leader="none" w:pos="820" w:val="left"/>
        </w:tabs>
        <w:rPr>
          <w:sz w:val="20"/>
          <w:szCs w:val="20"/>
          <w:color w:val="auto"/>
        </w:rPr>
      </w:pPr>
      <w:r>
        <w:rPr>
          <w:rFonts w:ascii="Arial" w:cs="Arial" w:eastAsia="Arial" w:hAnsi="Arial"/>
          <w:sz w:val="18"/>
          <w:szCs w:val="18"/>
          <w:color w:val="auto"/>
        </w:rPr>
        <w:t>2.1</w:t>
        <w:tab/>
        <w:t>Stock Purchase Agreement, dated November 23, 2015, by and among the Company, SPH Holdings, Inc., the stockholders of SPH Holdings, Inc. listed therein, and ICV Manager, LLC. (1)</w:t>
      </w:r>
    </w:p>
    <w:p>
      <w:pPr>
        <w:spacing w:after="0" w:line="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6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(3)</w:t>
      </w:r>
    </w:p>
    <w:p>
      <w:pPr>
        <w:spacing w:after="0" w:line="63" w:lineRule="exact"/>
        <w:rPr>
          <w:sz w:val="20"/>
          <w:szCs w:val="20"/>
          <w:color w:val="auto"/>
        </w:rPr>
      </w:pPr>
    </w:p>
    <w:p>
      <w:pPr>
        <w:ind w:left="840" w:right="520" w:hanging="570"/>
        <w:spacing w:after="0" w:line="277" w:lineRule="auto"/>
        <w:tabs>
          <w:tab w:leader="none" w:pos="820" w:val="left"/>
        </w:tabs>
        <w:rPr>
          <w:sz w:val="20"/>
          <w:szCs w:val="20"/>
          <w:color w:val="auto"/>
        </w:rPr>
      </w:pPr>
      <w:r>
        <w:rPr>
          <w:rFonts w:ascii="Arial" w:cs="Arial" w:eastAsia="Arial" w:hAnsi="Arial"/>
          <w:sz w:val="18"/>
          <w:szCs w:val="18"/>
          <w:color w:val="auto"/>
        </w:rPr>
        <w:t>10.1</w:t>
        <w:tab/>
        <w:t>Commitment Letter, dated November 23, 2015, by and among the Company, U.S.Bank National Association, and JP Morgan Chase Bank, N.A. (4)</w:t>
      </w:r>
    </w:p>
    <w:p>
      <w:pPr>
        <w:spacing w:after="0" w:line="8"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Credit Agreement dated as of December 23, 2015 among the Company, U.S. Bank National Association, and certain financial institutions. (5)</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840" w:right="200" w:hanging="535"/>
        <w:spacing w:after="0" w:line="293" w:lineRule="auto"/>
        <w:tabs>
          <w:tab w:leader="none" w:pos="84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December 27, 2015 filed with the SEC on February 5, 2016, formatted in Extensible Business Reporting Language (XBRL); (i) the Condensed Consolidated Balance Sheets at December 27, 2015 and March 29, 2015, (ii) the Condensed Consolidated Statements of Income for the Three and Nine Months Ended December 27, 2015 and December 28, 2014, (iii) the Condensed Consolidated Statements of Comprehensive Income for the Three and Nine Months Ended December 27, 2015 and December 28, 2014, (iv) the Condensed Consolidated Statements of Cash Flows for the Nine Months Ended December 27, 2015 and December 28, 2014, and (v) Notes to Condensed Consolidated Financial Statements.</w:t>
      </w:r>
    </w:p>
    <w:p>
      <w:pPr>
        <w:spacing w:after="0" w:line="164" w:lineRule="exact"/>
        <w:rPr>
          <w:rFonts w:ascii="Arial" w:cs="Arial" w:eastAsia="Arial" w:hAnsi="Arial"/>
          <w:sz w:val="16"/>
          <w:szCs w:val="16"/>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2.1 on the Company’s Current Report on Form 8-K dated November 23, 2015.</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November 23,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December 23, 2015.</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584" w:right="33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2016</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580" w:right="439" w:bottom="1440" w:gutter="0" w:footer="0" w:header="0"/>
        </w:sectPr>
      </w:pPr>
    </w:p>
    <w:bookmarkStart w:id="26" w:name="page27"/>
    <w:bookmarkEnd w:id="26"/>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20955</wp:posOffset>
            </wp:positionV>
            <wp:extent cx="445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6" w:lineRule="exact"/>
        <w:rPr>
          <w:sz w:val="20"/>
          <w:szCs w:val="20"/>
          <w:color w:val="auto"/>
        </w:rPr>
      </w:pPr>
    </w:p>
    <w:p>
      <w:pPr>
        <w:ind w:left="700" w:right="60" w:hanging="494"/>
        <w:spacing w:after="0" w:line="277"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November 23, 2015, by and among the Company, SPH Holdings, Inc., the stockholders of SPH Holdings, Inc. listed therein, and ICV Manager, LLC.</w:t>
      </w:r>
    </w:p>
    <w:p>
      <w:pPr>
        <w:spacing w:after="0" w:line="8"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6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700" w:hanging="584"/>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Commitment Letter, dated November 23, 2015, by and among the Company, U.S.Bank National Association, and JP Morgan Chase Bank, N.A.</w:t>
      </w:r>
    </w:p>
    <w:p>
      <w:pPr>
        <w:spacing w:after="0" w:line="8" w:lineRule="exact"/>
        <w:rPr>
          <w:sz w:val="20"/>
          <w:szCs w:val="20"/>
          <w:color w:val="auto"/>
        </w:rPr>
      </w:pPr>
    </w:p>
    <w:p>
      <w:pPr>
        <w:ind w:left="700" w:right="20" w:hanging="584"/>
        <w:spacing w:after="0" w:line="277"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Credit Agreement dated as of December 23, 2015 among the Company, U.S. Bank National Association, and certain financial institutions.</w:t>
      </w:r>
    </w:p>
    <w:p>
      <w:pPr>
        <w:spacing w:after="0" w:line="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right="40" w:hanging="541"/>
        <w:spacing w:after="0" w:line="29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December 27, 2015 filed with the SEC on February 5, 2016, formatted in Extensible Business Reporting Language (XBRL); (i) the Condensed Consolidated Balance Sheets at December 27, 2015 and March 29, 2015, (ii) the Condensed Consolidated Statements of Income for the Three and Nine Months Ended December 27, 2015 and December 28, 2014, (iii) the Condensed Consolidated Statements of Comprehensive Income for the Three and Nine Months Ended December 27, 2015 and December 28, 2014, (iv) the Condensed Consolidated Statements of Cash Flows for the Nine Months Ended December 27, 2015 and December 28, 2014, and (v) Notes to Condensed Consolidated Financial Statements.</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302" w:lineRule="exact"/>
        <w:rPr>
          <w:sz w:val="20"/>
          <w:szCs w:val="20"/>
          <w:color w:val="auto"/>
        </w:rPr>
      </w:pPr>
    </w:p>
    <w:p>
      <w:pPr>
        <w:jc w:val="both"/>
        <w:spacing w:after="0" w:line="382" w:lineRule="auto"/>
        <w:rPr>
          <w:sz w:val="20"/>
          <w:szCs w:val="20"/>
          <w:color w:val="auto"/>
        </w:rPr>
      </w:pPr>
      <w:r>
        <w:rPr>
          <w:rFonts w:ascii="Arial" w:cs="Arial" w:eastAsia="Arial" w:hAnsi="Arial"/>
          <w:sz w:val="16"/>
          <w:szCs w:val="16"/>
          <w:color w:val="auto"/>
        </w:rPr>
        <w:t>Incorporated by Reference Incorporated by Reference Incorporated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ectPr>
          <w:pgSz w:w="11900" w:h="16838" w:orient="portrait"/>
          <w:cols w:equalWidth="0" w:num="2">
            <w:col w:w="8580" w:space="480"/>
            <w:col w:w="1920"/>
          </w:cols>
          <w:pgMar w:left="400" w:top="580" w:right="5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27, 2015,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2016</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27, 2015,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decimal"/>
      <w:start w:val="1"/>
    </w:lvl>
    <w:lvl w:ilvl="1">
      <w:lvlJc w:val="left"/>
      <w:lvlText w:val="%2"/>
      <w:numFmt w:val="decimal"/>
      <w:start w:val="101"/>
    </w:lvl>
  </w:abstractNum>
  <w:abstractNum w:abstractNumId="4">
    <w:nsid w:val="2EB141F2"/>
    <w:multiLevelType w:val="hybridMultilevel"/>
    <w:lvl w:ilvl="0">
      <w:lvlJc w:val="left"/>
      <w:lvlText w:val="(%1)"/>
      <w:numFmt w:val="decimal"/>
      <w:start w:val="1"/>
    </w:lvl>
    <w:lvl w:ilvl="1">
      <w:lvlJc w:val="left"/>
      <w:lvlText w:val="%2"/>
      <w:numFmt w:val="decimal"/>
      <w:start w:val="1"/>
    </w:lvl>
  </w:abstractNum>
  <w:abstractNum w:abstractNumId="5">
    <w:nsid w:val="41B71EFB"/>
    <w:multiLevelType w:val="hybridMultilevel"/>
    <w:lvl w:ilvl="0">
      <w:lvlJc w:val="left"/>
      <w:lvlText w:val="%1"/>
      <w:numFmt w:val="decimal"/>
      <w:start w:val="10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2019-12-29T13:30:38Z</dcterms:created>
  <dcterms:modified xsi:type="dcterms:W3CDTF">2019-12-29T13:30:38Z</dcterms:modified>
</cp:coreProperties>
</file>