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__________________________</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 INFORMATION</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 (Amendment No.___)</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1" w:lineRule="exact"/>
        <w:rPr>
          <w:rFonts w:ascii="Arial" w:cs="Arial" w:eastAsia="Arial" w:hAnsi="Arial"/>
          <w:sz w:val="18"/>
          <w:szCs w:val="18"/>
          <w:color w:val="auto"/>
        </w:rPr>
      </w:pPr>
    </w:p>
    <w:p>
      <w:pPr>
        <w:ind w:right="5500" w:firstLine="8"/>
        <w:spacing w:after="0" w:line="422"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86360</wp:posOffset>
            </wp:positionV>
            <wp:extent cx="3644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173990</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32"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65"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000" w:hanging="326"/>
        <w:spacing w:after="0" w:line="268" w:lineRule="auto"/>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8"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360" w:right="800" w:hanging="352"/>
        <w:spacing w:after="0" w:line="332"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9" w:lineRule="exact"/>
        <w:rPr>
          <w:rFonts w:ascii="Arial" w:cs="Arial" w:eastAsia="Arial" w:hAnsi="Arial"/>
          <w:sz w:val="16"/>
          <w:szCs w:val="16"/>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000" w:hanging="326"/>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78050" cy="1080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080770"/>
                    </a:xfrm>
                    <a:prstGeom prst="rect">
                      <a:avLst/>
                    </a:prstGeom>
                    <a:noFill/>
                  </pic:spPr>
                </pic:pic>
              </a:graphicData>
            </a:graphic>
          </wp:anchor>
        </w:drawing>
      </w: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August 5,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Meeting of Shareholders of Hawkins, Inc. will be held at the Midland Hills Country Club, 2001 Fulham Street, Roseville, Minnesota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Wednesday, August 5, 2009, at 10:00 a.m., Central Daylight Time, for the following purposes:</w:t>
      </w:r>
    </w:p>
    <w:p>
      <w:pPr>
        <w:spacing w:after="0" w:line="232"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Board of Directors has fixed the close of business on July 2, 2009 as the record date for determining the shareholders entitled to vote at the Annual Meeting. Accordingly, only shareholders of record at the close of business on that date will be entitled to vote. Our transfer books will not be closed.</w:t>
      </w:r>
    </w:p>
    <w:p>
      <w:pPr>
        <w:spacing w:after="0" w:line="1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July 9, 2009</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56083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8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144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9, 2009</w:t>
      </w:r>
    </w:p>
    <w:p>
      <w:pPr>
        <w:spacing w:after="0" w:line="231"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following statement is furnished in connection with the solicitation of proxies by our Board of Directors to be voted at the Annual Meeting of Shareholders (the “Annual Meeting”) to be held on Wednesday, August 5, 2009 at the Midland Hills Country Club, 2001 Fulham Street, Roseville, Minnesota, at 10:00 a.m., Central Daylight Time, and at any adjournments of such meeting. Distribution of this Proxy Statement and proxy to shareholders began on or about July 9, 2009.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SOLICITATION</w:t>
      </w:r>
    </w:p>
    <w:p>
      <w:pPr>
        <w:spacing w:after="0" w:line="225"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REVOCATION AND VOTING OF PROXY</w:t>
      </w:r>
    </w:p>
    <w:p>
      <w:pPr>
        <w:spacing w:after="0" w:line="225" w:lineRule="exact"/>
        <w:rPr>
          <w:sz w:val="20"/>
          <w:szCs w:val="20"/>
          <w:color w:val="auto"/>
        </w:rPr>
      </w:pPr>
    </w:p>
    <w:p>
      <w:pPr>
        <w:ind w:right="120" w:firstLine="429"/>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197"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Unless otherwise directed in the accompanying proxy, the persons named therein will vote FOR the nominees for director as set forth in this Proxy Statement. Our management is not aware of any other business that will, or is likely to, come before the meeting. If any other business does properly come before the meeting, the persons named in the accompanying proxy will vote in accordance with their judgment as to what is in our Company’s best interests.</w:t>
      </w:r>
    </w:p>
    <w:p>
      <w:pPr>
        <w:spacing w:after="0" w:line="161" w:lineRule="exact"/>
        <w:rPr>
          <w:sz w:val="20"/>
          <w:szCs w:val="20"/>
          <w:color w:val="auto"/>
        </w:rPr>
      </w:pPr>
    </w:p>
    <w:p>
      <w:pPr>
        <w:ind w:right="40" w:firstLine="429"/>
        <w:spacing w:after="0" w:line="298" w:lineRule="auto"/>
        <w:rPr>
          <w:sz w:val="20"/>
          <w:szCs w:val="20"/>
          <w:color w:val="auto"/>
        </w:rPr>
      </w:pPr>
      <w:r>
        <w:rPr>
          <w:rFonts w:ascii="Arial" w:cs="Arial" w:eastAsia="Arial" w:hAnsi="Arial"/>
          <w:sz w:val="16"/>
          <w:szCs w:val="16"/>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 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pacing w:after="0" w:line="167" w:lineRule="exact"/>
        <w:rPr>
          <w:sz w:val="20"/>
          <w:szCs w:val="20"/>
          <w:color w:val="auto"/>
        </w:rPr>
      </w:pPr>
    </w:p>
    <w:p>
      <w:pPr>
        <w:ind w:firstLine="429"/>
        <w:spacing w:after="0" w:line="253" w:lineRule="auto"/>
        <w:rPr>
          <w:sz w:val="20"/>
          <w:szCs w:val="20"/>
          <w:color w:val="auto"/>
        </w:rPr>
      </w:pPr>
      <w:r>
        <w:rPr>
          <w:rFonts w:ascii="Arial" w:cs="Arial" w:eastAsia="Arial" w:hAnsi="Arial"/>
          <w:sz w:val="18"/>
          <w:szCs w:val="18"/>
          <w:color w:val="auto"/>
        </w:rPr>
        <w:t>A “broker non-vote” occurs when a bank, broker or other holder of record holding shares for a beneficial owner does not vote on a particular proposal because that holder did not receive instructions from the beneficial owner and does not have discretionary voting power for that particular item under the New York Stock Exchange (“NYSE”) rules that generally apply to such record holders notwithstanding the fact that our shares are traded on The NASDAQ Global Market. If you are a beneficial owner, your bank, broker or other holder of record is permitted under the NYSE rules to vote your shares on routine matters, which include the election of directors, even if your record holder does not receive voting instructions from you. Without your voting instructions on a non-routine proposal, however, a broker non-vote will occur for that proposal. Our Board of Directors is not soliciting proxies for any non-routine proposals in connection with this year’s Annual Meeting.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OUTSTANDING SHARES AND VOTING RIGHTS</w:t>
      </w:r>
    </w:p>
    <w:p>
      <w:pPr>
        <w:spacing w:after="0" w:line="225" w:lineRule="exact"/>
        <w:rPr>
          <w:sz w:val="20"/>
          <w:szCs w:val="20"/>
          <w:color w:val="auto"/>
        </w:rPr>
      </w:pPr>
    </w:p>
    <w:p>
      <w:pPr>
        <w:ind w:right="80" w:firstLine="429"/>
        <w:spacing w:after="0" w:line="259" w:lineRule="auto"/>
        <w:rPr>
          <w:sz w:val="20"/>
          <w:szCs w:val="20"/>
          <w:color w:val="auto"/>
        </w:rPr>
      </w:pPr>
      <w:r>
        <w:rPr>
          <w:rFonts w:ascii="Arial" w:cs="Arial" w:eastAsia="Arial" w:hAnsi="Arial"/>
          <w:sz w:val="18"/>
          <w:szCs w:val="18"/>
          <w:color w:val="auto"/>
        </w:rPr>
        <w:t>At the close of business on July 2, 2009, the record date, there were 10,276,458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22"/>
          <w:szCs w:val="22"/>
          <w:b w:val="1"/>
          <w:bCs w:val="1"/>
          <w:color w:val="auto"/>
        </w:rPr>
        <w:t>ELECTION OF DIRECTORS</w:t>
      </w:r>
    </w:p>
    <w:p>
      <w:pPr>
        <w:spacing w:after="0" w:line="226" w:lineRule="exact"/>
        <w:rPr>
          <w:sz w:val="20"/>
          <w:szCs w:val="20"/>
          <w:color w:val="auto"/>
        </w:rPr>
      </w:pPr>
    </w:p>
    <w:p>
      <w:pPr>
        <w:ind w:right="100" w:firstLine="429"/>
        <w:spacing w:after="0" w:line="290" w:lineRule="auto"/>
        <w:rPr>
          <w:sz w:val="20"/>
          <w:szCs w:val="20"/>
          <w:color w:val="auto"/>
        </w:rPr>
      </w:pPr>
      <w:r>
        <w:rPr>
          <w:rFonts w:ascii="Arial" w:cs="Arial" w:eastAsia="Arial" w:hAnsi="Arial"/>
          <w:sz w:val="16"/>
          <w:szCs w:val="16"/>
          <w:color w:val="auto"/>
        </w:rPr>
        <w:t>At the Annual Meeting, seven persons are to be elected to our Board of Directors, each to hold office for the ensuing year and until his successor is duly elected and qualified. Our By-laws provide for a Board of Directors of not fewer than three nor more than eleven directors. By resolution, our Board of Directors, has decreased the size of the Board to seven members, effective as of the Annual Meeting. Our By-laws provide that the nominees must be elected by the affirmative vote of the holders of a majority of the voting power of the shares represented at the meeting (whether in person or by proxy). Abstentions and withhold votes have the effect of a vote against the nominees.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72"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Of our current directors, James A. Faulconbridge, John R. Hawkins, Duane M. Jergenson, John S. McKeon, Daryl I. Skaar, James T. Thompson and Jeffrey L. Wright have been nominated for election to the Board of Directors.</w:t>
      </w:r>
    </w:p>
    <w:p>
      <w:pPr>
        <w:spacing w:after="0" w:line="180" w:lineRule="exact"/>
        <w:rPr>
          <w:sz w:val="20"/>
          <w:szCs w:val="20"/>
          <w:color w:val="auto"/>
        </w:rPr>
      </w:pPr>
    </w:p>
    <w:p>
      <w:pPr>
        <w:ind w:right="580" w:firstLine="439"/>
        <w:spacing w:after="0" w:line="275"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231"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June 30, 2009, including the principal occupation or employment of each director nominee, has been furnished to us by the respective director nominees. All positions are with our Company unless otherwise noted.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5"/>
                <w:szCs w:val="15"/>
                <w:color w:val="auto"/>
              </w:rPr>
            </w:pPr>
          </w:p>
        </w:tc>
        <w:tc>
          <w:tcPr>
            <w:tcW w:w="5700" w:type="dxa"/>
            <w:vAlign w:val="bottom"/>
          </w:tcPr>
          <w:p>
            <w:pPr>
              <w:jc w:val="right"/>
              <w:ind w:right="1692"/>
              <w:spacing w:after="0"/>
              <w:rPr>
                <w:sz w:val="20"/>
                <w:szCs w:val="20"/>
                <w:color w:val="auto"/>
              </w:rPr>
            </w:pPr>
            <w:r>
              <w:rPr>
                <w:rFonts w:ascii="Arial" w:cs="Arial" w:eastAsia="Arial" w:hAnsi="Arial"/>
                <w:sz w:val="14"/>
                <w:szCs w:val="14"/>
                <w:b w:val="1"/>
                <w:bCs w:val="1"/>
                <w:color w:val="auto"/>
              </w:rPr>
              <w:t>Principal Occupation or Employment</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880" w:type="dxa"/>
            <w:vAlign w:val="bottom"/>
            <w:gridSpan w:val="2"/>
          </w:tcPr>
          <w:p>
            <w:pPr>
              <w:spacing w:after="0"/>
              <w:rPr>
                <w:sz w:val="8"/>
                <w:szCs w:val="8"/>
                <w:color w:val="auto"/>
              </w:rPr>
            </w:pPr>
          </w:p>
        </w:tc>
        <w:tc>
          <w:tcPr>
            <w:tcW w:w="1040" w:type="dxa"/>
            <w:vAlign w:val="bottom"/>
            <w:gridSpan w:val="2"/>
          </w:tcPr>
          <w:p>
            <w:pPr>
              <w:spacing w:after="0"/>
              <w:rPr>
                <w:sz w:val="8"/>
                <w:szCs w:val="8"/>
                <w:color w:val="auto"/>
              </w:rPr>
            </w:pPr>
          </w:p>
        </w:tc>
        <w:tc>
          <w:tcPr>
            <w:tcW w:w="1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5"/>
              </w:rPr>
              <w:t>Chairman of the Board since 2005; Retired; President and Chief Operating</w:t>
            </w:r>
          </w:p>
        </w:tc>
        <w:tc>
          <w:tcPr>
            <w:tcW w:w="1040" w:type="dxa"/>
            <w:vAlign w:val="bottom"/>
            <w:gridSpan w:val="2"/>
            <w:shd w:val="clear" w:color="auto" w:fill="D6F3E8"/>
          </w:tcPr>
          <w:p>
            <w:pPr>
              <w:jc w:val="center"/>
              <w:ind w:left="92"/>
              <w:spacing w:after="0"/>
              <w:rPr>
                <w:sz w:val="20"/>
                <w:szCs w:val="20"/>
                <w:color w:val="auto"/>
              </w:rPr>
            </w:pPr>
            <w:r>
              <w:rPr>
                <w:rFonts w:ascii="Arial" w:cs="Arial" w:eastAsia="Arial" w:hAnsi="Arial"/>
                <w:sz w:val="18"/>
                <w:szCs w:val="18"/>
                <w:color w:val="auto"/>
                <w:w w:val="89"/>
              </w:rPr>
              <w:t>64</w:t>
            </w:r>
          </w:p>
        </w:tc>
        <w:tc>
          <w:tcPr>
            <w:tcW w:w="1400" w:type="dxa"/>
            <w:vAlign w:val="bottom"/>
            <w:gridSpan w:val="2"/>
            <w:shd w:val="clear" w:color="auto" w:fill="D6F3E8"/>
          </w:tcPr>
          <w:p>
            <w:pPr>
              <w:jc w:val="center"/>
              <w:ind w:left="112"/>
              <w:spacing w:after="0"/>
              <w:rPr>
                <w:sz w:val="20"/>
                <w:szCs w:val="20"/>
                <w:color w:val="auto"/>
              </w:rPr>
            </w:pPr>
            <w:r>
              <w:rPr>
                <w:rFonts w:ascii="Arial" w:cs="Arial" w:eastAsia="Arial" w:hAnsi="Arial"/>
                <w:sz w:val="18"/>
                <w:szCs w:val="18"/>
                <w:color w:val="auto"/>
                <w:w w:val="89"/>
              </w:rPr>
              <w:t>1984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7"/>
              </w:rPr>
              <w:t>Officer of ConAgra Foods, Inc. Venture Development Group from 2003 to</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2"/>
              </w:rPr>
              <w:t>2005; President and Chief Operating Officer of ConAgra Foods Snack Group</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2"/>
              </w:rPr>
              <w:t>(formerly Golden Valley Microwave Foods, Inc.) from 1993 to 2003; President</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2"/>
              </w:rPr>
              <w:t>of McKeon Associates, Inc. (corporate finance consulting) from 1991 to 1993;</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D6F3E8"/>
          </w:tcPr>
          <w:p>
            <w:pPr>
              <w:spacing w:after="0"/>
              <w:rPr>
                <w:sz w:val="19"/>
                <w:szCs w:val="19"/>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Vice President of Northstar Industries, Inc. from 1976 to 1990.</w:t>
            </w: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200" w:type="dxa"/>
            <w:vAlign w:val="bottom"/>
            <w:shd w:val="clear" w:color="auto" w:fill="D6F3E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10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91"/>
              </w:rPr>
              <w:t>Chief Executive Officer since 2000; Chairman of the Board from 2000 to 2005;</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57</w:t>
            </w:r>
          </w:p>
        </w:tc>
        <w:tc>
          <w:tcPr>
            <w:tcW w:w="14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1989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89"/>
              </w:rPr>
              <w:t>President from 1998 to 2000; Executive Vice President from 1997 to 1998; Vice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President of Sales from 1987 to 1997; Secretary from 1991 to 1999.</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080" w:type="dxa"/>
            <w:vAlign w:val="bottom"/>
          </w:tcPr>
          <w:p>
            <w:pPr>
              <w:spacing w:after="0"/>
              <w:rPr>
                <w:sz w:val="13"/>
                <w:szCs w:val="13"/>
                <w:color w:val="auto"/>
              </w:rPr>
            </w:pPr>
          </w:p>
        </w:tc>
        <w:tc>
          <w:tcPr>
            <w:tcW w:w="5880" w:type="dxa"/>
            <w:vAlign w:val="bottom"/>
            <w:gridSpan w:val="2"/>
          </w:tcPr>
          <w:p>
            <w:pPr>
              <w:spacing w:after="0"/>
              <w:rPr>
                <w:sz w:val="13"/>
                <w:szCs w:val="13"/>
                <w:color w:val="auto"/>
              </w:rPr>
            </w:pPr>
          </w:p>
        </w:tc>
        <w:tc>
          <w:tcPr>
            <w:tcW w:w="104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2"/>
              </w:rPr>
              <w:t>Principal of Kargas-Faulconbridge (engineering and technical services) since</w:t>
            </w:r>
          </w:p>
        </w:tc>
        <w:tc>
          <w:tcPr>
            <w:tcW w:w="1040" w:type="dxa"/>
            <w:vAlign w:val="bottom"/>
            <w:gridSpan w:val="2"/>
            <w:shd w:val="clear" w:color="auto" w:fill="D6F3E8"/>
          </w:tcPr>
          <w:p>
            <w:pPr>
              <w:jc w:val="center"/>
              <w:ind w:left="92"/>
              <w:spacing w:after="0"/>
              <w:rPr>
                <w:sz w:val="20"/>
                <w:szCs w:val="20"/>
                <w:color w:val="auto"/>
              </w:rPr>
            </w:pPr>
            <w:r>
              <w:rPr>
                <w:rFonts w:ascii="Arial" w:cs="Arial" w:eastAsia="Arial" w:hAnsi="Arial"/>
                <w:sz w:val="18"/>
                <w:szCs w:val="18"/>
                <w:color w:val="auto"/>
                <w:w w:val="89"/>
              </w:rPr>
              <w:t>41</w:t>
            </w:r>
          </w:p>
        </w:tc>
        <w:tc>
          <w:tcPr>
            <w:tcW w:w="1400" w:type="dxa"/>
            <w:vAlign w:val="bottom"/>
            <w:gridSpan w:val="2"/>
            <w:shd w:val="clear" w:color="auto" w:fill="D6F3E8"/>
          </w:tcPr>
          <w:p>
            <w:pPr>
              <w:jc w:val="center"/>
              <w:ind w:left="112"/>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D6F3E8"/>
          </w:tcPr>
          <w:p>
            <w:pPr>
              <w:spacing w:after="0"/>
              <w:rPr>
                <w:sz w:val="19"/>
                <w:szCs w:val="19"/>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1996.</w:t>
            </w: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200" w:type="dxa"/>
            <w:vAlign w:val="bottom"/>
            <w:shd w:val="clear" w:color="auto" w:fill="D6F3E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10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90"/>
              </w:rPr>
              <w:t>Retired; Vice President of Operations of Taylor Corporation from 1985 to 1999;</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62</w:t>
            </w:r>
          </w:p>
        </w:tc>
        <w:tc>
          <w:tcPr>
            <w:tcW w:w="14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1996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various positions with Taylor Corporation from 1966 to 1985.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080" w:type="dxa"/>
            <w:vAlign w:val="bottom"/>
          </w:tcPr>
          <w:p>
            <w:pPr>
              <w:spacing w:after="0"/>
              <w:rPr>
                <w:sz w:val="13"/>
                <w:szCs w:val="13"/>
                <w:color w:val="auto"/>
              </w:rPr>
            </w:pPr>
          </w:p>
        </w:tc>
        <w:tc>
          <w:tcPr>
            <w:tcW w:w="5880" w:type="dxa"/>
            <w:vAlign w:val="bottom"/>
            <w:gridSpan w:val="2"/>
          </w:tcPr>
          <w:p>
            <w:pPr>
              <w:spacing w:after="0"/>
              <w:rPr>
                <w:sz w:val="13"/>
                <w:szCs w:val="13"/>
                <w:color w:val="auto"/>
              </w:rPr>
            </w:pPr>
          </w:p>
        </w:tc>
        <w:tc>
          <w:tcPr>
            <w:tcW w:w="104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Daryl I. Skaar</w:t>
            </w: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91"/>
              </w:rPr>
              <w:t>Retired; Vice President and Chief Procurement Officer of Lucent Technologies</w:t>
            </w:r>
          </w:p>
        </w:tc>
        <w:tc>
          <w:tcPr>
            <w:tcW w:w="1040" w:type="dxa"/>
            <w:vAlign w:val="bottom"/>
            <w:gridSpan w:val="2"/>
            <w:shd w:val="clear" w:color="auto" w:fill="D6F3E8"/>
          </w:tcPr>
          <w:p>
            <w:pPr>
              <w:jc w:val="center"/>
              <w:ind w:left="92"/>
              <w:spacing w:after="0"/>
              <w:rPr>
                <w:sz w:val="20"/>
                <w:szCs w:val="20"/>
                <w:color w:val="auto"/>
              </w:rPr>
            </w:pPr>
            <w:r>
              <w:rPr>
                <w:rFonts w:ascii="Arial" w:cs="Arial" w:eastAsia="Arial" w:hAnsi="Arial"/>
                <w:sz w:val="18"/>
                <w:szCs w:val="18"/>
                <w:color w:val="auto"/>
                <w:w w:val="89"/>
              </w:rPr>
              <w:t>67</w:t>
            </w:r>
          </w:p>
        </w:tc>
        <w:tc>
          <w:tcPr>
            <w:tcW w:w="1400" w:type="dxa"/>
            <w:vAlign w:val="bottom"/>
            <w:gridSpan w:val="2"/>
            <w:shd w:val="clear" w:color="auto" w:fill="D6F3E8"/>
          </w:tcPr>
          <w:p>
            <w:pPr>
              <w:jc w:val="center"/>
              <w:ind w:left="112"/>
              <w:spacing w:after="0"/>
              <w:rPr>
                <w:sz w:val="20"/>
                <w:szCs w:val="20"/>
                <w:color w:val="auto"/>
              </w:rPr>
            </w:pPr>
            <w:r>
              <w:rPr>
                <w:rFonts w:ascii="Arial" w:cs="Arial" w:eastAsia="Arial" w:hAnsi="Arial"/>
                <w:sz w:val="18"/>
                <w:szCs w:val="18"/>
                <w:color w:val="auto"/>
                <w:w w:val="89"/>
              </w:rPr>
              <w:t>2001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w w:val="89"/>
              </w:rPr>
              <w:t>from 1997 to 2000; various positions at 3M from 1965 to 1997, most recently as</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D6F3E8"/>
          </w:tcPr>
          <w:p>
            <w:pPr>
              <w:spacing w:after="0"/>
              <w:rPr>
                <w:sz w:val="19"/>
                <w:szCs w:val="19"/>
                <w:color w:val="auto"/>
              </w:rPr>
            </w:pPr>
          </w:p>
        </w:tc>
        <w:tc>
          <w:tcPr>
            <w:tcW w:w="5880" w:type="dxa"/>
            <w:vAlign w:val="bottom"/>
            <w:gridSpan w:val="2"/>
            <w:shd w:val="clear" w:color="auto" w:fill="D6F3E8"/>
          </w:tcPr>
          <w:p>
            <w:pPr>
              <w:ind w:left="180"/>
              <w:spacing w:after="0"/>
              <w:rPr>
                <w:sz w:val="20"/>
                <w:szCs w:val="20"/>
                <w:color w:val="auto"/>
              </w:rPr>
            </w:pPr>
            <w:r>
              <w:rPr>
                <w:rFonts w:ascii="Arial" w:cs="Arial" w:eastAsia="Arial" w:hAnsi="Arial"/>
                <w:sz w:val="18"/>
                <w:szCs w:val="18"/>
                <w:color w:val="auto"/>
              </w:rPr>
              <w:t>Vice President of Purchasing and Packaging Engineering.</w:t>
            </w: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200" w:type="dxa"/>
            <w:vAlign w:val="bottom"/>
            <w:shd w:val="clear" w:color="auto" w:fill="D6F3E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10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91"/>
              </w:rPr>
              <w:t>Retired; Executive Vice President—Commercial of The Mosaic Company from</w:t>
            </w:r>
          </w:p>
        </w:tc>
        <w:tc>
          <w:tcPr>
            <w:tcW w:w="10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58</w:t>
            </w:r>
          </w:p>
        </w:tc>
        <w:tc>
          <w:tcPr>
            <w:tcW w:w="14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89"/>
              </w:rPr>
              <w:t>2004 to 2007; various positions at Cargill, Inc. from 1974 to 2004, most recently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rPr>
              <w:t>as President of Cargill Steel from 1996 to 2004.</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880" w:type="dxa"/>
            <w:vAlign w:val="bottom"/>
            <w:gridSpan w:val="2"/>
          </w:tcPr>
          <w:p>
            <w:pPr>
              <w:jc w:val="right"/>
              <w:ind w:right="315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30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57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174"/>
        </w:trPr>
        <w:tc>
          <w:tcPr>
            <w:tcW w:w="310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5"/>
                <w:szCs w:val="15"/>
                <w:color w:val="auto"/>
              </w:rPr>
            </w:pPr>
          </w:p>
        </w:tc>
        <w:tc>
          <w:tcPr>
            <w:tcW w:w="5700" w:type="dxa"/>
            <w:vAlign w:val="bottom"/>
          </w:tcPr>
          <w:p>
            <w:pPr>
              <w:ind w:left="1760"/>
              <w:spacing w:after="0"/>
              <w:rPr>
                <w:sz w:val="20"/>
                <w:szCs w:val="20"/>
                <w:color w:val="auto"/>
              </w:rPr>
            </w:pPr>
            <w:r>
              <w:rPr>
                <w:rFonts w:ascii="Arial" w:cs="Arial" w:eastAsia="Arial" w:hAnsi="Arial"/>
                <w:sz w:val="14"/>
                <w:szCs w:val="14"/>
                <w:b w:val="1"/>
                <w:bCs w:val="1"/>
                <w:color w:val="auto"/>
              </w:rPr>
              <w:t>Principal Occupation or Employment</w:t>
            </w:r>
          </w:p>
        </w:tc>
        <w:tc>
          <w:tcPr>
            <w:tcW w:w="200" w:type="dxa"/>
            <w:vAlign w:val="bottom"/>
          </w:tcPr>
          <w:p>
            <w:pPr>
              <w:spacing w:after="0"/>
              <w:rPr>
                <w:sz w:val="15"/>
                <w:szCs w:val="15"/>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r>
      <w:tr>
        <w:trPr>
          <w:trHeight w:val="95"/>
        </w:trPr>
        <w:tc>
          <w:tcPr>
            <w:tcW w:w="3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ind w:left="3280" w:right="440" w:hanging="3281"/>
        <w:spacing w:after="0" w:line="254" w:lineRule="auto"/>
        <w:tabs>
          <w:tab w:leader="none" w:pos="3260" w:val="left"/>
        </w:tabs>
        <w:rPr>
          <w:sz w:val="20"/>
          <w:szCs w:val="20"/>
          <w:color w:val="auto"/>
        </w:rPr>
      </w:pPr>
      <w:r>
        <w:rPr>
          <w:rFonts w:ascii="Arial" w:cs="Arial" w:eastAsia="Arial" w:hAnsi="Arial"/>
          <w:sz w:val="18"/>
          <w:szCs w:val="18"/>
          <w:color w:val="auto"/>
        </w:rPr>
        <w:t>Jeffrey L. Wright</w:t>
      </w:r>
      <w:r>
        <w:rPr>
          <w:sz w:val="20"/>
          <w:szCs w:val="20"/>
          <w:color w:val="auto"/>
        </w:rPr>
        <w:tab/>
      </w:r>
      <w:r>
        <w:rPr>
          <w:rFonts w:ascii="Arial" w:cs="Arial" w:eastAsia="Arial" w:hAnsi="Arial"/>
          <w:sz w:val="18"/>
          <w:szCs w:val="18"/>
          <w:color w:val="auto"/>
        </w:rPr>
        <w:t>G&amp;K Services, Inc. – Chief Financial Officer since 1999, Executive Vice 46 2009 President and Director since May 2009, Senior Vice President from 2004 to</w:t>
      </w:r>
    </w:p>
    <w:p>
      <w:pPr>
        <w:ind w:left="3280"/>
        <w:spacing w:after="0"/>
        <w:rPr>
          <w:sz w:val="20"/>
          <w:szCs w:val="20"/>
          <w:color w:val="auto"/>
        </w:rPr>
      </w:pPr>
      <w:r>
        <w:rPr>
          <w:rFonts w:ascii="Arial" w:cs="Arial" w:eastAsia="Arial" w:hAnsi="Arial"/>
          <w:sz w:val="18"/>
          <w:szCs w:val="18"/>
          <w:color w:val="auto"/>
        </w:rPr>
        <w:t>2009, Treasurer and Secretary from 1999 to 2003; BMC Industries, Inc. –</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Treasurer from 1998 to 1999, Controller from 1996 to 1998; various positions at</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Employee Benefit Plans, Inc. from 1993 to 1996, most recently as Vice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President and Treasurer; employed by Arthur Andersen &amp; Co. from 1984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1993.</w:t>
      </w:r>
    </w:p>
    <w:p>
      <w:pPr>
        <w:spacing w:after="0" w:line="219" w:lineRule="exact"/>
        <w:rPr>
          <w:sz w:val="20"/>
          <w:szCs w:val="20"/>
          <w:color w:val="auto"/>
        </w:rPr>
      </w:pPr>
    </w:p>
    <w:p>
      <w:pPr>
        <w:ind w:right="120" w:firstLine="439"/>
        <w:spacing w:after="0" w:line="332" w:lineRule="auto"/>
        <w:rPr>
          <w:sz w:val="20"/>
          <w:szCs w:val="20"/>
          <w:color w:val="auto"/>
        </w:rPr>
      </w:pPr>
      <w:r>
        <w:rPr>
          <w:rFonts w:ascii="Arial" w:cs="Arial" w:eastAsia="Arial" w:hAnsi="Arial"/>
          <w:sz w:val="16"/>
          <w:szCs w:val="16"/>
          <w:color w:val="auto"/>
        </w:rPr>
        <w:t>Our Board of Directors appointed Messrs. Thompson and Wright to the Board of Directors after the 2008 Annual Meeting of Shareholders. Mr. Thompson was referred to us by a member of the board and Mr. Wright was referred to us by a third party who received no compensation for the referral.</w:t>
      </w:r>
    </w:p>
    <w:p>
      <w:pPr>
        <w:spacing w:after="0" w:line="139"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Howard M. Hawkins, a director whose term expires at the Annual Meeting, is the brother of John R. Hawkins. There are no other family relationships between any of our directors, executive officers, or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Our Board of Directors has determined that, of the director nominees, each of James A. Faulconbridge, Duane M. Jergenson, Daryl I. Skaar, James T. Thompson and Jeffrey L. Wright are “Independent Directors” as that term is defined under the applicable independence listing standards of the NASDAQ Stock Market. Accordingly, a majority of our directors are independent.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CORPORATE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Our Board of Directors held seven meetings in fiscal 2009. All directors attended at least 75% of the meetings of our Board of Directors and the committees on which they served. All directors attended our Annual Meeting of Shareholders in 2008. Our Board of Directors encourages, but does not require, director attendance at annual meetings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220" w:firstLine="436"/>
        <w:spacing w:after="0" w:line="298" w:lineRule="auto"/>
        <w:rPr>
          <w:sz w:val="20"/>
          <w:szCs w:val="20"/>
          <w:color w:val="auto"/>
        </w:rPr>
      </w:pPr>
      <w:r>
        <w:rPr>
          <w:rFonts w:ascii="Arial" w:cs="Arial" w:eastAsia="Arial" w:hAnsi="Arial"/>
          <w:sz w:val="16"/>
          <w:szCs w:val="16"/>
          <w:color w:val="auto"/>
        </w:rPr>
        <w:t>The Audit Committee, which consists of James A. Faulconbridge (Chair), Daryl I. Skaar, James T. Thompson and Jeffrey L. Wright,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2009.</w:t>
      </w:r>
    </w:p>
    <w:p>
      <w:pPr>
        <w:spacing w:after="0" w:line="167" w:lineRule="exact"/>
        <w:rPr>
          <w:sz w:val="20"/>
          <w:szCs w:val="20"/>
          <w:color w:val="auto"/>
        </w:rPr>
      </w:pPr>
    </w:p>
    <w:p>
      <w:pPr>
        <w:jc w:val="both"/>
        <w:ind w:right="180" w:firstLine="439"/>
        <w:spacing w:after="0" w:line="284" w:lineRule="auto"/>
        <w:rPr>
          <w:sz w:val="20"/>
          <w:szCs w:val="20"/>
          <w:color w:val="auto"/>
        </w:rPr>
      </w:pPr>
      <w:r>
        <w:rPr>
          <w:rFonts w:ascii="Arial" w:cs="Arial" w:eastAsia="Arial" w:hAnsi="Arial"/>
          <w:sz w:val="16"/>
          <w:szCs w:val="16"/>
          <w:color w:val="auto"/>
        </w:rPr>
        <w:t>Our Board of Directors has determined that all members of the Audit Committee are “Independent Directors” as that term is defined under the applicable independence listing standards of the NASDAQ Stock Market, Section 301 of the Sarbanes-Oxley Act of 2002 (“Sarbanes-Oxley”) and the rules adopted by the Securities and Exchange Commission (the “SEC”) pursuant to Sarbanes-Oxley. Our Board of Directors has determined that James A. Faulconbridge, Daryl I.</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Skaar, James T. Thompson and Jeffrey L. Wright are “audit committee financial experts,” as the term is defined under Section 407 of Sarbanes-Oxley and the rules promulgated by the SEC in furtherance of that Section 407.</w:t>
      </w:r>
    </w:p>
    <w:p>
      <w:pPr>
        <w:spacing w:after="0" w:line="192" w:lineRule="exact"/>
        <w:rPr>
          <w:sz w:val="20"/>
          <w:szCs w:val="20"/>
          <w:color w:val="auto"/>
        </w:rPr>
      </w:pPr>
    </w:p>
    <w:p>
      <w:pPr>
        <w:ind w:right="720" w:firstLine="436"/>
        <w:spacing w:after="0" w:line="268"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The Compensation Committee, which consists of Duane M. Jergenson (Chair), Daryl I. Skaar, James T. Thompson and Jeffrey L. Wright, is responsible for establishing compensation policies for our Company and for reviewing and setting compensation for our executive officers. The Compensation Committee held five meetings during fiscal 2009.</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5" w:name="page6"/>
    <w:bookmarkEnd w:id="5"/>
    <w:p>
      <w:pPr>
        <w:ind w:right="120" w:firstLine="439"/>
        <w:spacing w:after="0" w:line="306"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independence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6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During fiscal 2009, 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No member of the Board of Directors or any executive officer has any affiliation with Towers Perrin. Towers Perrin does no other work for the Company, and it reports directly to the Chair of the Compensation Committee. Towers Perrin advises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In determining the competitiveness of such compensation, the Compensation Committee reviews survey data prepared by Towers Perrin. The Compensation Committee views the information provided by Towers Perrin as one of a number of tools available to the Committee in assessing executive compensation.</w:t>
      </w:r>
    </w:p>
    <w:p>
      <w:pPr>
        <w:spacing w:after="0" w:line="172" w:lineRule="exact"/>
        <w:rPr>
          <w:sz w:val="20"/>
          <w:szCs w:val="20"/>
          <w:color w:val="auto"/>
        </w:rPr>
      </w:pPr>
    </w:p>
    <w:p>
      <w:pPr>
        <w:ind w:right="420" w:firstLine="436"/>
        <w:spacing w:after="0" w:line="306" w:lineRule="auto"/>
        <w:rPr>
          <w:sz w:val="20"/>
          <w:szCs w:val="20"/>
          <w:color w:val="auto"/>
        </w:rPr>
      </w:pPr>
      <w:r>
        <w:rPr>
          <w:rFonts w:ascii="Arial" w:cs="Arial" w:eastAsia="Arial" w:hAnsi="Arial"/>
          <w:sz w:val="16"/>
          <w:szCs w:val="16"/>
          <w:color w:val="auto"/>
        </w:rPr>
        <w:t>The Compensation Committee also regularly comunicates with our Chief Executive Officer, who makes recommendations to the committee regarding compensation of our executive officers other than the Chief Executive Officer. Additional information on the role of the compensation consultant and management in the Compensation Committee’s processes and procedures can be found in the Compensation Discussion and Analysis section below.</w:t>
      </w:r>
    </w:p>
    <w:p>
      <w:pPr>
        <w:spacing w:after="0" w:line="16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31"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color w:val="auto"/>
        </w:rPr>
        <w:t>The Nominating Committee, which consists of James A. Faulconbridge (Chair) and Duane M. Jergenson, is responsible for recommending as necessary changes in the composition of the Board and its committees, developing a pool of potential director candidates for consideration in the event of a vacancy on the Board, recommending to the Board nominees for membership on the Board and reviewing and approving the processes for new director orientation. The Nominating Committee held five meetings during fiscal 2009. The responsibilities of the Nominating Committee are set forth in the Nominating Committee Charter. A current copy of the charter is available on our website (www.hawkinsinc.com). The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231"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The Governance Committee, which consists of John S. McKeon (Chair), James A. Faulconbridge and Duane M. Jergenson, is responsible for monitoring and recommending to our Board corporate governance principles and business conduct guidelines; recommending as necessary changes in the size of the Board and its committees; reviewing and approving the processes for Board evaluation and director education policies; recommending to the Board the number, timing and duration of Board and committee meetings; and recommending to the Board changes in director compensation. The Governance Committee held five meetings during fiscal 2009. The responsibilities of the Governance Committee are set forth in the Governance Committee Charter. A current copy of the charter is available on our website (www.hawkinsinc.com).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231" w:lineRule="exact"/>
        <w:rPr>
          <w:sz w:val="20"/>
          <w:szCs w:val="20"/>
          <w:color w:val="auto"/>
        </w:rPr>
      </w:pPr>
    </w:p>
    <w:p>
      <w:pPr>
        <w:ind w:right="100" w:firstLine="439"/>
        <w:spacing w:after="0" w:line="289"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our Secretary upon request) to our Secretary no later than 60 days after the end of our fiscal year. The proposing shareholder should also include his or her contact information and a statement of his or her share ownership (how many shares of our Company owned and for how long). The Nominating Committee will evaluate candidates (nominated by shareholders or otherwise) based on financial literacy, knowledge of our industry or other background relevant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8"/>
          <w:szCs w:val="18"/>
          <w:color w:val="auto"/>
        </w:rPr>
        <w:t>our needs, status as a stakeholder in our Company, “independence” for purposes of compliance with SEC rules and NASDAQ Stock Market listing standards, and willingness, ability and availability for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w:t>
      </w:r>
    </w:p>
    <w:p>
      <w:pPr>
        <w:spacing w:after="0" w:line="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3100 East Hennepin Avenue, Minneapolis, Minnesota 55413. All communications will be compiled by the Secretary and submitted to the addressees on a periodic basis.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25"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The Audit Committee has (i) reviewed and discussed our audited financial statements for the fiscal year ended March 29, 2009 with both our management and Deloitte &amp; Touche LLP (“Deloitte”); (ii) discussed with Deloitte the matters required to be discussed by Statement of Auditing Standards No. 61, as amended, regarding communications with audit committees; (iii) received from Deloitte the written disclosures and the letter required by applicable requirements of the Public Company Accounting Oversight Board regarding the independent accountant’s communications with the audit committee concerning independence and discussed with Deloitte its independence; and (iv) considered whether the level of non-audit services provided by Deloitte is compatible with maintaining the independence of Deloitte.</w:t>
      </w:r>
    </w:p>
    <w:p>
      <w:pPr>
        <w:spacing w:after="0" w:line="198"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the fiscal year ended March 29, 2009 for filing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James A. Faulconbridge (Chair)  Daryl I. Skaar  James T. Thompson  Jeffrey L. Wright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225" w:lineRule="exact"/>
        <w:rPr>
          <w:sz w:val="20"/>
          <w:szCs w:val="20"/>
          <w:color w:val="auto"/>
        </w:rPr>
      </w:pPr>
    </w:p>
    <w:p>
      <w:pPr>
        <w:ind w:right="300" w:firstLine="436"/>
        <w:spacing w:after="0" w:line="268" w:lineRule="auto"/>
        <w:rPr>
          <w:sz w:val="20"/>
          <w:szCs w:val="20"/>
          <w:color w:val="auto"/>
        </w:rPr>
      </w:pPr>
      <w:r>
        <w:rPr>
          <w:rFonts w:ascii="Arial" w:cs="Arial" w:eastAsia="Arial" w:hAnsi="Arial"/>
          <w:sz w:val="18"/>
          <w:szCs w:val="18"/>
          <w:color w:val="auto"/>
        </w:rPr>
        <w:t>The following table shows the aggregate fees billed to us by Deloitte for services rendered during the fiscal years 2009 and 2008. The Audit Committee pre-approved 100% of the services described below.</w:t>
      </w:r>
    </w:p>
    <w:p>
      <w:pPr>
        <w:spacing w:after="0" w:line="195" w:lineRule="exact"/>
        <w:rPr>
          <w:sz w:val="20"/>
          <w:szCs w:val="20"/>
          <w:color w:val="auto"/>
        </w:rPr>
      </w:pPr>
    </w:p>
    <w:p>
      <w:pPr>
        <w:ind w:left="540"/>
        <w:spacing w:after="0"/>
        <w:tabs>
          <w:tab w:leader="none" w:pos="7300" w:val="left"/>
          <w:tab w:leader="none" w:pos="9080" w:val="left"/>
        </w:tabs>
        <w:rPr>
          <w:sz w:val="20"/>
          <w:szCs w:val="20"/>
          <w:color w:val="auto"/>
        </w:rPr>
      </w:pPr>
      <w:r>
        <w:rPr>
          <w:rFonts w:ascii="Arial" w:cs="Arial" w:eastAsia="Arial" w:hAnsi="Arial"/>
          <w:sz w:val="14"/>
          <w:szCs w:val="14"/>
          <w:b w:val="1"/>
          <w:bCs w:val="1"/>
          <w:color w:val="auto"/>
        </w:rPr>
        <w:t>Description of Fees</w:t>
      </w:r>
      <w:r>
        <w:rPr>
          <w:sz w:val="20"/>
          <w:szCs w:val="20"/>
          <w:color w:val="auto"/>
        </w:rPr>
        <w:tab/>
      </w:r>
      <w:r>
        <w:rPr>
          <w:rFonts w:ascii="Arial" w:cs="Arial" w:eastAsia="Arial" w:hAnsi="Arial"/>
          <w:sz w:val="14"/>
          <w:szCs w:val="14"/>
          <w:b w:val="1"/>
          <w:bCs w:val="1"/>
          <w:color w:val="auto"/>
        </w:rPr>
        <w:t>Fiscal 2009</w:t>
      </w:r>
      <w:r>
        <w:rPr>
          <w:sz w:val="20"/>
          <w:szCs w:val="20"/>
          <w:color w:val="auto"/>
        </w:rPr>
        <w:tab/>
      </w:r>
      <w:r>
        <w:rPr>
          <w:rFonts w:ascii="Arial" w:cs="Arial" w:eastAsia="Arial" w:hAnsi="Arial"/>
          <w:sz w:val="11"/>
          <w:szCs w:val="11"/>
          <w:b w:val="1"/>
          <w:bCs w:val="1"/>
          <w:color w:val="auto"/>
        </w:rPr>
        <w:t>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68580</wp:posOffset>
            </wp:positionV>
            <wp:extent cx="900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68580</wp:posOffset>
            </wp:positionV>
            <wp:extent cx="2092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58"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360" w:type="dxa"/>
            <w:vAlign w:val="bottom"/>
            <w:shd w:val="clear" w:color="auto" w:fill="D6F3E8"/>
          </w:tcPr>
          <w:p>
            <w:pPr>
              <w:spacing w:after="0"/>
              <w:rPr>
                <w:sz w:val="20"/>
                <w:szCs w:val="20"/>
                <w:color w:val="auto"/>
              </w:rPr>
            </w:pPr>
            <w:r>
              <w:rPr>
                <w:rFonts w:ascii="Arial" w:cs="Arial" w:eastAsia="Arial" w:hAnsi="Arial"/>
                <w:sz w:val="18"/>
                <w:szCs w:val="18"/>
                <w:color w:val="auto"/>
              </w:rPr>
              <w:t>Audit Fees</w:t>
            </w:r>
          </w:p>
        </w:tc>
        <w:tc>
          <w:tcPr>
            <w:tcW w:w="500" w:type="dxa"/>
            <w:vAlign w:val="bottom"/>
            <w:shd w:val="clear" w:color="auto" w:fill="D6F3E8"/>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390,000</w:t>
            </w:r>
          </w:p>
        </w:tc>
        <w:tc>
          <w:tcPr>
            <w:tcW w:w="7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363,000</w:t>
            </w:r>
          </w:p>
        </w:tc>
        <w:tc>
          <w:tcPr>
            <w:tcW w:w="80" w:type="dxa"/>
            <w:vAlign w:val="bottom"/>
            <w:shd w:val="clear" w:color="auto" w:fill="D6F3E8"/>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Audit-Related Fees (a)</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18"/>
                <w:szCs w:val="18"/>
                <w:color w:val="auto"/>
              </w:rPr>
            </w:pPr>
          </w:p>
        </w:tc>
      </w:tr>
      <w:tr>
        <w:trPr>
          <w:trHeight w:val="216"/>
        </w:trPr>
        <w:tc>
          <w:tcPr>
            <w:tcW w:w="6360" w:type="dxa"/>
            <w:vAlign w:val="bottom"/>
            <w:shd w:val="clear" w:color="auto" w:fill="D6F3E8"/>
          </w:tcPr>
          <w:p>
            <w:pPr>
              <w:spacing w:after="0"/>
              <w:rPr>
                <w:sz w:val="20"/>
                <w:szCs w:val="20"/>
                <w:color w:val="auto"/>
              </w:rPr>
            </w:pPr>
            <w:r>
              <w:rPr>
                <w:rFonts w:ascii="Arial" w:cs="Arial" w:eastAsia="Arial" w:hAnsi="Arial"/>
                <w:sz w:val="18"/>
                <w:szCs w:val="18"/>
                <w:color w:val="auto"/>
              </w:rPr>
              <w:t>Tax Fees (b)</w:t>
            </w:r>
          </w:p>
        </w:tc>
        <w:tc>
          <w:tcPr>
            <w:tcW w:w="50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38,000</w:t>
            </w:r>
          </w:p>
        </w:tc>
        <w:tc>
          <w:tcPr>
            <w:tcW w:w="2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77,000</w:t>
            </w:r>
          </w:p>
        </w:tc>
        <w:tc>
          <w:tcPr>
            <w:tcW w:w="80" w:type="dxa"/>
            <w:vAlign w:val="bottom"/>
            <w:shd w:val="clear" w:color="auto" w:fill="D6F3E8"/>
          </w:tcPr>
          <w:p>
            <w:pPr>
              <w:spacing w:after="0"/>
              <w:rPr>
                <w:sz w:val="18"/>
                <w:szCs w:val="18"/>
                <w:color w:val="auto"/>
              </w:rPr>
            </w:pPr>
          </w:p>
        </w:tc>
      </w:tr>
      <w:tr>
        <w:trPr>
          <w:trHeight w:val="108"/>
        </w:trPr>
        <w:tc>
          <w:tcPr>
            <w:tcW w:w="6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6"/>
        </w:trPr>
        <w:tc>
          <w:tcPr>
            <w:tcW w:w="6360" w:type="dxa"/>
            <w:vAlign w:val="bottom"/>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474,000</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496,000</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233045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60" w:right="200" w:hanging="571"/>
        <w:spacing w:after="0" w:line="26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fees for audits in connection with our benefit plans, fiscal 2009 includes services related to responding to an SEC comment letter and fiscal 2008 includes services related to the acquisition of Trumark, Inc.</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225" w:lineRule="exact"/>
        <w:rPr>
          <w:sz w:val="20"/>
          <w:szCs w:val="20"/>
          <w:color w:val="auto"/>
        </w:rPr>
      </w:pPr>
    </w:p>
    <w:p>
      <w:pPr>
        <w:ind w:right="80" w:firstLine="436"/>
        <w:spacing w:after="0" w:line="335" w:lineRule="auto"/>
        <w:rPr>
          <w:sz w:val="20"/>
          <w:szCs w:val="20"/>
          <w:color w:val="auto"/>
        </w:rPr>
      </w:pPr>
      <w:r>
        <w:rPr>
          <w:rFonts w:ascii="Arial" w:cs="Arial" w:eastAsia="Arial" w:hAnsi="Arial"/>
          <w:sz w:val="15"/>
          <w:szCs w:val="15"/>
          <w:color w:val="auto"/>
        </w:rPr>
        <w:t>The Audit Committee’s current practice on pre-approval of services performed by the independent registered public accounting firm is to approve annually all audit services and, on a case-by-case basis, recurring permissible non-audit services to be provided by our independent registered public accounting firm during the fiscal year. The Audit Committee reviews each non-audit service to be provided and assesses the impact of the service on the auditors’ independence.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Accountants</w:t>
      </w:r>
    </w:p>
    <w:p>
      <w:pPr>
        <w:spacing w:after="0" w:line="23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On June 9, 2009, the Audit Committee dismissed Deloitte effective on that date and approved the engagement of KPMG LLP as our independent registered public accounting firm for fiscal 2010.</w:t>
      </w:r>
    </w:p>
    <w:p>
      <w:pPr>
        <w:spacing w:after="0" w:line="186"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Neither of Deloitte’s reports on the financial statements of the Company for the fiscal years 2008 or 2009 contained an adverse opinion or disclaimer of opinion, or was qualified or modified as to uncertainty, audit scope or accounting principles.</w:t>
      </w:r>
    </w:p>
    <w:p>
      <w:pPr>
        <w:spacing w:after="0" w:line="186"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ind w:firstLine="439"/>
        <w:spacing w:after="0" w:line="268" w:lineRule="auto"/>
        <w:rPr>
          <w:sz w:val="20"/>
          <w:szCs w:val="20"/>
          <w:color w:val="auto"/>
        </w:rPr>
      </w:pPr>
      <w:r>
        <w:rPr>
          <w:rFonts w:ascii="Arial" w:cs="Arial" w:eastAsia="Arial" w:hAnsi="Arial"/>
          <w:sz w:val="18"/>
          <w:szCs w:val="18"/>
          <w:color w:val="auto"/>
        </w:rPr>
        <w:t>During fiscal years 2008 and 2009 and through June 9, 2009, we did not consult with KPMG LLP with respect to any of the matters or reportable events set forth in Item 304(a)(2)(i) or (ii) or Regulation S-K.</w:t>
      </w:r>
    </w:p>
    <w:p>
      <w:pPr>
        <w:spacing w:after="0" w:line="186" w:lineRule="exact"/>
        <w:rPr>
          <w:sz w:val="20"/>
          <w:szCs w:val="20"/>
          <w:color w:val="auto"/>
        </w:rPr>
      </w:pPr>
    </w:p>
    <w:p>
      <w:pPr>
        <w:jc w:val="both"/>
        <w:ind w:right="60" w:firstLine="436"/>
        <w:spacing w:after="0" w:line="259" w:lineRule="auto"/>
        <w:rPr>
          <w:sz w:val="20"/>
          <w:szCs w:val="20"/>
          <w:color w:val="auto"/>
        </w:rPr>
      </w:pPr>
      <w:r>
        <w:rPr>
          <w:rFonts w:ascii="Arial" w:cs="Arial" w:eastAsia="Arial" w:hAnsi="Arial"/>
          <w:sz w:val="18"/>
          <w:szCs w:val="18"/>
          <w:color w:val="auto"/>
        </w:rPr>
        <w:t>We provided Deloitte and KPMG LLP with a copy of the statements made in this section in conjunction with our Current Report on Form 8-K, dated June 9, 2009 and filed with the Commission in its final form on June 17, 2009. A copy of the letter from Deloitte, dated June 16, 2009, stating its agreement with such statements was included as Exhibit 16 to that Current Report on Form 8-K.</w:t>
      </w:r>
    </w:p>
    <w:p>
      <w:pPr>
        <w:spacing w:after="0" w:line="175"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COMPENSATION OF EXECUTIVE OFFICERS AND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individual performance, Company performance and the alignment of the interests of our executive officers with those of our shareholders and is used to encourage our executive officers to remain with our Company. We seek to reward current results and motivate long-term performance through a combination of short-and long-term incentives that meet our performance, alignment and retention objectives.</w:t>
      </w:r>
    </w:p>
    <w:p>
      <w:pPr>
        <w:spacing w:after="0" w:line="197" w:lineRule="exact"/>
        <w:rPr>
          <w:sz w:val="20"/>
          <w:szCs w:val="20"/>
          <w:color w:val="auto"/>
        </w:rPr>
      </w:pPr>
    </w:p>
    <w:p>
      <w:pPr>
        <w:ind w:right="100" w:firstLine="439"/>
        <w:spacing w:after="0" w:line="291" w:lineRule="auto"/>
        <w:rPr>
          <w:sz w:val="20"/>
          <w:szCs w:val="20"/>
          <w:color w:val="auto"/>
        </w:rPr>
      </w:pPr>
      <w:r>
        <w:rPr>
          <w:rFonts w:ascii="Arial" w:cs="Arial" w:eastAsia="Arial" w:hAnsi="Arial"/>
          <w:sz w:val="16"/>
          <w:szCs w:val="16"/>
          <w:color w:val="auto"/>
        </w:rPr>
        <w:t>Our results of operations and financial condition in fiscal 2009 improved significantly over that of the previous fiscal year despite the national economic downturn. Sales from continuing operations were $284,356,000, a 52.3% increase over fiscal 2008, gross profit from continuing operations was $62,420,000, an increase of $23,892,000 over fiscal 2008, and cash and cash equivalents increased by $8,027,000 to $29,536,000 as of the end of fiscal 2009. As a result of these improvements, our executive officers received near the maximum payout under the corporate and business unit performance measures under our annual non-equity incentive compensation arrangement and earned the maximum number of restricted shares under the performance-based restricted stock units granted for fiscal 2009 as described below.</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Determining Executive Compensation for Fiscal 2009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239"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25" w:lineRule="exact"/>
        <w:rPr>
          <w:sz w:val="20"/>
          <w:szCs w:val="20"/>
          <w:color w:val="auto"/>
        </w:rPr>
      </w:pPr>
    </w:p>
    <w:p>
      <w:pPr>
        <w:ind w:right="180" w:firstLine="436"/>
        <w:spacing w:after="0" w:line="291"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committee members reviewed and considered broad-based third-party survey data to understand current compensation practices, levels and structures and thereby inform its compensation decisions, but not to establish specific compensation parameters based on such data. The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174"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The Compensation Committee also consulted during fiscal 2009 with independent compensation consultant Towers Perrin, a nationally recognized compensation consulting firm with expertise in our industry, to provide the committee with independent advice regarding industry practices and information on compensation programs of companies offering products similar to ours and from companies of comparable size to us. The Compensation Committee does not have a role in selecting the list of companies that Towers Perrin includes in its sample. The Compensation Committee does not use the information provided to it by Towers Perrin in a formulaic manner, but instead uses the information to inform its judgment regarding the appropriate levels and components of total compensation for the Company’s executive officers.</w:t>
      </w:r>
    </w:p>
    <w:p>
      <w:pPr>
        <w:spacing w:after="0" w:line="174" w:lineRule="exact"/>
        <w:rPr>
          <w:sz w:val="20"/>
          <w:szCs w:val="20"/>
          <w:color w:val="auto"/>
        </w:rPr>
      </w:pPr>
    </w:p>
    <w:p>
      <w:pPr>
        <w:ind w:right="420" w:firstLine="436"/>
        <w:spacing w:after="0" w:line="259" w:lineRule="auto"/>
        <w:rPr>
          <w:sz w:val="20"/>
          <w:szCs w:val="20"/>
          <w:color w:val="auto"/>
        </w:rPr>
      </w:pPr>
      <w:r>
        <w:rPr>
          <w:rFonts w:ascii="Arial" w:cs="Arial" w:eastAsia="Arial" w:hAnsi="Arial"/>
          <w:sz w:val="18"/>
          <w:szCs w:val="18"/>
          <w:color w:val="auto"/>
        </w:rPr>
        <w:t>The Compensation Committee views the information provided by Towers Perrin as one of a number of tools available to the Committee in assessing executive compensation. The Compensation Committee also regularly communicates with our Chief Executive Officer, who makes recommendations to the committee regarding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540"/>
        <w:spacing w:after="0" w:line="332" w:lineRule="auto"/>
        <w:rPr>
          <w:sz w:val="20"/>
          <w:szCs w:val="20"/>
          <w:color w:val="auto"/>
        </w:rPr>
      </w:pPr>
      <w:r>
        <w:rPr>
          <w:rFonts w:ascii="Arial" w:cs="Arial" w:eastAsia="Arial" w:hAnsi="Arial"/>
          <w:sz w:val="16"/>
          <w:szCs w:val="16"/>
          <w:color w:val="auto"/>
        </w:rPr>
        <w:t>compensation of our executive officers other than the Chief Executive Officer. Our Chief Executive Officer participates in the Compensation Committee’s deliberations regarding compensation for our other executive officers, although all determinations are made by the Compensation Committee.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We provide base salaries to our executive officers to compensate them for fulfilling their primary responsibilities and to provide financial stability. Base salaries for our executive officers are reviewed annually by the Compensation Committee. Historically, annual adjustments to base salaries were made primarily based on changes in cost of living due to inflation, consistent with adjustments made to the salary or wages of our other employees. In 2007, the Compensation Committee, with the assistance of Towers Perrin, did a detailed review of the base salaries for all of our executive officers. As part of this review, the Compensation Committee considered each executive officer’s performance for the prior year; his or her experience, expertise and position within our Company. The committee also reviewed overall Company performance and compensation levels for comparable positions at other competitive companies. Following this methodology, the Compensation Committee determined that, effective in October 2007, increases in base salaries were appropriate for each of the executive officers. In October 2008, the Compensation Committee made modest increases to the base salaries to reflect increases in the cost of living. The base salaries paid to our executive officers during fiscal 2009 are listed in the Summary Compensation Table below.</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225" w:lineRule="exact"/>
        <w:rPr>
          <w:sz w:val="20"/>
          <w:szCs w:val="20"/>
          <w:color w:val="auto"/>
        </w:rPr>
      </w:pPr>
    </w:p>
    <w:p>
      <w:pPr>
        <w:ind w:right="20" w:firstLine="429"/>
        <w:spacing w:after="0" w:line="259"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bonus for any fiscal year.</w:t>
      </w:r>
    </w:p>
    <w:p>
      <w:pPr>
        <w:spacing w:after="0" w:line="194"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Through the first six months of fiscal 2008, our executive officers participated in a cash bonus program under which the executives were eligible to receive a targeted bonus ranging from 35% to 50% of the respective executive officer’s base salary based on achieving corporate and business unit performance targets and individual objectives. The Company and business unit performance targets for the program were the actual prior year’s results for the same period with no requirement to meet a threshold level of performance and no additional incentive for superior performance.</w:t>
      </w:r>
    </w:p>
    <w:p>
      <w:pPr>
        <w:spacing w:after="0" w:line="167" w:lineRule="exact"/>
        <w:rPr>
          <w:sz w:val="20"/>
          <w:szCs w:val="20"/>
          <w:color w:val="auto"/>
        </w:rPr>
      </w:pPr>
    </w:p>
    <w:p>
      <w:pPr>
        <w:jc w:val="both"/>
        <w:ind w:right="60" w:firstLine="439"/>
        <w:spacing w:after="0" w:line="306" w:lineRule="auto"/>
        <w:rPr>
          <w:sz w:val="20"/>
          <w:szCs w:val="20"/>
          <w:color w:val="auto"/>
        </w:rPr>
      </w:pPr>
      <w:r>
        <w:rPr>
          <w:rFonts w:ascii="Arial" w:cs="Arial" w:eastAsia="Arial" w:hAnsi="Arial"/>
          <w:sz w:val="16"/>
          <w:szCs w:val="16"/>
          <w:color w:val="auto"/>
        </w:rPr>
        <w:t>For the second half of fiscal 2008, the Compensation Committee, with the assistance of Towers Perrin, reviewed our cash incentive program for executive officers and adopted a new non-equity incentive arrangement (described below) that provided for no payout to executive officers unless a specified portion of the target was achieved and allowed for a significantly increased payout if the target was exceeded.</w:t>
      </w:r>
    </w:p>
    <w:p>
      <w:pPr>
        <w:spacing w:after="0" w:line="161"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Cash incentive payments are paid twice each year with 60% of the payment opportunity based on the first six months of our fiscal year and 40% based on the last six months. This split reflects the fact that we have historically generated a higher level of profits during the first six months of our fiscal year than the second half of our fiscal year.</w:t>
      </w:r>
    </w:p>
    <w:p>
      <w:pPr>
        <w:spacing w:after="0" w:line="194"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For fiscal 2009, the Compensation Committee designated the following factors for determining whether a cash incentive payment would be paid under the arrangement for a particular performance period and in what amount:</w:t>
      </w:r>
    </w:p>
    <w:p>
      <w:pPr>
        <w:spacing w:after="0" w:line="199"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unit performance for the executive in charge of such unit,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individual objectives.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corporate performance portion of the annual cash incentive payment was based on our Company-wide results for each half of fiscal 2009 as measured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income before taxes as compared to a targeted level of income before taxes for that period. For the first half of fiscal 2009, the targeted level of income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was $10,726,000, while the actual performance was $19,053,000, and for the second half of fiscal 2009, the targeted level of income before taxes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$5,745,400, while the actual performance was $19,168,000. The business unit performance portion of the incentive payment was based on an operational measure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business unit profitability for fiscal 2009 as compared to a targeted measure for the respective business unit for that period. For first half of fiscal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targeted Water Treatment Group measure was $19,249,000, while the actual performance was $21,584,000, and for the second half of fiscal 2009, the targeted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measure was $14,134,000, while the actual performance was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jc w:val="both"/>
        <w:ind w:right="40"/>
        <w:spacing w:after="0" w:line="303" w:lineRule="auto"/>
        <w:rPr>
          <w:sz w:val="20"/>
          <w:szCs w:val="20"/>
          <w:color w:val="auto"/>
        </w:rPr>
      </w:pPr>
      <w:r>
        <w:rPr>
          <w:rFonts w:ascii="Arial" w:cs="Arial" w:eastAsia="Arial" w:hAnsi="Arial"/>
          <w:sz w:val="15"/>
          <w:szCs w:val="15"/>
          <w:color w:val="auto"/>
        </w:rPr>
        <w:t>$15,876,000. For the first half of fiscal 2009, the targeted Industrial Group measure was $13,350,000, while the actual performance was $23,453,000, and for the second half of fiscal 2009, the targeted measure was $14,383,000, while the actual performance was $24,185,000. In each case, the targeted levels of performance were based on actual performance in the prior period after taking into account a level of anticipated growth that was derived from the Company’s strategic plan.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w:t>
      </w:r>
    </w:p>
    <w:p>
      <w:pPr>
        <w:spacing w:after="0" w:line="198" w:lineRule="exact"/>
        <w:rPr>
          <w:sz w:val="20"/>
          <w:szCs w:val="20"/>
          <w:color w:val="auto"/>
        </w:rPr>
      </w:pPr>
    </w:p>
    <w:p>
      <w:pPr>
        <w:ind w:right="140" w:firstLine="436"/>
        <w:spacing w:after="0" w:line="256" w:lineRule="auto"/>
        <w:rPr>
          <w:sz w:val="20"/>
          <w:szCs w:val="20"/>
          <w:color w:val="auto"/>
        </w:rPr>
      </w:pPr>
      <w:r>
        <w:rPr>
          <w:rFonts w:ascii="Arial" w:cs="Arial" w:eastAsia="Arial" w:hAnsi="Arial"/>
          <w:sz w:val="18"/>
          <w:szCs w:val="18"/>
          <w:color w:val="auto"/>
        </w:rPr>
        <w:t>The individual objectives for the executive officers, as determined by the committee, included successful business expansion, executive team development and strategic planning improvements. The Compensation Committee consulted with the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197" w:lineRule="exact"/>
        <w:rPr>
          <w:sz w:val="20"/>
          <w:szCs w:val="20"/>
          <w:color w:val="auto"/>
        </w:rPr>
      </w:pPr>
    </w:p>
    <w:p>
      <w:pPr>
        <w:ind w:right="20" w:firstLine="436"/>
        <w:spacing w:after="0" w:line="306" w:lineRule="auto"/>
        <w:rPr>
          <w:sz w:val="20"/>
          <w:szCs w:val="20"/>
          <w:color w:val="auto"/>
        </w:rPr>
      </w:pPr>
      <w:r>
        <w:rPr>
          <w:rFonts w:ascii="Arial" w:cs="Arial" w:eastAsia="Arial" w:hAnsi="Arial"/>
          <w:sz w:val="16"/>
          <w:szCs w:val="16"/>
          <w:color w:val="auto"/>
        </w:rPr>
        <w:t>The Compensation Committee determined that 80% of the annual cash incentive payment opportunities for our Chief Executive Officer and Chief Financial Officer for fiscal 2009 should be based upon Company-wide performance against the income targets to reflect their significant responsibilities and resulting ability to impact the overall success of the Company. In addition, the committee determined that 20% should be based upon meeting their individual objectives.</w:t>
      </w:r>
    </w:p>
    <w:p>
      <w:pPr>
        <w:spacing w:after="0" w:line="161"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The committee determined that 40% of the annual cash incentive payment opportunities for Ms. Paulson and Mr. Sevenich for fiscal 2009 should be based upon Company-wide performance and 40% should be based upon the profitability of their respective business unit to reflect their dual roles as leaders of their respective business units and as members of the Company’s overall executive management team. In addition, the committee determined that 20% should be based upon meeting their individual objectives.</w:t>
      </w:r>
    </w:p>
    <w:p>
      <w:pPr>
        <w:spacing w:after="0" w:line="197"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color w:val="auto"/>
        </w:rPr>
        <w:t>Because he joined the Company mid-year, our General Counsel did not participate directly in the annual non-equity incentive payment arrangement for fiscal 2009. The Compensation Committee determined that is was appropriate to make a cash bonus payment to Mr. Erstad based on both our Company-wide performance and the Compensation Committee’s evaluation of his individual performance (in consultation with our Chief Executive Officer). The amount of the payment was calculated consistent with terms of the annual non-equity incentive payment arrangement. Mr. Erstad will participate in the annual non-equity incentive payment arrangement for fiscal 2010.</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participating executive officers were based on the following percentages of base salary for fiscal 2009: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32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4"/>
                <w:szCs w:val="14"/>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Annual Cash</w:t>
            </w:r>
          </w:p>
        </w:tc>
        <w:tc>
          <w:tcPr>
            <w:tcW w:w="32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Annual Cash</w:t>
            </w:r>
          </w:p>
        </w:tc>
        <w:tc>
          <w:tcPr>
            <w:tcW w:w="320" w:type="dxa"/>
            <w:vAlign w:val="bottom"/>
          </w:tcPr>
          <w:p>
            <w:pPr>
              <w:spacing w:after="0"/>
              <w:rPr>
                <w:sz w:val="12"/>
                <w:szCs w:val="12"/>
                <w:color w:val="auto"/>
              </w:rPr>
            </w:pPr>
          </w:p>
        </w:tc>
        <w:tc>
          <w:tcPr>
            <w:tcW w:w="20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Annual Cash</w:t>
            </w:r>
          </w:p>
        </w:tc>
        <w:tc>
          <w:tcPr>
            <w:tcW w:w="0" w:type="dxa"/>
            <w:vAlign w:val="bottom"/>
          </w:tcPr>
          <w:p>
            <w:pPr>
              <w:spacing w:after="0"/>
              <w:rPr>
                <w:sz w:val="1"/>
                <w:szCs w:val="1"/>
                <w:color w:val="auto"/>
              </w:rPr>
            </w:pPr>
          </w:p>
        </w:tc>
      </w:tr>
      <w:tr>
        <w:trPr>
          <w:trHeight w:val="174"/>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Incentive Payment</w:t>
            </w: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Incentive Payment</w:t>
            </w:r>
          </w:p>
        </w:tc>
        <w:tc>
          <w:tcPr>
            <w:tcW w:w="320" w:type="dxa"/>
            <w:vAlign w:val="bottom"/>
          </w:tcPr>
          <w:p>
            <w:pPr>
              <w:spacing w:after="0"/>
              <w:rPr>
                <w:sz w:val="15"/>
                <w:szCs w:val="15"/>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Incentive Payment</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gridSpan w:val="2"/>
          </w:tcPr>
          <w:p>
            <w:pPr>
              <w:spacing w:after="0"/>
              <w:rPr>
                <w:sz w:val="8"/>
                <w:szCs w:val="8"/>
                <w:color w:val="auto"/>
              </w:rPr>
            </w:pPr>
          </w:p>
        </w:tc>
        <w:tc>
          <w:tcPr>
            <w:tcW w:w="228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c>
          <w:tcPr>
            <w:tcW w:w="236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Chief Executive Officer</w:t>
            </w:r>
          </w:p>
        </w:tc>
        <w:tc>
          <w:tcPr>
            <w:tcW w:w="2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w:t>
            </w:r>
          </w:p>
        </w:tc>
        <w:tc>
          <w:tcPr>
            <w:tcW w:w="22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60%</w:t>
            </w:r>
          </w:p>
        </w:tc>
        <w:tc>
          <w:tcPr>
            <w:tcW w:w="2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Other Participating Executive Officers</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committee established a higher target opportunity for the Chief Executive Officer to reflect his significant responsibilities regarding the creation and implementation of the Company’s long-term strategic direction.</w:t>
      </w:r>
    </w:p>
    <w:p>
      <w:pPr>
        <w:spacing w:after="0" w:line="161"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No annual cash incentive payments are made unless the threshold level of 80% of the respective performance target is achieved. Performance between 80% and 100% of the respective target is awarded on a sliding scale from 50% of the target annual cash incentive payment for exactly achieving 80% of the performance target to 100% of the target annual cash incentive payment for achieving the respective target (e.g., 90% of performance target will lead to an award of 75% of the target annual cash incentive payment). Performance between 100% and 120% of the respective target is awarded on a sliding scale from 100% of the target annual cash incentive payment for exactly meeting the performance target to 200% of the target annual cash incentive payment for exceeding the performance target by 20% (e.g., 105% of performance target will lead to an award of 125% of the target annual cash incentive payment). Performance over 120% of the applicable performance target does not result in any additional annual cash incentive payment.</w:t>
      </w:r>
    </w:p>
    <w:p>
      <w:pPr>
        <w:spacing w:after="0" w:line="172" w:lineRule="exact"/>
        <w:rPr>
          <w:sz w:val="20"/>
          <w:szCs w:val="20"/>
          <w:color w:val="auto"/>
        </w:rPr>
      </w:pPr>
    </w:p>
    <w:p>
      <w:pPr>
        <w:ind w:right="440" w:firstLine="429"/>
        <w:spacing w:after="0" w:line="268" w:lineRule="auto"/>
        <w:rPr>
          <w:sz w:val="20"/>
          <w:szCs w:val="20"/>
          <w:color w:val="auto"/>
        </w:rPr>
      </w:pPr>
      <w:r>
        <w:rPr>
          <w:rFonts w:ascii="Arial" w:cs="Arial" w:eastAsia="Arial" w:hAnsi="Arial"/>
          <w:sz w:val="18"/>
          <w:szCs w:val="18"/>
          <w:color w:val="auto"/>
        </w:rPr>
        <w:t>As a result of our strong financial performance for the fiscal year, each of the participating executive officers exceeded the corporate and business unit performance targets and, in most cases, exceeded the maximum targets.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ind w:right="300"/>
        <w:spacing w:after="0" w:line="290" w:lineRule="auto"/>
        <w:rPr>
          <w:sz w:val="20"/>
          <w:szCs w:val="20"/>
          <w:color w:val="auto"/>
        </w:rPr>
      </w:pPr>
      <w:r>
        <w:rPr>
          <w:rFonts w:ascii="Arial" w:cs="Arial" w:eastAsia="Arial" w:hAnsi="Arial"/>
          <w:sz w:val="16"/>
          <w:szCs w:val="16"/>
          <w:color w:val="auto"/>
        </w:rPr>
        <w:t>As a result, with the exception of Ms. Paulson, each executive officer participating in the arrangement received the maximum payout under the financial measures. Because the Water Treatment Group profitability measure exceeded the targeted measure, but did not exceed the maximum measure, Ms. Paulson’s payout under the business unit performance target was less than the maximum payout. Each participating executive was determined to have attained his or her individual objectives for the fiscal year, while Ms. Pepski was determined to have exceeded her individual objectives. Each participating executive officer received the targeted annual cash incentive payment for individual objectives, while Ms. Pepski received the maximum annual cash incentive payment for individual objectives based on exceeding the targeted performance on her personal objectives. No executive officer received more than the maximum total payment under the annual non-equity incentive arrangement.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We had not traditionally used long-term equity incentive awards as part of our executive compensation program. We had previously contributed approximately 5% of the executive’s pay for his or her account to our Employee Stock Ownership Plan (“ESOP”) and allowed executives to receive matching contributions under our Employee Stock Purchase Plan (“ESPP”). The Compensation Committee had previously approved two separate grants of restricted stock in fiscal 2005 and fiscal 2007 to certain executive officers and other key employees in connection with the implementation of our enterprise resource planning system and our efforts to comply with Section 404 of Sarbanes-Oxley.</w:t>
      </w:r>
    </w:p>
    <w:p>
      <w:pPr>
        <w:spacing w:after="0" w:line="170" w:lineRule="exact"/>
        <w:rPr>
          <w:sz w:val="20"/>
          <w:szCs w:val="20"/>
          <w:color w:val="auto"/>
        </w:rPr>
      </w:pPr>
    </w:p>
    <w:p>
      <w:pPr>
        <w:ind w:right="120" w:firstLine="429"/>
        <w:spacing w:after="0" w:line="259" w:lineRule="auto"/>
        <w:rPr>
          <w:sz w:val="20"/>
          <w:szCs w:val="20"/>
          <w:color w:val="auto"/>
        </w:rPr>
      </w:pPr>
      <w:r>
        <w:rPr>
          <w:rFonts w:ascii="Arial" w:cs="Arial" w:eastAsia="Arial" w:hAnsi="Arial"/>
          <w:sz w:val="18"/>
          <w:szCs w:val="18"/>
          <w:color w:val="auto"/>
        </w:rPr>
        <w:t>After fiscal 2008, the Compensation Committee, with the assistance of Towers Perrin, reviewed our equity incentive award practices for the executives officers and determined to adopt a new equity incentive compensation program with the first grants made in May 2008 for fiscal 2009. Factors considered by the Compensation Committee in establishing this equity incentive program included:</w:t>
      </w:r>
    </w:p>
    <w:p>
      <w:pPr>
        <w:spacing w:after="0" w:line="208"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aligning the interests of the participants with those of our shareholders,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incentives for the retention of executive officers,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 minimum level of performance for payouts under certain of the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an opportunity for increased payouts for superior performance under certain of the equity awards,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comparable equity incentive programs at competitive companies.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new equity incentive award program consists of a combination of:</w:t>
      </w:r>
    </w:p>
    <w:p>
      <w:pPr>
        <w:spacing w:after="0" w:line="158" w:lineRule="exact"/>
        <w:rPr>
          <w:sz w:val="20"/>
          <w:szCs w:val="20"/>
          <w:color w:val="auto"/>
        </w:rPr>
      </w:pPr>
    </w:p>
    <w:p>
      <w:pPr>
        <w:ind w:left="1160" w:right="24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grants to each executive officer of traditional stock options at fair market value on the date of grant with vesting on the third anniversary of the date of grant, and</w:t>
      </w:r>
    </w:p>
    <w:p>
      <w:pPr>
        <w:spacing w:after="0" w:line="118" w:lineRule="exact"/>
        <w:rPr>
          <w:rFonts w:ascii="Arial" w:cs="Arial" w:eastAsia="Arial" w:hAnsi="Arial"/>
          <w:sz w:val="18"/>
          <w:szCs w:val="18"/>
          <w:color w:val="auto"/>
        </w:rPr>
      </w:pPr>
    </w:p>
    <w:p>
      <w:pPr>
        <w:ind w:left="1160" w:right="28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grants of performance-based restricted stock units based on Company performance during the upcoming fiscal year with any related restricted stock vesting on the second anniversary of the end of the fiscal year.</w:t>
      </w:r>
    </w:p>
    <w:p>
      <w:pPr>
        <w:spacing w:after="0" w:line="186" w:lineRule="exact"/>
        <w:rPr>
          <w:sz w:val="20"/>
          <w:szCs w:val="20"/>
          <w:color w:val="auto"/>
        </w:rPr>
      </w:pPr>
    </w:p>
    <w:p>
      <w:pPr>
        <w:ind w:right="260" w:firstLine="436"/>
        <w:spacing w:after="0" w:line="306" w:lineRule="auto"/>
        <w:rPr>
          <w:sz w:val="20"/>
          <w:szCs w:val="20"/>
          <w:color w:val="auto"/>
        </w:rPr>
      </w:pPr>
      <w:r>
        <w:rPr>
          <w:rFonts w:ascii="Arial" w:cs="Arial" w:eastAsia="Arial" w:hAnsi="Arial"/>
          <w:sz w:val="16"/>
          <w:szCs w:val="16"/>
          <w:color w:val="auto"/>
        </w:rPr>
        <w:t>To partially fund the potential cost of the new equity incentive program, the Compensation Committee determined that our executive officers would no longer participate in our ESOP beginning in fiscal 2009 or receive matching contributions under the ESPP described below beginning in June 2008. Excluding our executive officers, all of our non-bargaining unit employees remain eligible to participate in our ESOP and ESPP.</w:t>
      </w:r>
    </w:p>
    <w:p>
      <w:pPr>
        <w:spacing w:after="0" w:line="161"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Under this program, each executive officer was granted in May 2008 a non-statutory stock option agreement and a performance-based restricted stock unit representing a future issuance of restricted shares of our common stock based on a pre-tax income target for the fiscal year. Based on the committee’s assessment of the current program, including the information provided by Towers Perrin, our CEO was granted an option to purchase 33,333 shares of our common stock, while the other executive officers were each granted an option to purchase 9,333 shares of our common stock. The options were all granted at an exercise price of $15.43 (the fair market value as defined in our 2004 Omnibus Stock Plan) per share and vest in their entirety on May 13, 2011. The options will terminate on May 13, 2018.</w:t>
      </w:r>
    </w:p>
    <w:p>
      <w:pPr>
        <w:spacing w:after="0" w:line="198"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Compensation Committee determined the appropriate number of options to purchase shares for each of the executive officers based on the relative scope of his or her responsibilities and resulting ability to impact the Company’s performance. The committee granted to the Chief Executive Officer an option to purchase a higher number of shares to reflect his significant responsibilities regarding the creation and implementation of the Company’s long-term strategic direction.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80" w:firstLine="436"/>
        <w:spacing w:after="0" w:line="308" w:lineRule="auto"/>
        <w:rPr>
          <w:sz w:val="20"/>
          <w:szCs w:val="20"/>
          <w:color w:val="auto"/>
        </w:rPr>
      </w:pPr>
      <w:r>
        <w:rPr>
          <w:rFonts w:ascii="Arial" w:cs="Arial" w:eastAsia="Arial" w:hAnsi="Arial"/>
          <w:sz w:val="15"/>
          <w:szCs w:val="15"/>
          <w:color w:val="auto"/>
        </w:rPr>
        <w:t>The actual number of restricted shares issued to each executive officer under the performance-based restricted stock unit is based on a sliding scale for pre-tax income above or below the target and is subject to minimum and maximum thresholds. For fiscal 2009, the pre-tax income target was set at $17,900,000, while our actual performance was $38,221,000. The target was set higher than the annualized target used for the non-equity incentive arrangement described above and was based on actual performance in fiscal 2008 after taking into account a level of anticipated growth that was derived from the Company’s strategic plan. If our pre-tax income were less than 80% of the target pre-tax income in fiscal 2009, then no executive officer would have received restricted shares from the performance-based restricted stock units. If our pre-tax income were between 80% and 100% of the target in fiscal 2009, then the executive officers would have received a number of restricted shares based on a sliding scale between 50% of the target restricted shares and 100% of the target restricted shares. If our pre-tax income were between 100% and 120% of the target in fiscal 2009, then the executive officers would have received a number of restricted shares based on a sliding scale between 100% of the target restricted shares and 150% of the target restricted shares. Because our pre-tax income exceeded 120% of the target in fiscal 2009, the executive officers each received a maximum number of restricted shares based on 150% of the target restricted share amounts.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established the following target restricted share amounts for the executive officers for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1780" w:type="dxa"/>
            <w:vAlign w:val="bottom"/>
          </w:tcPr>
          <w:p>
            <w:pPr>
              <w:jc w:val="right"/>
              <w:ind w:right="539"/>
              <w:spacing w:after="0"/>
              <w:rPr>
                <w:sz w:val="20"/>
                <w:szCs w:val="20"/>
                <w:color w:val="auto"/>
              </w:rPr>
            </w:pPr>
            <w:r>
              <w:rPr>
                <w:rFonts w:ascii="Arial" w:cs="Arial" w:eastAsia="Arial" w:hAnsi="Arial"/>
                <w:sz w:val="14"/>
                <w:szCs w:val="14"/>
                <w:b w:val="1"/>
                <w:bCs w:val="1"/>
                <w:color w:val="auto"/>
              </w:rPr>
              <w:t>Minimum</w:t>
            </w:r>
          </w:p>
        </w:tc>
        <w:tc>
          <w:tcPr>
            <w:tcW w:w="660" w:type="dxa"/>
            <w:vAlign w:val="bottom"/>
          </w:tcPr>
          <w:p>
            <w:pPr>
              <w:spacing w:after="0"/>
              <w:rPr>
                <w:sz w:val="15"/>
                <w:szCs w:val="15"/>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rPr>
              <w:t>Target</w:t>
            </w:r>
          </w:p>
        </w:tc>
        <w:tc>
          <w:tcPr>
            <w:tcW w:w="680" w:type="dxa"/>
            <w:vAlign w:val="bottom"/>
          </w:tcPr>
          <w:p>
            <w:pPr>
              <w:spacing w:after="0"/>
              <w:rPr>
                <w:sz w:val="15"/>
                <w:szCs w:val="15"/>
                <w:color w:val="auto"/>
              </w:rPr>
            </w:pPr>
          </w:p>
        </w:tc>
        <w:tc>
          <w:tcPr>
            <w:tcW w:w="18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gridSpan w:val="2"/>
          </w:tcPr>
          <w:p>
            <w:pPr>
              <w:spacing w:after="0"/>
              <w:rPr>
                <w:sz w:val="8"/>
                <w:szCs w:val="8"/>
                <w:color w:val="auto"/>
              </w:rPr>
            </w:pPr>
          </w:p>
        </w:tc>
        <w:tc>
          <w:tcPr>
            <w:tcW w:w="1780" w:type="dxa"/>
            <w:vAlign w:val="bottom"/>
          </w:tcPr>
          <w:p>
            <w:pPr>
              <w:spacing w:after="0"/>
              <w:rPr>
                <w:sz w:val="8"/>
                <w:szCs w:val="8"/>
                <w:color w:val="auto"/>
              </w:rPr>
            </w:pPr>
          </w:p>
        </w:tc>
        <w:tc>
          <w:tcPr>
            <w:tcW w:w="2440" w:type="dxa"/>
            <w:vAlign w:val="bottom"/>
            <w:gridSpan w:val="2"/>
          </w:tcPr>
          <w:p>
            <w:pPr>
              <w:spacing w:after="0"/>
              <w:rPr>
                <w:sz w:val="8"/>
                <w:szCs w:val="8"/>
                <w:color w:val="auto"/>
              </w:rPr>
            </w:pPr>
          </w:p>
        </w:tc>
        <w:tc>
          <w:tcPr>
            <w:tcW w:w="24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CEO</w:t>
            </w:r>
          </w:p>
        </w:tc>
        <w:tc>
          <w:tcPr>
            <w:tcW w:w="1780" w:type="dxa"/>
            <w:vAlign w:val="bottom"/>
            <w:shd w:val="clear" w:color="auto" w:fill="D6F3E8"/>
          </w:tcPr>
          <w:p>
            <w:pPr>
              <w:jc w:val="right"/>
              <w:ind w:right="479"/>
              <w:spacing w:after="0"/>
              <w:rPr>
                <w:sz w:val="20"/>
                <w:szCs w:val="20"/>
                <w:color w:val="auto"/>
              </w:rPr>
            </w:pPr>
            <w:r>
              <w:rPr>
                <w:rFonts w:ascii="Arial" w:cs="Arial" w:eastAsia="Arial" w:hAnsi="Arial"/>
                <w:sz w:val="18"/>
                <w:szCs w:val="18"/>
                <w:color w:val="auto"/>
              </w:rPr>
              <w:t>4,167</w:t>
            </w:r>
          </w:p>
        </w:tc>
        <w:tc>
          <w:tcPr>
            <w:tcW w:w="2440" w:type="dxa"/>
            <w:vAlign w:val="bottom"/>
            <w:gridSpan w:val="2"/>
            <w:shd w:val="clear" w:color="auto" w:fill="D6F3E8"/>
          </w:tcPr>
          <w:p>
            <w:pPr>
              <w:jc w:val="right"/>
              <w:ind w:right="472"/>
              <w:spacing w:after="0"/>
              <w:rPr>
                <w:sz w:val="20"/>
                <w:szCs w:val="20"/>
                <w:color w:val="auto"/>
              </w:rPr>
            </w:pPr>
            <w:r>
              <w:rPr>
                <w:rFonts w:ascii="Arial" w:cs="Arial" w:eastAsia="Arial" w:hAnsi="Arial"/>
                <w:sz w:val="18"/>
                <w:szCs w:val="18"/>
                <w:color w:val="auto"/>
              </w:rPr>
              <w:t>8,333</w:t>
            </w:r>
          </w:p>
        </w:tc>
        <w:tc>
          <w:tcPr>
            <w:tcW w:w="2440" w:type="dxa"/>
            <w:vAlign w:val="bottom"/>
            <w:gridSpan w:val="2"/>
            <w:shd w:val="clear" w:color="auto" w:fill="D6F3E8"/>
          </w:tcPr>
          <w:p>
            <w:pPr>
              <w:jc w:val="right"/>
              <w:ind w:right="452"/>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Officers</w:t>
            </w:r>
          </w:p>
        </w:tc>
        <w:tc>
          <w:tcPr>
            <w:tcW w:w="1780" w:type="dxa"/>
            <w:vAlign w:val="bottom"/>
          </w:tcPr>
          <w:p>
            <w:pPr>
              <w:jc w:val="right"/>
              <w:ind w:right="479"/>
              <w:spacing w:after="0"/>
              <w:rPr>
                <w:sz w:val="20"/>
                <w:szCs w:val="20"/>
                <w:color w:val="auto"/>
              </w:rPr>
            </w:pPr>
            <w:r>
              <w:rPr>
                <w:rFonts w:ascii="Arial" w:cs="Arial" w:eastAsia="Arial" w:hAnsi="Arial"/>
                <w:sz w:val="18"/>
                <w:szCs w:val="18"/>
                <w:color w:val="auto"/>
              </w:rPr>
              <w:t>1,167</w:t>
            </w:r>
          </w:p>
        </w:tc>
        <w:tc>
          <w:tcPr>
            <w:tcW w:w="2440" w:type="dxa"/>
            <w:vAlign w:val="bottom"/>
            <w:gridSpan w:val="2"/>
          </w:tcPr>
          <w:p>
            <w:pPr>
              <w:jc w:val="right"/>
              <w:ind w:right="472"/>
              <w:spacing w:after="0"/>
              <w:rPr>
                <w:sz w:val="20"/>
                <w:szCs w:val="20"/>
                <w:color w:val="auto"/>
              </w:rPr>
            </w:pPr>
            <w:r>
              <w:rPr>
                <w:rFonts w:ascii="Arial" w:cs="Arial" w:eastAsia="Arial" w:hAnsi="Arial"/>
                <w:sz w:val="18"/>
                <w:szCs w:val="18"/>
                <w:color w:val="auto"/>
              </w:rPr>
              <w:t>2,333</w:t>
            </w:r>
          </w:p>
        </w:tc>
        <w:tc>
          <w:tcPr>
            <w:tcW w:w="2440" w:type="dxa"/>
            <w:vAlign w:val="bottom"/>
            <w:gridSpan w:val="2"/>
          </w:tcPr>
          <w:p>
            <w:pPr>
              <w:jc w:val="right"/>
              <w:ind w:right="452"/>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committee established a higher target opportunity for the Chief Executive Officer to reflect his significant responsibilities regarding the creation and implementation of the Company’s long-term strategic direction.</w:t>
      </w:r>
    </w:p>
    <w:p>
      <w:pPr>
        <w:spacing w:after="0" w:line="161"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The actual number of restricted shares issued to each executive officer was determined after our final financial information became available for fiscal 2009. The restricted shares will vest 100% two years after the last day of fiscal 2009. The restricted shares will terminate in their entirety if the executive officer departs the Company before the end of the vesting period.</w:t>
      </w:r>
    </w:p>
    <w:p>
      <w:pPr>
        <w:spacing w:after="0" w:line="194"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performance-based restricted stock unit equity award will vest immediately at 100% of its target if the Compensation Committee determines that the fundamental change will not result in the continuation of the performance-based restricted stock unit. Any shares of restricted stock outstanding under the performance-based restricted stock unit equity award will also immediately vest. If a performance-based restricted stock unit equity award is continued after a fundamental change, but, in connection with the fundamental change, an executive is terminated without cause or resigns for good cause, then the performance-based restricted stock unit and any restricted stock granted under the performance-based restricted stock unit equity award will vest in the same manner. We believe that these triggers in our new performance-based restricted stock unit equity award agreements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As defined in our 2004 Omnibus Stock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225" w:lineRule="exact"/>
        <w:rPr>
          <w:sz w:val="20"/>
          <w:szCs w:val="20"/>
          <w:color w:val="auto"/>
        </w:rPr>
      </w:pPr>
    </w:p>
    <w:p>
      <w:pPr>
        <w:ind w:right="460" w:firstLine="429"/>
        <w:spacing w:after="0" w:line="259" w:lineRule="auto"/>
        <w:rPr>
          <w:sz w:val="20"/>
          <w:szCs w:val="20"/>
          <w:color w:val="auto"/>
        </w:rPr>
      </w:pPr>
      <w:r>
        <w:rPr>
          <w:rFonts w:ascii="Arial" w:cs="Arial" w:eastAsia="Arial" w:hAnsi="Arial"/>
          <w:sz w:val="18"/>
          <w:szCs w:val="18"/>
          <w:color w:val="auto"/>
        </w:rPr>
        <w:t>All of our executive officers participate in our Money Purchase Pension Plan, which is generally available to all other non-bargaining unit employees. Contributions to the Money Purchase Pension Plan by us on behalf of our executive officers have been a key component of our retention objectives since contributed benefits initially vest over a six-year period.</w:t>
      </w:r>
    </w:p>
    <w:p>
      <w:pPr>
        <w:spacing w:after="0" w:line="194" w:lineRule="exact"/>
        <w:rPr>
          <w:sz w:val="20"/>
          <w:szCs w:val="20"/>
          <w:color w:val="auto"/>
        </w:rPr>
      </w:pPr>
    </w:p>
    <w:p>
      <w:pPr>
        <w:ind w:right="340" w:firstLine="439"/>
        <w:spacing w:after="0" w:line="332" w:lineRule="auto"/>
        <w:rPr>
          <w:sz w:val="20"/>
          <w:szCs w:val="20"/>
          <w:color w:val="auto"/>
        </w:rPr>
      </w:pPr>
      <w:r>
        <w:rPr>
          <w:rFonts w:ascii="Arial" w:cs="Arial" w:eastAsia="Arial" w:hAnsi="Arial"/>
          <w:sz w:val="16"/>
          <w:szCs w:val="16"/>
          <w:color w:val="auto"/>
        </w:rPr>
        <w:t>Under the plan, our executive officers participate on the same terms as all other eligible employees, with the annual compensation that was used to determine plan benefits being capped at $230,000 for fiscal 2009. This limit will be adjusted in future years under federal tax law for cost-of-living increases.</w:t>
      </w:r>
    </w:p>
    <w:p>
      <w:pPr>
        <w:spacing w:after="0" w:line="139"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Under our Money Purchase Pension Plan, we contributed a percentage of each eligible participant’s compensation to an account maintained for the participant under the plan. Participant accounts are credited with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80"/>
        <w:spacing w:after="0" w:line="306" w:lineRule="auto"/>
        <w:rPr>
          <w:sz w:val="20"/>
          <w:szCs w:val="20"/>
          <w:color w:val="auto"/>
        </w:rPr>
      </w:pPr>
      <w:r>
        <w:rPr>
          <w:rFonts w:ascii="Arial" w:cs="Arial" w:eastAsia="Arial" w:hAnsi="Arial"/>
          <w:sz w:val="16"/>
          <w:szCs w:val="16"/>
          <w:color w:val="auto"/>
        </w:rPr>
        <w:t>appropriate gains or losses resulting from employee-directed investments made by the plan. During recent years, including fiscal 2009, we made contributions to this plan equal to 15% of each participant’s compensation. For fiscal 2009, we contributed $34,500 on behalf of each executive officer other than Kathleen P. Pepski and Richard G. Erstad, who were hired in calendar 2008 and were not yet eligible for a contribution.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Our employees may acquire our stock through an employee stock purchase plan, which is generally available to all employees. As noted above, we ceased matching contributions by the Company on behalf of our executive officers under the plan beginning in June 2008. Purchases of common stock under this plan are made from accumulated contributions at the end of each month at the prevailing market price on the designated purchase dates, with the objective of allowing our employees to profit when the value of our stock increases over time. Participants in this plan may authorize us to deduct up to $500 a month from his or her paycheck, and we generally make a matching contribution of 75% of the participant’s purchases under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ind w:right="200" w:firstLine="436"/>
        <w:spacing w:after="0" w:line="332"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2009, we provided medical and other health and welfare benefits to our executive officers that are generally available to our other employees.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20" w:firstLine="436"/>
        <w:spacing w:after="0" w:line="254" w:lineRule="auto"/>
        <w:rPr>
          <w:sz w:val="20"/>
          <w:szCs w:val="20"/>
          <w:color w:val="auto"/>
        </w:rPr>
      </w:pPr>
      <w:r>
        <w:rPr>
          <w:rFonts w:ascii="Arial" w:cs="Arial" w:eastAsia="Arial" w:hAnsi="Arial"/>
          <w:sz w:val="18"/>
          <w:szCs w:val="18"/>
          <w:color w:val="auto"/>
        </w:rPr>
        <w:t>The Compensation Committee reviewed (with input from the Company’s independent directors) Mr. Hawkins’ performance for fiscal 2009. The committee reviewed Mr. Hawkins’ total compensation opportunity and determined that it was appropriately positioned relative to both the market for his position and the compensation of our other executive officers. The committee considers Mr. Hawkins’ potential for increased compensation through achievement of performance equal to, or exceeding, his performance targets, and long-term appreciation in our stock price through his options as critical to aligning his compensation with the interests of our shareholders. The Compensation Committee believes Mr. Hawkins’ total compensation potential continues to be competitive based on market data, his experience and his performance.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Post-Retirement Healthcare Coverage</w:t>
      </w:r>
    </w:p>
    <w:p>
      <w:pPr>
        <w:spacing w:after="0" w:line="225"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We currently permit any employee who retires after working for us for at least 25 years to continue to participate in our healthcare insurance coverage until that person reaches the age of 65. The cost to the retired employee for that coverage is equal to the amount that the retiree would have been obligated to pay for the coverage under COBRA (the Consolidated Omnibus Budget Reconciliation Act). This policy is based on the importance we place on the retention of executive officers and other employees.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 Deductibility of Compensation</w:t>
      </w:r>
    </w:p>
    <w:p>
      <w:pPr>
        <w:spacing w:after="0" w:line="225"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Section 162(m) of the Internal Revenue Code imposes a $1 million limit on the amount that a public company may deduct for compensation paid to the company’s Chief Executive Officer or its other three most highly paid executive officers (other than the Chief Financial Officer). This limitation does not apply to compensation that meets the requirements under Section 162(m) for “qualifying performance-based” compensation (i.e., compensation paid only if the individual’s performance meets pre-established objective goals based on performance criteria approved by shareholders). We did not believe that the cash incentive payment opportunity under our fiscal 2009 non-equity incentive plan for any of our covered executive officers would have exceeded the $1 million limit when combined with other applicable cash compensation, and as a result the Compensation Committee did not take steps to have the potential cash incentive payments qualified as performance-based compensation for Section 162(m)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right="420" w:firstLine="436"/>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Duane M. Jergenson (Chair)  Daryl I. Skaar  James T. Thompson  Jeffrey L. Wright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160" w:firstLine="436"/>
        <w:spacing w:after="0" w:line="268"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110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Year</w:t>
            </w:r>
          </w:p>
        </w:tc>
        <w:tc>
          <w:tcPr>
            <w:tcW w:w="10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($)(c)</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($)(d)</w:t>
            </w:r>
          </w:p>
        </w:tc>
        <w:tc>
          <w:tcPr>
            <w:tcW w:w="13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020" w:type="dxa"/>
            <w:vAlign w:val="bottom"/>
            <w:gridSpan w:val="2"/>
          </w:tcPr>
          <w:p>
            <w:pPr>
              <w:spacing w:after="0"/>
              <w:rPr>
                <w:sz w:val="8"/>
                <w:szCs w:val="8"/>
                <w:color w:val="auto"/>
              </w:rPr>
            </w:pPr>
          </w:p>
        </w:tc>
        <w:tc>
          <w:tcPr>
            <w:tcW w:w="128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Hawkins</w:t>
            </w:r>
          </w:p>
        </w:tc>
        <w:tc>
          <w:tcPr>
            <w:tcW w:w="340" w:type="dxa"/>
            <w:vAlign w:val="bottom"/>
            <w:shd w:val="clear" w:color="auto" w:fill="D6F3E8"/>
          </w:tcPr>
          <w:p>
            <w:pPr>
              <w:spacing w:after="0"/>
              <w:rPr>
                <w:sz w:val="12"/>
                <w:szCs w:val="12"/>
                <w:color w:val="auto"/>
              </w:rPr>
            </w:pPr>
          </w:p>
        </w:tc>
        <w:tc>
          <w:tcPr>
            <w:tcW w:w="6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327,642</w:t>
            </w:r>
          </w:p>
        </w:tc>
        <w:tc>
          <w:tcPr>
            <w:tcW w:w="200" w:type="dxa"/>
            <w:vAlign w:val="bottom"/>
            <w:shd w:val="clear" w:color="auto" w:fill="D6F3E8"/>
          </w:tcPr>
          <w:p>
            <w:pPr>
              <w:spacing w:after="0"/>
              <w:rPr>
                <w:sz w:val="12"/>
                <w:szCs w:val="12"/>
                <w:color w:val="auto"/>
              </w:rPr>
            </w:pPr>
          </w:p>
        </w:tc>
        <w:tc>
          <w:tcPr>
            <w:tcW w:w="9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63,334</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28,964</w:t>
            </w:r>
          </w:p>
        </w:tc>
        <w:tc>
          <w:tcPr>
            <w:tcW w:w="1280" w:type="dxa"/>
            <w:vAlign w:val="bottom"/>
            <w:gridSpan w:val="2"/>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359,083</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47,133</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826,156</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D6F3E8"/>
          </w:tcPr>
          <w:p>
            <w:pPr>
              <w:ind w:left="8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34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5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300,424</w:t>
            </w:r>
          </w:p>
        </w:tc>
        <w:tc>
          <w:tcPr>
            <w:tcW w:w="11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195,065</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49,902</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1080" w:type="dxa"/>
            <w:vAlign w:val="bottom"/>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49,500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594,891</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5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2007</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271,780</w:t>
            </w:r>
          </w:p>
        </w:tc>
        <w:tc>
          <w:tcPr>
            <w:tcW w:w="11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135,873</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20,548</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1080" w:type="dxa"/>
            <w:vAlign w:val="bottom"/>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48,500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476,701</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2120" w:type="dxa"/>
            <w:vAlign w:val="bottom"/>
            <w:gridSpan w:val="2"/>
          </w:tcPr>
          <w:p>
            <w:pPr>
              <w:spacing w:after="0"/>
              <w:rPr>
                <w:sz w:val="20"/>
                <w:szCs w:val="20"/>
                <w:color w:val="auto"/>
              </w:rPr>
            </w:pPr>
            <w:r>
              <w:rPr>
                <w:rFonts w:ascii="Arial" w:cs="Arial" w:eastAsia="Arial" w:hAnsi="Arial"/>
                <w:sz w:val="14"/>
                <w:szCs w:val="14"/>
                <w:color w:val="auto"/>
              </w:rPr>
              <w:t>Kathleen P. Pepski</w:t>
            </w: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color w:val="auto"/>
              </w:rPr>
              <w:t>2009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208,075</w:t>
            </w: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17,732</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8,110</w:t>
            </w:r>
          </w:p>
        </w:tc>
        <w:tc>
          <w:tcPr>
            <w:tcW w:w="1280" w:type="dxa"/>
            <w:vAlign w:val="bottom"/>
            <w:gridSpan w:val="2"/>
            <w:vMerge w:val="restart"/>
          </w:tcPr>
          <w:p>
            <w:pPr>
              <w:jc w:val="right"/>
              <w:ind w:right="92"/>
              <w:spacing w:after="0"/>
              <w:rPr>
                <w:sz w:val="20"/>
                <w:szCs w:val="20"/>
                <w:color w:val="auto"/>
              </w:rPr>
            </w:pPr>
            <w:r>
              <w:rPr>
                <w:rFonts w:ascii="Arial" w:cs="Arial" w:eastAsia="Arial" w:hAnsi="Arial"/>
                <w:sz w:val="14"/>
                <w:szCs w:val="14"/>
                <w:color w:val="auto"/>
              </w:rPr>
              <w:t>158,785</w:t>
            </w:r>
          </w:p>
        </w:tc>
        <w:tc>
          <w:tcPr>
            <w:tcW w:w="220" w:type="dxa"/>
            <w:vAlign w:val="bottom"/>
          </w:tcPr>
          <w:p>
            <w:pPr>
              <w:spacing w:after="0"/>
              <w:rPr>
                <w:sz w:val="24"/>
                <w:szCs w:val="24"/>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color w:val="auto"/>
              </w:rPr>
              <w:t>392,702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00" w:type="dxa"/>
            <w:vAlign w:val="bottom"/>
            <w:vMerge w:val="restart"/>
          </w:tcPr>
          <w:p>
            <w:pPr>
              <w:ind w:left="80"/>
              <w:spacing w:after="0" w:line="149" w:lineRule="exact"/>
              <w:rPr>
                <w:sz w:val="20"/>
                <w:szCs w:val="20"/>
                <w:color w:val="auto"/>
              </w:rPr>
            </w:pPr>
            <w:r>
              <w:rPr>
                <w:rFonts w:ascii="Arial" w:cs="Arial" w:eastAsia="Arial" w:hAnsi="Arial"/>
                <w:sz w:val="14"/>
                <w:szCs w:val="14"/>
                <w:i w:val="1"/>
                <w:iCs w:val="1"/>
                <w:color w:val="auto"/>
              </w:rPr>
              <w:t>Vice President, Chief Financial</w:t>
            </w:r>
          </w:p>
        </w:tc>
        <w:tc>
          <w:tcPr>
            <w:tcW w:w="98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120" w:type="dxa"/>
            <w:vAlign w:val="bottom"/>
            <w:gridSpan w:val="2"/>
          </w:tcPr>
          <w:p>
            <w:pPr>
              <w:spacing w:after="0"/>
              <w:rPr>
                <w:sz w:val="20"/>
                <w:szCs w:val="20"/>
                <w:color w:val="auto"/>
              </w:rPr>
            </w:pPr>
            <w:r>
              <w:rPr>
                <w:rFonts w:ascii="Arial" w:cs="Arial" w:eastAsia="Arial" w:hAnsi="Arial"/>
                <w:sz w:val="14"/>
                <w:szCs w:val="14"/>
                <w:i w:val="1"/>
                <w:iCs w:val="1"/>
                <w:color w:val="auto"/>
              </w:rPr>
              <w:t>Officer</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20,237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7,878</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28,115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00" w:type="dxa"/>
            <w:vAlign w:val="bottom"/>
          </w:tcPr>
          <w:p>
            <w:pPr>
              <w:ind w:left="80"/>
              <w:spacing w:after="0" w:line="125" w:lineRule="exact"/>
              <w:rPr>
                <w:sz w:val="20"/>
                <w:szCs w:val="20"/>
                <w:color w:val="auto"/>
              </w:rPr>
            </w:pPr>
            <w:r>
              <w:rPr>
                <w:rFonts w:ascii="Arial" w:cs="Arial" w:eastAsia="Arial" w:hAnsi="Arial"/>
                <w:sz w:val="14"/>
                <w:szCs w:val="14"/>
                <w:i w:val="1"/>
                <w:iCs w:val="1"/>
                <w:color w:val="auto"/>
              </w:rPr>
              <w:t>and Treasurer (beginning</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Arial" w:cs="Arial" w:eastAsia="Arial" w:hAnsi="Arial"/>
                <w:sz w:val="14"/>
                <w:szCs w:val="14"/>
                <w:i w:val="1"/>
                <w:iCs w:val="1"/>
                <w:color w:val="auto"/>
              </w:rPr>
              <w:t>February 26, 2008)</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100" w:type="dxa"/>
            <w:vAlign w:val="bottom"/>
          </w:tcPr>
          <w:p>
            <w:pPr>
              <w:spacing w:after="0"/>
              <w:rPr>
                <w:sz w:val="20"/>
                <w:szCs w:val="20"/>
                <w:color w:val="auto"/>
              </w:rPr>
            </w:pPr>
          </w:p>
        </w:tc>
        <w:tc>
          <w:tcPr>
            <w:tcW w:w="980" w:type="dxa"/>
            <w:vAlign w:val="bottom"/>
            <w:gridSpan w:val="3"/>
          </w:tcPr>
          <w:p>
            <w:pPr>
              <w:spacing w:after="0"/>
              <w:rPr>
                <w:sz w:val="20"/>
                <w:szCs w:val="20"/>
                <w:color w:val="auto"/>
              </w:rPr>
            </w:pPr>
          </w:p>
        </w:tc>
        <w:tc>
          <w:tcPr>
            <w:tcW w:w="1020" w:type="dxa"/>
            <w:vAlign w:val="bottom"/>
            <w:gridSpan w:val="2"/>
          </w:tcPr>
          <w:p>
            <w:pPr>
              <w:spacing w:after="0"/>
              <w:rPr>
                <w:sz w:val="20"/>
                <w:szCs w:val="20"/>
                <w:color w:val="auto"/>
              </w:rPr>
            </w:pPr>
          </w:p>
        </w:tc>
        <w:tc>
          <w:tcPr>
            <w:tcW w:w="11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D6F3E8"/>
          </w:tcPr>
          <w:p>
            <w:pPr>
              <w:spacing w:after="0"/>
              <w:rPr>
                <w:sz w:val="20"/>
                <w:szCs w:val="20"/>
                <w:color w:val="auto"/>
              </w:rPr>
            </w:pPr>
            <w:r>
              <w:rPr>
                <w:rFonts w:ascii="Arial" w:cs="Arial" w:eastAsia="Arial" w:hAnsi="Arial"/>
                <w:sz w:val="14"/>
                <w:szCs w:val="14"/>
                <w:color w:val="auto"/>
              </w:rPr>
              <w:t>Richard G. Erstad</w:t>
            </w:r>
          </w:p>
        </w:tc>
        <w:tc>
          <w:tcPr>
            <w:tcW w:w="340" w:type="dxa"/>
            <w:vAlign w:val="bottom"/>
            <w:shd w:val="clear" w:color="auto" w:fill="D6F3E8"/>
          </w:tcPr>
          <w:p>
            <w:pPr>
              <w:spacing w:after="0"/>
              <w:rPr>
                <w:sz w:val="14"/>
                <w:szCs w:val="14"/>
                <w:color w:val="auto"/>
              </w:rPr>
            </w:pP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2009</w:t>
            </w:r>
          </w:p>
        </w:tc>
        <w:tc>
          <w:tcPr>
            <w:tcW w:w="10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74,359</w:t>
            </w:r>
          </w:p>
        </w:tc>
        <w:tc>
          <w:tcPr>
            <w:tcW w:w="11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25,000</w:t>
            </w:r>
          </w:p>
        </w:tc>
        <w:tc>
          <w:tcPr>
            <w:tcW w:w="220" w:type="dxa"/>
            <w:vAlign w:val="bottom"/>
            <w:shd w:val="clear" w:color="auto" w:fill="D6F3E8"/>
          </w:tcPr>
          <w:p>
            <w:pPr>
              <w:spacing w:after="0"/>
              <w:rPr>
                <w:sz w:val="14"/>
                <w:szCs w:val="14"/>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4"/>
                <w:szCs w:val="14"/>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4"/>
                <w:szCs w:val="14"/>
                <w:color w:val="auto"/>
              </w:rPr>
            </w:pPr>
          </w:p>
        </w:tc>
        <w:tc>
          <w:tcPr>
            <w:tcW w:w="1080" w:type="dxa"/>
            <w:vAlign w:val="bottom"/>
            <w:shd w:val="clear" w:color="auto" w:fill="D6F3E8"/>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4"/>
                <w:szCs w:val="14"/>
                <w:color w:val="auto"/>
              </w:rPr>
            </w:pPr>
          </w:p>
        </w:tc>
        <w:tc>
          <w:tcPr>
            <w:tcW w:w="1200" w:type="dxa"/>
            <w:vAlign w:val="bottom"/>
            <w:shd w:val="clear" w:color="auto" w:fill="D6F3E8"/>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99,359</w:t>
            </w:r>
          </w:p>
        </w:tc>
        <w:tc>
          <w:tcPr>
            <w:tcW w:w="10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00" w:type="dxa"/>
            <w:vAlign w:val="bottom"/>
            <w:shd w:val="clear" w:color="auto" w:fill="D6F3E8"/>
          </w:tcPr>
          <w:p>
            <w:pPr>
              <w:ind w:left="80"/>
              <w:spacing w:after="0" w:line="125" w:lineRule="exact"/>
              <w:rPr>
                <w:sz w:val="20"/>
                <w:szCs w:val="20"/>
                <w:color w:val="auto"/>
              </w:rPr>
            </w:pPr>
            <w:r>
              <w:rPr>
                <w:rFonts w:ascii="Arial" w:cs="Arial" w:eastAsia="Arial" w:hAnsi="Arial"/>
                <w:sz w:val="14"/>
                <w:szCs w:val="14"/>
                <w:i w:val="1"/>
                <w:iCs w:val="1"/>
                <w:color w:val="auto"/>
                <w:w w:val="98"/>
              </w:rPr>
              <w:t>Vice President, General Counsel</w:t>
            </w:r>
          </w:p>
        </w:tc>
        <w:tc>
          <w:tcPr>
            <w:tcW w:w="340" w:type="dxa"/>
            <w:vAlign w:val="bottom"/>
            <w:shd w:val="clear" w:color="auto" w:fill="D6F3E8"/>
          </w:tcPr>
          <w:p>
            <w:pPr>
              <w:spacing w:after="0"/>
              <w:rPr>
                <w:sz w:val="10"/>
                <w:szCs w:val="10"/>
                <w:color w:val="auto"/>
              </w:rPr>
            </w:pPr>
          </w:p>
        </w:tc>
        <w:tc>
          <w:tcPr>
            <w:tcW w:w="120" w:type="dxa"/>
            <w:vAlign w:val="bottom"/>
            <w:shd w:val="clear" w:color="auto" w:fill="D6F3E8"/>
          </w:tcPr>
          <w:p>
            <w:pPr>
              <w:spacing w:after="0"/>
              <w:rPr>
                <w:sz w:val="10"/>
                <w:szCs w:val="10"/>
                <w:color w:val="auto"/>
              </w:rPr>
            </w:pPr>
          </w:p>
        </w:tc>
        <w:tc>
          <w:tcPr>
            <w:tcW w:w="52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2008</w:t>
            </w:r>
          </w:p>
        </w:tc>
        <w:tc>
          <w:tcPr>
            <w:tcW w:w="220" w:type="dxa"/>
            <w:vAlign w:val="bottom"/>
            <w:shd w:val="clear" w:color="auto" w:fill="D6F3E8"/>
          </w:tcPr>
          <w:p>
            <w:pPr>
              <w:spacing w:after="0"/>
              <w:rPr>
                <w:sz w:val="10"/>
                <w:szCs w:val="10"/>
                <w:color w:val="auto"/>
              </w:rPr>
            </w:pPr>
          </w:p>
        </w:tc>
        <w:tc>
          <w:tcPr>
            <w:tcW w:w="80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0"/>
                <w:szCs w:val="10"/>
                <w:color w:val="auto"/>
              </w:rPr>
            </w:pPr>
          </w:p>
        </w:tc>
        <w:tc>
          <w:tcPr>
            <w:tcW w:w="92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0"/>
                <w:szCs w:val="10"/>
                <w:color w:val="auto"/>
              </w:rPr>
            </w:pPr>
          </w:p>
        </w:tc>
        <w:tc>
          <w:tcPr>
            <w:tcW w:w="80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0"/>
                <w:szCs w:val="10"/>
                <w:color w:val="auto"/>
              </w:rPr>
            </w:pPr>
          </w:p>
        </w:tc>
        <w:tc>
          <w:tcPr>
            <w:tcW w:w="80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0"/>
                <w:szCs w:val="10"/>
                <w:color w:val="auto"/>
              </w:rPr>
            </w:pPr>
          </w:p>
        </w:tc>
        <w:tc>
          <w:tcPr>
            <w:tcW w:w="1080" w:type="dxa"/>
            <w:vAlign w:val="bottom"/>
            <w:vMerge w:val="restart"/>
            <w:shd w:val="clear" w:color="auto" w:fill="D6F3E8"/>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0"/>
                <w:szCs w:val="10"/>
                <w:color w:val="auto"/>
              </w:rPr>
            </w:pPr>
          </w:p>
        </w:tc>
        <w:tc>
          <w:tcPr>
            <w:tcW w:w="1200" w:type="dxa"/>
            <w:vAlign w:val="bottom"/>
            <w:vMerge w:val="restart"/>
            <w:shd w:val="clear" w:color="auto" w:fill="D6F3E8"/>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shd w:val="clear" w:color="auto" w:fill="D6F3E8"/>
          </w:tcPr>
          <w:p>
            <w:pPr>
              <w:spacing w:after="0"/>
              <w:rPr>
                <w:sz w:val="10"/>
                <w:szCs w:val="10"/>
                <w:color w:val="auto"/>
              </w:rPr>
            </w:pPr>
          </w:p>
        </w:tc>
        <w:tc>
          <w:tcPr>
            <w:tcW w:w="110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vMerge w:val="restart"/>
            <w:shd w:val="clear" w:color="auto" w:fill="D6F3E8"/>
          </w:tcPr>
          <w:p>
            <w:pPr>
              <w:ind w:left="80"/>
              <w:spacing w:after="0" w:line="149" w:lineRule="exact"/>
              <w:rPr>
                <w:sz w:val="20"/>
                <w:szCs w:val="20"/>
                <w:color w:val="auto"/>
              </w:rPr>
            </w:pPr>
            <w:r>
              <w:rPr>
                <w:rFonts w:ascii="Arial" w:cs="Arial" w:eastAsia="Arial" w:hAnsi="Arial"/>
                <w:sz w:val="14"/>
                <w:szCs w:val="14"/>
                <w:i w:val="1"/>
                <w:iCs w:val="1"/>
                <w:color w:val="auto"/>
              </w:rPr>
              <w:t>and Secretary (beginning</w:t>
            </w:r>
          </w:p>
        </w:tc>
        <w:tc>
          <w:tcPr>
            <w:tcW w:w="340" w:type="dxa"/>
            <w:vAlign w:val="bottom"/>
            <w:shd w:val="clear" w:color="auto" w:fill="D6F3E8"/>
          </w:tcPr>
          <w:p>
            <w:pPr>
              <w:spacing w:after="0"/>
              <w:rPr>
                <w:sz w:val="9"/>
                <w:szCs w:val="9"/>
                <w:color w:val="auto"/>
              </w:rPr>
            </w:pPr>
          </w:p>
        </w:tc>
        <w:tc>
          <w:tcPr>
            <w:tcW w:w="120" w:type="dxa"/>
            <w:vAlign w:val="bottom"/>
            <w:shd w:val="clear" w:color="auto" w:fill="D6F3E8"/>
          </w:tcPr>
          <w:p>
            <w:pPr>
              <w:spacing w:after="0"/>
              <w:rPr>
                <w:sz w:val="9"/>
                <w:szCs w:val="9"/>
                <w:color w:val="auto"/>
              </w:rPr>
            </w:pPr>
          </w:p>
        </w:tc>
        <w:tc>
          <w:tcPr>
            <w:tcW w:w="520" w:type="dxa"/>
            <w:vAlign w:val="bottom"/>
            <w:vMerge w:val="continue"/>
            <w:shd w:val="clear" w:color="auto" w:fill="D6F3E8"/>
          </w:tcPr>
          <w:p>
            <w:pPr>
              <w:spacing w:after="0"/>
              <w:rPr>
                <w:sz w:val="9"/>
                <w:szCs w:val="9"/>
                <w:color w:val="auto"/>
              </w:rPr>
            </w:pPr>
          </w:p>
        </w:tc>
        <w:tc>
          <w:tcPr>
            <w:tcW w:w="220" w:type="dxa"/>
            <w:vAlign w:val="bottom"/>
            <w:shd w:val="clear" w:color="auto" w:fill="D6F3E8"/>
          </w:tcPr>
          <w:p>
            <w:pPr>
              <w:spacing w:after="0"/>
              <w:rPr>
                <w:sz w:val="9"/>
                <w:szCs w:val="9"/>
                <w:color w:val="auto"/>
              </w:rPr>
            </w:pPr>
          </w:p>
        </w:tc>
        <w:tc>
          <w:tcPr>
            <w:tcW w:w="800" w:type="dxa"/>
            <w:vAlign w:val="bottom"/>
            <w:vMerge w:val="continue"/>
            <w:shd w:val="clear" w:color="auto" w:fill="D6F3E8"/>
          </w:tcPr>
          <w:p>
            <w:pPr>
              <w:spacing w:after="0"/>
              <w:rPr>
                <w:sz w:val="9"/>
                <w:szCs w:val="9"/>
                <w:color w:val="auto"/>
              </w:rPr>
            </w:pPr>
          </w:p>
        </w:tc>
        <w:tc>
          <w:tcPr>
            <w:tcW w:w="200" w:type="dxa"/>
            <w:vAlign w:val="bottom"/>
            <w:shd w:val="clear" w:color="auto" w:fill="D6F3E8"/>
          </w:tcPr>
          <w:p>
            <w:pPr>
              <w:spacing w:after="0"/>
              <w:rPr>
                <w:sz w:val="9"/>
                <w:szCs w:val="9"/>
                <w:color w:val="auto"/>
              </w:rPr>
            </w:pPr>
          </w:p>
        </w:tc>
        <w:tc>
          <w:tcPr>
            <w:tcW w:w="920" w:type="dxa"/>
            <w:vAlign w:val="bottom"/>
            <w:vMerge w:val="continue"/>
            <w:shd w:val="clear" w:color="auto" w:fill="D6F3E8"/>
          </w:tcPr>
          <w:p>
            <w:pPr>
              <w:spacing w:after="0"/>
              <w:rPr>
                <w:sz w:val="9"/>
                <w:szCs w:val="9"/>
                <w:color w:val="auto"/>
              </w:rPr>
            </w:pPr>
          </w:p>
        </w:tc>
        <w:tc>
          <w:tcPr>
            <w:tcW w:w="220" w:type="dxa"/>
            <w:vAlign w:val="bottom"/>
            <w:shd w:val="clear" w:color="auto" w:fill="D6F3E8"/>
          </w:tcPr>
          <w:p>
            <w:pPr>
              <w:spacing w:after="0"/>
              <w:rPr>
                <w:sz w:val="9"/>
                <w:szCs w:val="9"/>
                <w:color w:val="auto"/>
              </w:rPr>
            </w:pPr>
          </w:p>
        </w:tc>
        <w:tc>
          <w:tcPr>
            <w:tcW w:w="800" w:type="dxa"/>
            <w:vAlign w:val="bottom"/>
            <w:vMerge w:val="continue"/>
            <w:shd w:val="clear" w:color="auto" w:fill="D6F3E8"/>
          </w:tcPr>
          <w:p>
            <w:pPr>
              <w:spacing w:after="0"/>
              <w:rPr>
                <w:sz w:val="9"/>
                <w:szCs w:val="9"/>
                <w:color w:val="auto"/>
              </w:rPr>
            </w:pPr>
          </w:p>
        </w:tc>
        <w:tc>
          <w:tcPr>
            <w:tcW w:w="220" w:type="dxa"/>
            <w:vAlign w:val="bottom"/>
            <w:shd w:val="clear" w:color="auto" w:fill="D6F3E8"/>
          </w:tcPr>
          <w:p>
            <w:pPr>
              <w:spacing w:after="0"/>
              <w:rPr>
                <w:sz w:val="9"/>
                <w:szCs w:val="9"/>
                <w:color w:val="auto"/>
              </w:rPr>
            </w:pPr>
          </w:p>
        </w:tc>
        <w:tc>
          <w:tcPr>
            <w:tcW w:w="800" w:type="dxa"/>
            <w:vAlign w:val="bottom"/>
            <w:vMerge w:val="continue"/>
            <w:shd w:val="clear" w:color="auto" w:fill="D6F3E8"/>
          </w:tcPr>
          <w:p>
            <w:pPr>
              <w:spacing w:after="0"/>
              <w:rPr>
                <w:sz w:val="9"/>
                <w:szCs w:val="9"/>
                <w:color w:val="auto"/>
              </w:rPr>
            </w:pPr>
          </w:p>
        </w:tc>
        <w:tc>
          <w:tcPr>
            <w:tcW w:w="200" w:type="dxa"/>
            <w:vAlign w:val="bottom"/>
            <w:shd w:val="clear" w:color="auto" w:fill="D6F3E8"/>
          </w:tcPr>
          <w:p>
            <w:pPr>
              <w:spacing w:after="0"/>
              <w:rPr>
                <w:sz w:val="9"/>
                <w:szCs w:val="9"/>
                <w:color w:val="auto"/>
              </w:rPr>
            </w:pPr>
          </w:p>
        </w:tc>
        <w:tc>
          <w:tcPr>
            <w:tcW w:w="1080" w:type="dxa"/>
            <w:vAlign w:val="bottom"/>
            <w:vMerge w:val="continue"/>
            <w:shd w:val="clear" w:color="auto" w:fill="D6F3E8"/>
          </w:tcPr>
          <w:p>
            <w:pPr>
              <w:spacing w:after="0"/>
              <w:rPr>
                <w:sz w:val="9"/>
                <w:szCs w:val="9"/>
                <w:color w:val="auto"/>
              </w:rPr>
            </w:pPr>
          </w:p>
        </w:tc>
        <w:tc>
          <w:tcPr>
            <w:tcW w:w="220" w:type="dxa"/>
            <w:vAlign w:val="bottom"/>
            <w:shd w:val="clear" w:color="auto" w:fill="D6F3E8"/>
          </w:tcPr>
          <w:p>
            <w:pPr>
              <w:spacing w:after="0"/>
              <w:rPr>
                <w:sz w:val="9"/>
                <w:szCs w:val="9"/>
                <w:color w:val="auto"/>
              </w:rPr>
            </w:pPr>
          </w:p>
        </w:tc>
        <w:tc>
          <w:tcPr>
            <w:tcW w:w="1200" w:type="dxa"/>
            <w:vAlign w:val="bottom"/>
            <w:vMerge w:val="continue"/>
            <w:shd w:val="clear" w:color="auto" w:fill="D6F3E8"/>
          </w:tcPr>
          <w:p>
            <w:pPr>
              <w:spacing w:after="0"/>
              <w:rPr>
                <w:sz w:val="9"/>
                <w:szCs w:val="9"/>
                <w:color w:val="auto"/>
              </w:rPr>
            </w:pPr>
          </w:p>
        </w:tc>
        <w:tc>
          <w:tcPr>
            <w:tcW w:w="240" w:type="dxa"/>
            <w:vAlign w:val="bottom"/>
            <w:shd w:val="clear" w:color="auto" w:fill="D6F3E8"/>
          </w:tcPr>
          <w:p>
            <w:pPr>
              <w:spacing w:after="0"/>
              <w:rPr>
                <w:sz w:val="9"/>
                <w:szCs w:val="9"/>
                <w:color w:val="auto"/>
              </w:rPr>
            </w:pPr>
          </w:p>
        </w:tc>
        <w:tc>
          <w:tcPr>
            <w:tcW w:w="1100" w:type="dxa"/>
            <w:vAlign w:val="bottom"/>
            <w:vMerge w:val="continue"/>
            <w:shd w:val="clear" w:color="auto" w:fill="D6F3E8"/>
          </w:tcPr>
          <w:p>
            <w:pPr>
              <w:spacing w:after="0"/>
              <w:rPr>
                <w:sz w:val="9"/>
                <w:szCs w:val="9"/>
                <w:color w:val="auto"/>
              </w:rPr>
            </w:pPr>
          </w:p>
        </w:tc>
        <w:tc>
          <w:tcPr>
            <w:tcW w:w="100" w:type="dxa"/>
            <w:vAlign w:val="bottom"/>
            <w:shd w:val="clear" w:color="auto" w:fill="D6F3E8"/>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100" w:type="dxa"/>
            <w:vAlign w:val="bottom"/>
            <w:vMerge w:val="continue"/>
            <w:shd w:val="clear" w:color="auto" w:fill="D6F3E8"/>
          </w:tcPr>
          <w:p>
            <w:pPr>
              <w:spacing w:after="0"/>
              <w:rPr>
                <w:sz w:val="3"/>
                <w:szCs w:val="3"/>
                <w:color w:val="auto"/>
              </w:rPr>
            </w:pPr>
          </w:p>
        </w:tc>
        <w:tc>
          <w:tcPr>
            <w:tcW w:w="340" w:type="dxa"/>
            <w:vAlign w:val="bottom"/>
            <w:shd w:val="clear" w:color="auto" w:fill="D6F3E8"/>
          </w:tcPr>
          <w:p>
            <w:pPr>
              <w:spacing w:after="0"/>
              <w:rPr>
                <w:sz w:val="3"/>
                <w:szCs w:val="3"/>
                <w:color w:val="auto"/>
              </w:rPr>
            </w:pPr>
          </w:p>
        </w:tc>
        <w:tc>
          <w:tcPr>
            <w:tcW w:w="120" w:type="dxa"/>
            <w:vAlign w:val="bottom"/>
            <w:shd w:val="clear" w:color="auto" w:fill="D6F3E8"/>
          </w:tcPr>
          <w:p>
            <w:pPr>
              <w:spacing w:after="0"/>
              <w:rPr>
                <w:sz w:val="3"/>
                <w:szCs w:val="3"/>
                <w:color w:val="auto"/>
              </w:rPr>
            </w:pPr>
          </w:p>
        </w:tc>
        <w:tc>
          <w:tcPr>
            <w:tcW w:w="520" w:type="dxa"/>
            <w:vAlign w:val="bottom"/>
            <w:shd w:val="clear" w:color="auto" w:fill="D6F3E8"/>
          </w:tcPr>
          <w:p>
            <w:pPr>
              <w:spacing w:after="0"/>
              <w:rPr>
                <w:sz w:val="3"/>
                <w:szCs w:val="3"/>
                <w:color w:val="auto"/>
              </w:rPr>
            </w:pPr>
          </w:p>
        </w:tc>
        <w:tc>
          <w:tcPr>
            <w:tcW w:w="220" w:type="dxa"/>
            <w:vAlign w:val="bottom"/>
            <w:shd w:val="clear" w:color="auto" w:fill="D6F3E8"/>
          </w:tcPr>
          <w:p>
            <w:pPr>
              <w:spacing w:after="0"/>
              <w:rPr>
                <w:sz w:val="3"/>
                <w:szCs w:val="3"/>
                <w:color w:val="auto"/>
              </w:rPr>
            </w:pPr>
          </w:p>
        </w:tc>
        <w:tc>
          <w:tcPr>
            <w:tcW w:w="800" w:type="dxa"/>
            <w:vAlign w:val="bottom"/>
            <w:shd w:val="clear" w:color="auto" w:fill="D6F3E8"/>
          </w:tcPr>
          <w:p>
            <w:pPr>
              <w:spacing w:after="0"/>
              <w:rPr>
                <w:sz w:val="3"/>
                <w:szCs w:val="3"/>
                <w:color w:val="auto"/>
              </w:rPr>
            </w:pPr>
          </w:p>
        </w:tc>
        <w:tc>
          <w:tcPr>
            <w:tcW w:w="200" w:type="dxa"/>
            <w:vAlign w:val="bottom"/>
            <w:shd w:val="clear" w:color="auto" w:fill="D6F3E8"/>
          </w:tcPr>
          <w:p>
            <w:pPr>
              <w:spacing w:after="0"/>
              <w:rPr>
                <w:sz w:val="3"/>
                <w:szCs w:val="3"/>
                <w:color w:val="auto"/>
              </w:rPr>
            </w:pPr>
          </w:p>
        </w:tc>
        <w:tc>
          <w:tcPr>
            <w:tcW w:w="920" w:type="dxa"/>
            <w:vAlign w:val="bottom"/>
            <w:shd w:val="clear" w:color="auto" w:fill="D6F3E8"/>
          </w:tcPr>
          <w:p>
            <w:pPr>
              <w:spacing w:after="0"/>
              <w:rPr>
                <w:sz w:val="3"/>
                <w:szCs w:val="3"/>
                <w:color w:val="auto"/>
              </w:rPr>
            </w:pPr>
          </w:p>
        </w:tc>
        <w:tc>
          <w:tcPr>
            <w:tcW w:w="220" w:type="dxa"/>
            <w:vAlign w:val="bottom"/>
            <w:shd w:val="clear" w:color="auto" w:fill="D6F3E8"/>
          </w:tcPr>
          <w:p>
            <w:pPr>
              <w:spacing w:after="0"/>
              <w:rPr>
                <w:sz w:val="3"/>
                <w:szCs w:val="3"/>
                <w:color w:val="auto"/>
              </w:rPr>
            </w:pPr>
          </w:p>
        </w:tc>
        <w:tc>
          <w:tcPr>
            <w:tcW w:w="800" w:type="dxa"/>
            <w:vAlign w:val="bottom"/>
            <w:shd w:val="clear" w:color="auto" w:fill="D6F3E8"/>
          </w:tcPr>
          <w:p>
            <w:pPr>
              <w:spacing w:after="0"/>
              <w:rPr>
                <w:sz w:val="3"/>
                <w:szCs w:val="3"/>
                <w:color w:val="auto"/>
              </w:rPr>
            </w:pPr>
          </w:p>
        </w:tc>
        <w:tc>
          <w:tcPr>
            <w:tcW w:w="220" w:type="dxa"/>
            <w:vAlign w:val="bottom"/>
            <w:shd w:val="clear" w:color="auto" w:fill="D6F3E8"/>
          </w:tcPr>
          <w:p>
            <w:pPr>
              <w:spacing w:after="0"/>
              <w:rPr>
                <w:sz w:val="3"/>
                <w:szCs w:val="3"/>
                <w:color w:val="auto"/>
              </w:rPr>
            </w:pPr>
          </w:p>
        </w:tc>
        <w:tc>
          <w:tcPr>
            <w:tcW w:w="800" w:type="dxa"/>
            <w:vAlign w:val="bottom"/>
            <w:shd w:val="clear" w:color="auto" w:fill="D6F3E8"/>
          </w:tcPr>
          <w:p>
            <w:pPr>
              <w:spacing w:after="0"/>
              <w:rPr>
                <w:sz w:val="3"/>
                <w:szCs w:val="3"/>
                <w:color w:val="auto"/>
              </w:rPr>
            </w:pPr>
          </w:p>
        </w:tc>
        <w:tc>
          <w:tcPr>
            <w:tcW w:w="200" w:type="dxa"/>
            <w:vAlign w:val="bottom"/>
            <w:shd w:val="clear" w:color="auto" w:fill="D6F3E8"/>
          </w:tcPr>
          <w:p>
            <w:pPr>
              <w:spacing w:after="0"/>
              <w:rPr>
                <w:sz w:val="3"/>
                <w:szCs w:val="3"/>
                <w:color w:val="auto"/>
              </w:rPr>
            </w:pPr>
          </w:p>
        </w:tc>
        <w:tc>
          <w:tcPr>
            <w:tcW w:w="1080" w:type="dxa"/>
            <w:vAlign w:val="bottom"/>
            <w:shd w:val="clear" w:color="auto" w:fill="D6F3E8"/>
          </w:tcPr>
          <w:p>
            <w:pPr>
              <w:spacing w:after="0"/>
              <w:rPr>
                <w:sz w:val="3"/>
                <w:szCs w:val="3"/>
                <w:color w:val="auto"/>
              </w:rPr>
            </w:pPr>
          </w:p>
        </w:tc>
        <w:tc>
          <w:tcPr>
            <w:tcW w:w="220" w:type="dxa"/>
            <w:vAlign w:val="bottom"/>
            <w:shd w:val="clear" w:color="auto" w:fill="D6F3E8"/>
          </w:tcPr>
          <w:p>
            <w:pPr>
              <w:spacing w:after="0"/>
              <w:rPr>
                <w:sz w:val="3"/>
                <w:szCs w:val="3"/>
                <w:color w:val="auto"/>
              </w:rPr>
            </w:pPr>
          </w:p>
        </w:tc>
        <w:tc>
          <w:tcPr>
            <w:tcW w:w="1200" w:type="dxa"/>
            <w:vAlign w:val="bottom"/>
            <w:shd w:val="clear" w:color="auto" w:fill="D6F3E8"/>
          </w:tcPr>
          <w:p>
            <w:pPr>
              <w:spacing w:after="0"/>
              <w:rPr>
                <w:sz w:val="3"/>
                <w:szCs w:val="3"/>
                <w:color w:val="auto"/>
              </w:rPr>
            </w:pPr>
          </w:p>
        </w:tc>
        <w:tc>
          <w:tcPr>
            <w:tcW w:w="240" w:type="dxa"/>
            <w:vAlign w:val="bottom"/>
            <w:shd w:val="clear" w:color="auto" w:fill="D6F3E8"/>
          </w:tcPr>
          <w:p>
            <w:pPr>
              <w:spacing w:after="0"/>
              <w:rPr>
                <w:sz w:val="3"/>
                <w:szCs w:val="3"/>
                <w:color w:val="auto"/>
              </w:rPr>
            </w:pPr>
          </w:p>
        </w:tc>
        <w:tc>
          <w:tcPr>
            <w:tcW w:w="1100" w:type="dxa"/>
            <w:vAlign w:val="bottom"/>
            <w:shd w:val="clear" w:color="auto" w:fill="D6F3E8"/>
          </w:tcPr>
          <w:p>
            <w:pPr>
              <w:spacing w:after="0"/>
              <w:rPr>
                <w:sz w:val="3"/>
                <w:szCs w:val="3"/>
                <w:color w:val="auto"/>
              </w:rPr>
            </w:pPr>
          </w:p>
        </w:tc>
        <w:tc>
          <w:tcPr>
            <w:tcW w:w="100" w:type="dxa"/>
            <w:vAlign w:val="bottom"/>
            <w:shd w:val="clear" w:color="auto" w:fill="D6F3E8"/>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D6F3E8"/>
          </w:tcPr>
          <w:p>
            <w:pPr>
              <w:ind w:left="80"/>
              <w:spacing w:after="0" w:line="159" w:lineRule="exact"/>
              <w:rPr>
                <w:sz w:val="20"/>
                <w:szCs w:val="20"/>
                <w:color w:val="auto"/>
              </w:rPr>
            </w:pPr>
            <w:r>
              <w:rPr>
                <w:rFonts w:ascii="Arial" w:cs="Arial" w:eastAsia="Arial" w:hAnsi="Arial"/>
                <w:sz w:val="14"/>
                <w:szCs w:val="14"/>
                <w:i w:val="1"/>
                <w:iCs w:val="1"/>
                <w:color w:val="auto"/>
              </w:rPr>
              <w:t>November 17, 2008)</w:t>
            </w:r>
          </w:p>
        </w:tc>
        <w:tc>
          <w:tcPr>
            <w:tcW w:w="340" w:type="dxa"/>
            <w:vAlign w:val="bottom"/>
            <w:shd w:val="clear" w:color="auto" w:fill="D6F3E8"/>
          </w:tcPr>
          <w:p>
            <w:pPr>
              <w:spacing w:after="0"/>
              <w:rPr>
                <w:sz w:val="13"/>
                <w:szCs w:val="13"/>
                <w:color w:val="auto"/>
              </w:rPr>
            </w:pPr>
          </w:p>
        </w:tc>
        <w:tc>
          <w:tcPr>
            <w:tcW w:w="120" w:type="dxa"/>
            <w:vAlign w:val="bottom"/>
            <w:shd w:val="clear" w:color="auto" w:fill="D6F3E8"/>
          </w:tcPr>
          <w:p>
            <w:pPr>
              <w:spacing w:after="0"/>
              <w:rPr>
                <w:sz w:val="13"/>
                <w:szCs w:val="13"/>
                <w:color w:val="auto"/>
              </w:rPr>
            </w:pPr>
          </w:p>
        </w:tc>
        <w:tc>
          <w:tcPr>
            <w:tcW w:w="52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2007</w:t>
            </w:r>
          </w:p>
        </w:tc>
        <w:tc>
          <w:tcPr>
            <w:tcW w:w="220" w:type="dxa"/>
            <w:vAlign w:val="bottom"/>
            <w:shd w:val="clear" w:color="auto" w:fill="D6F3E8"/>
          </w:tcPr>
          <w:p>
            <w:pPr>
              <w:spacing w:after="0"/>
              <w:rPr>
                <w:sz w:val="13"/>
                <w:szCs w:val="13"/>
                <w:color w:val="auto"/>
              </w:rPr>
            </w:pPr>
          </w:p>
        </w:tc>
        <w:tc>
          <w:tcPr>
            <w:tcW w:w="80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3"/>
                <w:szCs w:val="13"/>
                <w:color w:val="auto"/>
              </w:rPr>
            </w:pPr>
          </w:p>
        </w:tc>
        <w:tc>
          <w:tcPr>
            <w:tcW w:w="92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3"/>
                <w:szCs w:val="13"/>
                <w:color w:val="auto"/>
              </w:rPr>
            </w:pPr>
          </w:p>
        </w:tc>
        <w:tc>
          <w:tcPr>
            <w:tcW w:w="80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3"/>
                <w:szCs w:val="13"/>
                <w:color w:val="auto"/>
              </w:rPr>
            </w:pPr>
          </w:p>
        </w:tc>
        <w:tc>
          <w:tcPr>
            <w:tcW w:w="80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3"/>
                <w:szCs w:val="13"/>
                <w:color w:val="auto"/>
              </w:rPr>
            </w:pPr>
          </w:p>
        </w:tc>
        <w:tc>
          <w:tcPr>
            <w:tcW w:w="1080" w:type="dxa"/>
            <w:vAlign w:val="bottom"/>
            <w:shd w:val="clear" w:color="auto" w:fill="D6F3E8"/>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3"/>
                <w:szCs w:val="13"/>
                <w:color w:val="auto"/>
              </w:rPr>
            </w:pPr>
          </w:p>
        </w:tc>
        <w:tc>
          <w:tcPr>
            <w:tcW w:w="1200" w:type="dxa"/>
            <w:vAlign w:val="bottom"/>
            <w:shd w:val="clear" w:color="auto" w:fill="D6F3E8"/>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D6F3E8"/>
          </w:tcPr>
          <w:p>
            <w:pPr>
              <w:spacing w:after="0"/>
              <w:rPr>
                <w:sz w:val="13"/>
                <w:szCs w:val="13"/>
                <w:color w:val="auto"/>
              </w:rPr>
            </w:pPr>
          </w:p>
        </w:tc>
        <w:tc>
          <w:tcPr>
            <w:tcW w:w="1100" w:type="dxa"/>
            <w:vAlign w:val="bottom"/>
            <w:shd w:val="clear" w:color="auto" w:fill="D6F3E8"/>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120" w:type="dxa"/>
            <w:vAlign w:val="bottom"/>
            <w:gridSpan w:val="2"/>
          </w:tcPr>
          <w:p>
            <w:pPr>
              <w:spacing w:after="0"/>
              <w:rPr>
                <w:sz w:val="20"/>
                <w:szCs w:val="20"/>
                <w:color w:val="auto"/>
              </w:rPr>
            </w:pPr>
            <w:r>
              <w:rPr>
                <w:rFonts w:ascii="Arial" w:cs="Arial" w:eastAsia="Arial" w:hAnsi="Arial"/>
                <w:sz w:val="14"/>
                <w:szCs w:val="14"/>
                <w:color w:val="auto"/>
              </w:rPr>
              <w:t>Keenan A. Paulson</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205,233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17,732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8,110</w:t>
            </w:r>
          </w:p>
        </w:tc>
        <w:tc>
          <w:tcPr>
            <w:tcW w:w="1280" w:type="dxa"/>
            <w:vAlign w:val="bottom"/>
            <w:gridSpan w:val="2"/>
          </w:tcPr>
          <w:p>
            <w:pPr>
              <w:jc w:val="right"/>
              <w:ind w:right="92"/>
              <w:spacing w:after="0"/>
              <w:rPr>
                <w:sz w:val="20"/>
                <w:szCs w:val="20"/>
                <w:color w:val="auto"/>
              </w:rPr>
            </w:pPr>
            <w:r>
              <w:rPr>
                <w:rFonts w:ascii="Arial" w:cs="Arial" w:eastAsia="Arial" w:hAnsi="Arial"/>
                <w:sz w:val="14"/>
                <w:szCs w:val="14"/>
                <w:color w:val="auto"/>
              </w:rPr>
              <w:t>136,970</w:t>
            </w: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35,250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403,295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Vice President –</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191,584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89,049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10,320</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49,500</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340,453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ind w:left="80"/>
              <w:spacing w:after="0"/>
              <w:rPr>
                <w:sz w:val="20"/>
                <w:szCs w:val="20"/>
                <w:color w:val="auto"/>
              </w:rPr>
            </w:pPr>
            <w:r>
              <w:rPr>
                <w:rFonts w:ascii="Arial" w:cs="Arial" w:eastAsia="Arial" w:hAnsi="Arial"/>
                <w:sz w:val="14"/>
                <w:szCs w:val="14"/>
                <w:i w:val="1"/>
                <w:iCs w:val="1"/>
                <w:color w:val="auto"/>
              </w:rPr>
              <w:t>Water Treatment Group</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175,556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79,067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4,249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48,500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307,372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100" w:type="dxa"/>
            <w:vAlign w:val="bottom"/>
          </w:tcPr>
          <w:p>
            <w:pPr>
              <w:spacing w:after="0"/>
              <w:rPr>
                <w:sz w:val="20"/>
                <w:szCs w:val="20"/>
                <w:color w:val="auto"/>
              </w:rPr>
            </w:pPr>
          </w:p>
        </w:tc>
        <w:tc>
          <w:tcPr>
            <w:tcW w:w="980" w:type="dxa"/>
            <w:vAlign w:val="bottom"/>
            <w:gridSpan w:val="3"/>
          </w:tcPr>
          <w:p>
            <w:pPr>
              <w:spacing w:after="0"/>
              <w:rPr>
                <w:sz w:val="20"/>
                <w:szCs w:val="20"/>
                <w:color w:val="auto"/>
              </w:rPr>
            </w:pPr>
          </w:p>
        </w:tc>
        <w:tc>
          <w:tcPr>
            <w:tcW w:w="10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128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13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340" w:type="dxa"/>
            <w:vAlign w:val="bottom"/>
            <w:shd w:val="clear" w:color="auto" w:fill="D6F3E8"/>
          </w:tcPr>
          <w:p>
            <w:pPr>
              <w:spacing w:after="0"/>
              <w:rPr>
                <w:sz w:val="12"/>
                <w:szCs w:val="12"/>
                <w:color w:val="auto"/>
              </w:rPr>
            </w:pPr>
          </w:p>
        </w:tc>
        <w:tc>
          <w:tcPr>
            <w:tcW w:w="6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193,053</w:t>
            </w:r>
          </w:p>
        </w:tc>
        <w:tc>
          <w:tcPr>
            <w:tcW w:w="200" w:type="dxa"/>
            <w:vAlign w:val="bottom"/>
            <w:shd w:val="clear" w:color="auto" w:fill="D6F3E8"/>
          </w:tcPr>
          <w:p>
            <w:pPr>
              <w:spacing w:after="0"/>
              <w:rPr>
                <w:sz w:val="12"/>
                <w:szCs w:val="12"/>
                <w:color w:val="auto"/>
              </w:rPr>
            </w:pPr>
          </w:p>
        </w:tc>
        <w:tc>
          <w:tcPr>
            <w:tcW w:w="9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17,732</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8,110</w:t>
            </w:r>
          </w:p>
        </w:tc>
        <w:tc>
          <w:tcPr>
            <w:tcW w:w="1280" w:type="dxa"/>
            <w:vAlign w:val="bottom"/>
            <w:gridSpan w:val="2"/>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141,052</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35,250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395,197</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D6F3E8"/>
          </w:tcPr>
          <w:p>
            <w:pPr>
              <w:ind w:left="80"/>
              <w:spacing w:after="0" w:line="149" w:lineRule="exact"/>
              <w:rPr>
                <w:sz w:val="20"/>
                <w:szCs w:val="20"/>
                <w:color w:val="auto"/>
              </w:rPr>
            </w:pPr>
            <w:r>
              <w:rPr>
                <w:rFonts w:ascii="Arial" w:cs="Arial" w:eastAsia="Arial" w:hAnsi="Arial"/>
                <w:sz w:val="14"/>
                <w:szCs w:val="14"/>
                <w:i w:val="1"/>
                <w:iCs w:val="1"/>
                <w:color w:val="auto"/>
              </w:rPr>
              <w:t>Vice President –</w:t>
            </w:r>
          </w:p>
        </w:tc>
        <w:tc>
          <w:tcPr>
            <w:tcW w:w="34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5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181,163</w:t>
            </w:r>
          </w:p>
        </w:tc>
        <w:tc>
          <w:tcPr>
            <w:tcW w:w="11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86,627</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1080" w:type="dxa"/>
            <w:vAlign w:val="bottom"/>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49,500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317,290</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D6F3E8"/>
          </w:tcPr>
          <w:p>
            <w:pPr>
              <w:ind w:left="80"/>
              <w:spacing w:after="0" w:line="149" w:lineRule="exact"/>
              <w:rPr>
                <w:sz w:val="20"/>
                <w:szCs w:val="20"/>
                <w:color w:val="auto"/>
              </w:rPr>
            </w:pPr>
            <w:r>
              <w:rPr>
                <w:rFonts w:ascii="Arial" w:cs="Arial" w:eastAsia="Arial" w:hAnsi="Arial"/>
                <w:sz w:val="14"/>
                <w:szCs w:val="14"/>
                <w:i w:val="1"/>
                <w:iCs w:val="1"/>
                <w:color w:val="auto"/>
              </w:rPr>
              <w:t>Industrial Group</w:t>
            </w:r>
          </w:p>
        </w:tc>
        <w:tc>
          <w:tcPr>
            <w:tcW w:w="34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5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2007</w:t>
            </w:r>
          </w:p>
        </w:tc>
        <w:tc>
          <w:tcPr>
            <w:tcW w:w="10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168,248</w:t>
            </w:r>
          </w:p>
        </w:tc>
        <w:tc>
          <w:tcPr>
            <w:tcW w:w="11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74,855</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2"/>
                <w:szCs w:val="12"/>
                <w:color w:val="auto"/>
              </w:rPr>
            </w:pPr>
          </w:p>
        </w:tc>
        <w:tc>
          <w:tcPr>
            <w:tcW w:w="8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1080" w:type="dxa"/>
            <w:vAlign w:val="bottom"/>
            <w:shd w:val="clear" w:color="auto" w:fill="D6F3E8"/>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48,500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291,603</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346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80" w:right="520" w:hanging="572"/>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half of fiscal 2008, we converted from a cash bonus program to an annual non-equity incentive arrangement, effective for the last six months of fiscal 2008 and future periods.</w:t>
      </w:r>
    </w:p>
    <w:p>
      <w:pPr>
        <w:spacing w:after="0" w:line="212" w:lineRule="exact"/>
        <w:rPr>
          <w:rFonts w:ascii="Arial" w:cs="Arial" w:eastAsia="Arial" w:hAnsi="Arial"/>
          <w:sz w:val="18"/>
          <w:szCs w:val="18"/>
          <w:color w:val="auto"/>
        </w:rPr>
      </w:pPr>
    </w:p>
    <w:p>
      <w:pPr>
        <w:ind w:left="580" w:right="120" w:hanging="572"/>
        <w:spacing w:after="0" w:line="256"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reflect the portion of the grant-date fair value of all outstanding stock and option awards expensed in each of the fiscal years shown in accordance with Statement of Financial Accounting Standards No. 123R (“SFAS No. 123R”) and thus may include amounts from awards granted in and prior to fiscal 2009. We calculated these amounts utilizing the assumptions set forth in footnote 9 to our audited financial statements included in our Annual Report on Form 10-K for the fiscal year ended March 29, 2009 filed with the SEC.</w:t>
      </w:r>
    </w:p>
    <w:p>
      <w:pPr>
        <w:spacing w:after="0" w:line="224"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reported for fiscal 2009 include:</w:t>
      </w:r>
    </w:p>
    <w:p>
      <w:pPr>
        <w:spacing w:after="0" w:line="265" w:lineRule="exact"/>
        <w:rPr>
          <w:rFonts w:ascii="Arial" w:cs="Arial" w:eastAsia="Arial" w:hAnsi="Arial"/>
          <w:sz w:val="18"/>
          <w:szCs w:val="18"/>
          <w:color w:val="auto"/>
        </w:rPr>
      </w:pPr>
    </w:p>
    <w:p>
      <w:pPr>
        <w:ind w:left="1160" w:right="220" w:hanging="571"/>
        <w:spacing w:after="0" w:line="268"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Contributions of $34,500 to our Money Purchase Pension Plan by the Company on behalf of each of John R. Hawkins, Keenan A. Paulson and John R. Sevenich.</w:t>
      </w:r>
    </w:p>
    <w:p>
      <w:pPr>
        <w:spacing w:after="0" w:line="118" w:lineRule="exact"/>
        <w:rPr>
          <w:rFonts w:ascii="Arial" w:cs="Arial" w:eastAsia="Arial" w:hAnsi="Arial"/>
          <w:sz w:val="18"/>
          <w:szCs w:val="18"/>
          <w:color w:val="auto"/>
        </w:rPr>
      </w:pPr>
    </w:p>
    <w:p>
      <w:pPr>
        <w:ind w:left="1160" w:right="40" w:hanging="571"/>
        <w:spacing w:after="0" w:line="259"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Employee Stock Purchase Plan matching contributions of $750 for each of John R. Hawkins, Keenan A. Paulson and John R. Sevenich. As noted above, under the description of our equity incentive program, executive officers no longer receive a matching contribution under the plan beginning in June 2008.</w:t>
      </w:r>
    </w:p>
    <w:p>
      <w:pPr>
        <w:spacing w:after="0" w:line="126" w:lineRule="exact"/>
        <w:rPr>
          <w:rFonts w:ascii="Arial" w:cs="Arial" w:eastAsia="Arial" w:hAnsi="Arial"/>
          <w:sz w:val="18"/>
          <w:szCs w:val="18"/>
          <w:color w:val="auto"/>
        </w:rPr>
      </w:pPr>
    </w:p>
    <w:p>
      <w:pPr>
        <w:ind w:left="1160" w:right="80" w:hanging="571"/>
        <w:spacing w:after="0" w:line="256"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 respect to John R. Hawkins, $8,148 as the personal value of a Company-provided car (based on the incremental cost to the Company, calculated as a portion of the amortized cost of the car) and $3,735 as the personal portion of a country club membership (based on the incremental cost to the Company, calculated as a portion of the annual dues paid). For income tax purposes, the amount included in his income is based on IRS regulations. This amount is not grossed up for taxes.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left="332"/>
              <w:spacing w:after="0"/>
              <w:rPr>
                <w:sz w:val="20"/>
                <w:szCs w:val="20"/>
                <w:color w:val="auto"/>
              </w:rPr>
            </w:pPr>
            <w:r>
              <w:rPr>
                <w:rFonts w:ascii="Arial" w:cs="Arial" w:eastAsia="Arial" w:hAnsi="Arial"/>
                <w:sz w:val="14"/>
                <w:szCs w:val="14"/>
                <w:b w:val="1"/>
                <w:bCs w:val="1"/>
                <w:color w:val="auto"/>
                <w:w w:val="84"/>
              </w:rPr>
              <w:t>Estimated Possible Payouts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7"/>
          </w:tcPr>
          <w:p>
            <w:pPr>
              <w:ind w:left="440"/>
              <w:spacing w:after="0"/>
              <w:rPr>
                <w:sz w:val="20"/>
                <w:szCs w:val="20"/>
                <w:color w:val="auto"/>
              </w:rPr>
            </w:pPr>
            <w:r>
              <w:rPr>
                <w:rFonts w:ascii="Arial" w:cs="Arial" w:eastAsia="Arial" w:hAnsi="Arial"/>
                <w:sz w:val="14"/>
                <w:szCs w:val="14"/>
                <w:b w:val="1"/>
                <w:bCs w:val="1"/>
                <w:color w:val="auto"/>
                <w:w w:val="89"/>
              </w:rPr>
              <w:t>Estimated Future Payouts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All Other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6"/>
          </w:tcPr>
          <w:p>
            <w:pPr>
              <w:jc w:val="center"/>
              <w:ind w:left="352"/>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7"/>
          </w:tcPr>
          <w:p>
            <w:pPr>
              <w:jc w:val="center"/>
              <w:ind w:left="332"/>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Plan Awards (a)</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Plan Awards (b)</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ind w:right="13"/>
              <w:spacing w:after="0" w:line="11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0"/>
                <w:szCs w:val="10"/>
                <w:color w:val="auto"/>
              </w:rPr>
            </w:pPr>
          </w:p>
        </w:tc>
        <w:tc>
          <w:tcPr>
            <w:tcW w:w="11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of Option</w:t>
            </w:r>
          </w:p>
        </w:tc>
        <w:tc>
          <w:tcPr>
            <w:tcW w:w="10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and Option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2"/>
                <w:szCs w:val="12"/>
                <w:color w:val="auto"/>
              </w:rPr>
            </w:pP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Target</w:t>
            </w:r>
          </w:p>
        </w:tc>
        <w:tc>
          <w:tcPr>
            <w:tcW w:w="8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w w:val="89"/>
              </w:rPr>
              <w:t>Maximum</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Target</w:t>
            </w:r>
          </w:p>
        </w:tc>
        <w:tc>
          <w:tcPr>
            <w:tcW w:w="76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2"/>
                <w:szCs w:val="12"/>
                <w:color w:val="auto"/>
              </w:rPr>
            </w:pPr>
          </w:p>
        </w:tc>
        <w:tc>
          <w:tcPr>
            <w:tcW w:w="14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Grant Date</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Options (#)(c)</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($)(d)</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John R. Hawkins</w:t>
            </w: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99,745</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199,490</w:t>
            </w: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w w:val="82"/>
              </w:rPr>
              <w:t>398,981</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14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16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820" w:type="dxa"/>
            <w:vAlign w:val="bottom"/>
            <w:gridSpan w:val="2"/>
            <w:shd w:val="clear" w:color="auto" w:fill="D6F3E8"/>
          </w:tcPr>
          <w:p>
            <w:pPr>
              <w:ind w:left="520"/>
              <w:spacing w:after="0" w:line="149" w:lineRule="exact"/>
              <w:rPr>
                <w:sz w:val="20"/>
                <w:szCs w:val="20"/>
                <w:color w:val="auto"/>
              </w:rPr>
            </w:pPr>
            <w:r>
              <w:rPr>
                <w:rFonts w:ascii="Arial" w:cs="Arial" w:eastAsia="Arial" w:hAnsi="Arial"/>
                <w:sz w:val="14"/>
                <w:szCs w:val="14"/>
                <w:color w:val="auto"/>
                <w:w w:val="79"/>
              </w:rPr>
              <w:t>4,167</w:t>
            </w:r>
          </w:p>
        </w:tc>
        <w:tc>
          <w:tcPr>
            <w:tcW w:w="720" w:type="dxa"/>
            <w:vAlign w:val="bottom"/>
            <w:gridSpan w:val="3"/>
            <w:shd w:val="clear" w:color="auto" w:fill="D6F3E8"/>
          </w:tcPr>
          <w:p>
            <w:pPr>
              <w:jc w:val="right"/>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w w:val="93"/>
              </w:rPr>
              <w:t>12,500</w:t>
            </w:r>
          </w:p>
        </w:tc>
        <w:tc>
          <w:tcPr>
            <w:tcW w:w="100" w:type="dxa"/>
            <w:vAlign w:val="bottom"/>
            <w:shd w:val="clear" w:color="auto" w:fill="D6F3E8"/>
          </w:tcPr>
          <w:p>
            <w:pPr>
              <w:spacing w:after="0"/>
              <w:rPr>
                <w:sz w:val="12"/>
                <w:szCs w:val="12"/>
                <w:color w:val="auto"/>
              </w:rPr>
            </w:pPr>
          </w:p>
        </w:tc>
        <w:tc>
          <w:tcPr>
            <w:tcW w:w="14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160" w:type="dxa"/>
            <w:vAlign w:val="bottom"/>
            <w:shd w:val="clear" w:color="auto" w:fill="D6F3E8"/>
          </w:tcPr>
          <w:p>
            <w:pPr>
              <w:spacing w:after="0"/>
              <w:rPr>
                <w:sz w:val="12"/>
                <w:szCs w:val="12"/>
                <w:color w:val="auto"/>
              </w:rPr>
            </w:pP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192,875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5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33,333</w:t>
            </w:r>
          </w:p>
        </w:tc>
        <w:tc>
          <w:tcPr>
            <w:tcW w:w="12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15.43</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98,370</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1700" w:type="dxa"/>
            <w:vAlign w:val="bottom"/>
            <w:gridSpan w:val="3"/>
          </w:tcPr>
          <w:p>
            <w:pPr>
              <w:spacing w:after="0"/>
              <w:rPr>
                <w:sz w:val="20"/>
                <w:szCs w:val="20"/>
                <w:color w:val="auto"/>
              </w:rPr>
            </w:pPr>
            <w:r>
              <w:rPr>
                <w:rFonts w:ascii="Arial" w:cs="Arial" w:eastAsia="Arial" w:hAnsi="Arial"/>
                <w:sz w:val="14"/>
                <w:szCs w:val="14"/>
                <w:color w:val="auto"/>
              </w:rPr>
              <w:t>Kathleen P. Pepski</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5/13/08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42,230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84,460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2"/>
              </w:rPr>
              <w:t>168,920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9"/>
              </w:rPr>
              <w:t>1,167</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5/13/08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9,333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27,544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8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Keenan A. Paulson</w:t>
            </w: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41,653</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83,306</w:t>
            </w: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w w:val="82"/>
              </w:rPr>
              <w:t>166,612</w:t>
            </w:r>
          </w:p>
        </w:tc>
        <w:tc>
          <w:tcPr>
            <w:tcW w:w="820" w:type="dxa"/>
            <w:vAlign w:val="bottom"/>
            <w:gridSpan w:val="2"/>
            <w:vMerge w:val="restart"/>
            <w:shd w:val="clear" w:color="auto" w:fill="D6F3E8"/>
          </w:tcPr>
          <w:p>
            <w:pPr>
              <w:ind w:left="520"/>
              <w:spacing w:after="0"/>
              <w:rPr>
                <w:sz w:val="20"/>
                <w:szCs w:val="20"/>
                <w:color w:val="auto"/>
              </w:rPr>
            </w:pPr>
            <w:r>
              <w:rPr>
                <w:rFonts w:ascii="Arial" w:cs="Arial" w:eastAsia="Arial" w:hAnsi="Arial"/>
                <w:sz w:val="14"/>
                <w:szCs w:val="14"/>
                <w:color w:val="auto"/>
                <w:w w:val="79"/>
              </w:rPr>
              <w:t>1,167</w:t>
            </w:r>
          </w:p>
        </w:tc>
        <w:tc>
          <w:tcPr>
            <w:tcW w:w="720" w:type="dxa"/>
            <w:vAlign w:val="bottom"/>
            <w:gridSpan w:val="3"/>
            <w:vMerge w:val="restart"/>
            <w:shd w:val="clear" w:color="auto" w:fill="D6F3E8"/>
          </w:tcPr>
          <w:p>
            <w:pPr>
              <w:jc w:val="right"/>
              <w:spacing w:after="0"/>
              <w:rPr>
                <w:sz w:val="20"/>
                <w:szCs w:val="20"/>
                <w:color w:val="auto"/>
              </w:rPr>
            </w:pPr>
            <w:r>
              <w:rPr>
                <w:rFonts w:ascii="Arial" w:cs="Arial" w:eastAsia="Arial" w:hAnsi="Arial"/>
                <w:sz w:val="14"/>
                <w:szCs w:val="14"/>
                <w:color w:val="auto"/>
              </w:rPr>
              <w:t>2,333</w:t>
            </w: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vMerge w:val="restart"/>
            <w:shd w:val="clear" w:color="auto" w:fill="D6F3E8"/>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D6F3E8"/>
          </w:tcPr>
          <w:p>
            <w:pPr>
              <w:spacing w:after="0"/>
              <w:rPr>
                <w:sz w:val="12"/>
                <w:szCs w:val="12"/>
                <w:color w:val="auto"/>
              </w:rPr>
            </w:pPr>
          </w:p>
        </w:tc>
        <w:tc>
          <w:tcPr>
            <w:tcW w:w="14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160" w:type="dxa"/>
            <w:vAlign w:val="bottom"/>
            <w:shd w:val="clear" w:color="auto" w:fill="D6F3E8"/>
          </w:tcPr>
          <w:p>
            <w:pPr>
              <w:spacing w:after="0"/>
              <w:rPr>
                <w:sz w:val="12"/>
                <w:szCs w:val="12"/>
                <w:color w:val="auto"/>
              </w:rPr>
            </w:pPr>
          </w:p>
        </w:tc>
        <w:tc>
          <w:tcPr>
            <w:tcW w:w="1000" w:type="dxa"/>
            <w:vAlign w:val="bottom"/>
            <w:gridSpan w:val="2"/>
            <w:vMerge w:val="restart"/>
            <w:shd w:val="clear" w:color="auto" w:fill="D6F3E8"/>
          </w:tcPr>
          <w:p>
            <w:pPr>
              <w:jc w:val="right"/>
              <w:spacing w:after="0"/>
              <w:rPr>
                <w:sz w:val="20"/>
                <w:szCs w:val="20"/>
                <w:color w:val="auto"/>
              </w:rPr>
            </w:pPr>
            <w:r>
              <w:rPr>
                <w:rFonts w:ascii="Arial" w:cs="Arial" w:eastAsia="Arial" w:hAnsi="Arial"/>
                <w:sz w:val="14"/>
                <w:szCs w:val="14"/>
                <w:color w:val="auto"/>
              </w:rPr>
              <w:t>54,005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820" w:type="dxa"/>
            <w:vAlign w:val="bottom"/>
            <w:gridSpan w:val="2"/>
            <w:vMerge w:val="continue"/>
            <w:shd w:val="clear" w:color="auto" w:fill="D6F3E8"/>
          </w:tcPr>
          <w:p>
            <w:pPr>
              <w:spacing w:after="0"/>
              <w:rPr>
                <w:sz w:val="12"/>
                <w:szCs w:val="12"/>
                <w:color w:val="auto"/>
              </w:rPr>
            </w:pPr>
          </w:p>
        </w:tc>
        <w:tc>
          <w:tcPr>
            <w:tcW w:w="720" w:type="dxa"/>
            <w:vAlign w:val="bottom"/>
            <w:gridSpan w:val="3"/>
            <w:vMerge w:val="continue"/>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vMerge w:val="continue"/>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14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160" w:type="dxa"/>
            <w:vAlign w:val="bottom"/>
            <w:shd w:val="clear" w:color="auto" w:fill="D6F3E8"/>
          </w:tcPr>
          <w:p>
            <w:pPr>
              <w:spacing w:after="0"/>
              <w:rPr>
                <w:sz w:val="12"/>
                <w:szCs w:val="12"/>
                <w:color w:val="auto"/>
              </w:rPr>
            </w:pPr>
          </w:p>
        </w:tc>
        <w:tc>
          <w:tcPr>
            <w:tcW w:w="1000" w:type="dxa"/>
            <w:vAlign w:val="bottom"/>
            <w:gridSpan w:val="2"/>
            <w:vMerge w:val="continue"/>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740" w:type="dxa"/>
            <w:vAlign w:val="bottom"/>
            <w:shd w:val="clear" w:color="auto" w:fill="D6F3E8"/>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5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9,333</w:t>
            </w:r>
          </w:p>
        </w:tc>
        <w:tc>
          <w:tcPr>
            <w:tcW w:w="12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15.43</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27,544</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1700" w:type="dxa"/>
            <w:vAlign w:val="bottom"/>
            <w:gridSpan w:val="3"/>
          </w:tcPr>
          <w:p>
            <w:pPr>
              <w:spacing w:after="0"/>
              <w:rPr>
                <w:sz w:val="20"/>
                <w:szCs w:val="20"/>
                <w:color w:val="auto"/>
              </w:rPr>
            </w:pPr>
            <w:r>
              <w:rPr>
                <w:rFonts w:ascii="Arial" w:cs="Arial" w:eastAsia="Arial" w:hAnsi="Arial"/>
                <w:sz w:val="14"/>
                <w:szCs w:val="14"/>
                <w:color w:val="auto"/>
              </w:rPr>
              <w:t>John R. Sevenich</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5/13/08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39,181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78,362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2"/>
              </w:rPr>
              <w:t>156,725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5/13/08</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79"/>
              </w:rPr>
              <w:t>1,167</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5/13/08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9,333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27,544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580" w:right="26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2009. Payments are based on specified target levels corporate performance, business unit performance and individual objectives, as described under “Annual Non-Equity Incentive Compensation” in the Compensation Discussion and Analysis.</w:t>
      </w:r>
    </w:p>
    <w:p>
      <w:pPr>
        <w:spacing w:after="0" w:line="126" w:lineRule="exact"/>
        <w:rPr>
          <w:rFonts w:ascii="Arial" w:cs="Arial" w:eastAsia="Arial" w:hAnsi="Arial"/>
          <w:sz w:val="18"/>
          <w:szCs w:val="18"/>
          <w:color w:val="auto"/>
        </w:rPr>
      </w:pPr>
    </w:p>
    <w:p>
      <w:pPr>
        <w:ind w:left="580" w:right="20"/>
        <w:spacing w:after="0" w:line="298" w:lineRule="auto"/>
        <w:rPr>
          <w:rFonts w:ascii="Arial" w:cs="Arial" w:eastAsia="Arial" w:hAnsi="Arial"/>
          <w:sz w:val="18"/>
          <w:szCs w:val="18"/>
          <w:color w:val="auto"/>
        </w:rPr>
      </w:pPr>
      <w:r>
        <w:rPr>
          <w:rFonts w:ascii="Arial" w:cs="Arial" w:eastAsia="Arial" w:hAnsi="Arial"/>
          <w:sz w:val="16"/>
          <w:szCs w:val="16"/>
          <w:color w:val="auto"/>
        </w:rPr>
        <w:t>The actual amounts earned for fiscal 2009 are reported in the Summary Compensation Table as Non-Equity Incentive Plan Compensation.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and 20%, 40% and 80% of base salary, respectively, for the other named executive officers.</w:t>
      </w:r>
    </w:p>
    <w:p>
      <w:pPr>
        <w:spacing w:after="0" w:line="99" w:lineRule="exact"/>
        <w:rPr>
          <w:rFonts w:ascii="Arial" w:cs="Arial" w:eastAsia="Arial" w:hAnsi="Arial"/>
          <w:sz w:val="18"/>
          <w:szCs w:val="18"/>
          <w:color w:val="auto"/>
        </w:rPr>
      </w:pPr>
    </w:p>
    <w:p>
      <w:pPr>
        <w:ind w:left="580" w:right="180" w:hanging="572"/>
        <w:spacing w:after="0" w:line="29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Awards represent potential awards of shares of restricted stock under the performance-based restricted stock units granted for fiscal 2009. Payments are based on specified target levels of income before taxes. See “Equity Awards” in the Compensation Discussion and Analysis for the performance targets applicable to the performance-based restricted stock units granted in fiscal 2008 for performance in fiscal 2009. Additional terms of the outstanding performance-based restricted stock units are described in Note (a) to the Outstanding Equity Awards table.</w:t>
      </w:r>
    </w:p>
    <w:p>
      <w:pPr>
        <w:spacing w:after="0" w:line="99" w:lineRule="exact"/>
        <w:rPr>
          <w:rFonts w:ascii="Arial" w:cs="Arial" w:eastAsia="Arial" w:hAnsi="Arial"/>
          <w:sz w:val="16"/>
          <w:szCs w:val="16"/>
          <w:color w:val="auto"/>
        </w:rPr>
      </w:pPr>
    </w:p>
    <w:p>
      <w:pPr>
        <w:ind w:left="580" w:right="24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Awards represent stock options granted under the 2004 Omnibus Stock Plan. See “Equity Awards” in the Compensation Discussion &amp; Analysis for the terms of these awards.</w:t>
      </w:r>
    </w:p>
    <w:p>
      <w:pPr>
        <w:spacing w:after="0" w:line="118"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of all options was based on fair market value as of the date of grant as defined in our 2004 Omnibus Stock Plan (i.e., the closing price of our common stock on the date of grant).</w:t>
      </w:r>
    </w:p>
    <w:p>
      <w:pPr>
        <w:spacing w:after="0" w:line="118" w:lineRule="exact"/>
        <w:rPr>
          <w:rFonts w:ascii="Arial" w:cs="Arial" w:eastAsia="Arial" w:hAnsi="Arial"/>
          <w:sz w:val="18"/>
          <w:szCs w:val="18"/>
          <w:color w:val="auto"/>
        </w:rPr>
      </w:pPr>
    </w:p>
    <w:p>
      <w:pPr>
        <w:jc w:val="both"/>
        <w:ind w:left="580" w:right="220" w:hanging="572"/>
        <w:spacing w:after="0" w:line="335"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Grant date fair value for stock options and performance-based restricted stock units was determined pursuant to SFAS No. 123R. For the performance-based restricted stock units, the actual number of restricted shares that can be earned ranges from 0 to 150% of the target amount. For the performance-based restricted stock units, the amount reported is based on an assumption that the maximum number of restricted shares will be earned.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29, 2009.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Option Awards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2"/>
              </w:rPr>
              <w:t>Market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Value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Shares or</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5"/>
              </w:rPr>
              <w:t>Stock that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Options (#)</w:t>
            </w:r>
          </w:p>
        </w:tc>
        <w:tc>
          <w:tcPr>
            <w:tcW w:w="22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 (#)</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20" w:type="dxa"/>
            <w:vAlign w:val="bottom"/>
          </w:tcPr>
          <w:p>
            <w:pPr>
              <w:spacing w:after="0"/>
              <w:rPr>
                <w:sz w:val="12"/>
                <w:szCs w:val="12"/>
                <w:color w:val="auto"/>
              </w:rPr>
            </w:pPr>
          </w:p>
        </w:tc>
        <w:tc>
          <w:tcPr>
            <w:tcW w:w="8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5"/>
                <w:szCs w:val="15"/>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Unexercisable</w:t>
            </w: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Price ($)</w:t>
            </w:r>
          </w:p>
        </w:tc>
        <w:tc>
          <w:tcPr>
            <w:tcW w:w="2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Vested (#)(a)</w:t>
            </w:r>
          </w:p>
        </w:tc>
        <w:tc>
          <w:tcPr>
            <w:tcW w:w="320" w:type="dxa"/>
            <w:vAlign w:val="bottom"/>
          </w:tcPr>
          <w:p>
            <w:pPr>
              <w:spacing w:after="0"/>
              <w:rPr>
                <w:sz w:val="15"/>
                <w:szCs w:val="15"/>
                <w:color w:val="auto"/>
              </w:rPr>
            </w:pPr>
          </w:p>
        </w:tc>
        <w:tc>
          <w:tcPr>
            <w:tcW w:w="880" w:type="dxa"/>
            <w:vAlign w:val="bottom"/>
          </w:tcPr>
          <w:p>
            <w:pPr>
              <w:jc w:val="center"/>
              <w:ind w:left="32"/>
              <w:spacing w:after="0"/>
              <w:rPr>
                <w:sz w:val="20"/>
                <w:szCs w:val="20"/>
                <w:color w:val="auto"/>
              </w:rPr>
            </w:pPr>
            <w:r>
              <w:rPr>
                <w:rFonts w:ascii="Arial" w:cs="Arial" w:eastAsia="Arial" w:hAnsi="Arial"/>
                <w:sz w:val="14"/>
                <w:szCs w:val="14"/>
                <w:b w:val="1"/>
                <w:bCs w:val="1"/>
                <w:color w:val="auto"/>
                <w:w w:val="87"/>
              </w:rPr>
              <w:t>Vested ($)(b)</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3"/>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300" w:type="dxa"/>
            <w:vAlign w:val="bottom"/>
            <w:gridSpan w:val="2"/>
          </w:tcPr>
          <w:p>
            <w:pPr>
              <w:spacing w:after="0"/>
              <w:rPr>
                <w:sz w:val="8"/>
                <w:szCs w:val="8"/>
                <w:color w:val="auto"/>
              </w:rPr>
            </w:pPr>
          </w:p>
        </w:tc>
        <w:tc>
          <w:tcPr>
            <w:tcW w:w="12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John R. Hawkins</w:t>
            </w:r>
          </w:p>
        </w:tc>
        <w:tc>
          <w:tcPr>
            <w:tcW w:w="960" w:type="dxa"/>
            <w:vAlign w:val="bottom"/>
            <w:gridSpan w:val="2"/>
            <w:shd w:val="clear" w:color="auto" w:fill="D6F3E8"/>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2"/>
                <w:szCs w:val="12"/>
                <w:color w:val="auto"/>
              </w:rPr>
            </w:pPr>
          </w:p>
        </w:tc>
        <w:tc>
          <w:tcPr>
            <w:tcW w:w="1360" w:type="dxa"/>
            <w:vAlign w:val="bottom"/>
            <w:gridSpan w:val="3"/>
            <w:shd w:val="clear" w:color="auto" w:fill="D6F3E8"/>
          </w:tcPr>
          <w:p>
            <w:pPr>
              <w:jc w:val="right"/>
              <w:ind w:right="620"/>
              <w:spacing w:after="0" w:line="149" w:lineRule="exact"/>
              <w:rPr>
                <w:sz w:val="20"/>
                <w:szCs w:val="20"/>
                <w:color w:val="auto"/>
              </w:rPr>
            </w:pPr>
            <w:r>
              <w:rPr>
                <w:rFonts w:ascii="Arial" w:cs="Arial" w:eastAsia="Arial" w:hAnsi="Arial"/>
                <w:sz w:val="14"/>
                <w:szCs w:val="14"/>
                <w:color w:val="auto"/>
              </w:rPr>
              <w:t>33,333(c)</w:t>
            </w:r>
          </w:p>
        </w:tc>
        <w:tc>
          <w:tcPr>
            <w:tcW w:w="660" w:type="dxa"/>
            <w:vAlign w:val="bottom"/>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15.43</w:t>
            </w:r>
          </w:p>
        </w:tc>
        <w:tc>
          <w:tcPr>
            <w:tcW w:w="9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5/13/2018</w:t>
            </w:r>
          </w:p>
        </w:tc>
        <w:tc>
          <w:tcPr>
            <w:tcW w:w="1300" w:type="dxa"/>
            <w:vAlign w:val="bottom"/>
            <w:gridSpan w:val="2"/>
            <w:shd w:val="clear" w:color="auto" w:fill="D6F3E8"/>
          </w:tcPr>
          <w:p>
            <w:pPr>
              <w:jc w:val="right"/>
              <w:ind w:right="192"/>
              <w:spacing w:after="0" w:line="149" w:lineRule="exact"/>
              <w:rPr>
                <w:sz w:val="20"/>
                <w:szCs w:val="20"/>
                <w:color w:val="auto"/>
              </w:rPr>
            </w:pPr>
            <w:r>
              <w:rPr>
                <w:rFonts w:ascii="Arial" w:cs="Arial" w:eastAsia="Arial" w:hAnsi="Arial"/>
                <w:sz w:val="14"/>
                <w:szCs w:val="14"/>
                <w:color w:val="auto"/>
              </w:rPr>
              <w:t>12,500</w:t>
            </w:r>
          </w:p>
        </w:tc>
        <w:tc>
          <w:tcPr>
            <w:tcW w:w="12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190,000</w:t>
            </w:r>
          </w:p>
        </w:tc>
        <w:tc>
          <w:tcPr>
            <w:tcW w:w="12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Kathleen P. Pepski</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9,333(c)</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5/13/2018</w:t>
            </w:r>
          </w:p>
        </w:tc>
        <w:tc>
          <w:tcPr>
            <w:tcW w:w="13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3,500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53,200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Richard G. Erstad</w:t>
            </w:r>
          </w:p>
        </w:tc>
        <w:tc>
          <w:tcPr>
            <w:tcW w:w="960" w:type="dxa"/>
            <w:vAlign w:val="bottom"/>
            <w:gridSpan w:val="2"/>
            <w:shd w:val="clear" w:color="auto" w:fill="D6F3E8"/>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2"/>
                <w:szCs w:val="12"/>
                <w:color w:val="auto"/>
              </w:rPr>
            </w:pPr>
          </w:p>
        </w:tc>
        <w:tc>
          <w:tcPr>
            <w:tcW w:w="1360" w:type="dxa"/>
            <w:vAlign w:val="bottom"/>
            <w:gridSpan w:val="3"/>
            <w:shd w:val="clear" w:color="auto" w:fill="D6F3E8"/>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7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6F3E8"/>
          </w:tcPr>
          <w:p>
            <w:pPr>
              <w:spacing w:after="0"/>
              <w:rPr>
                <w:sz w:val="12"/>
                <w:szCs w:val="12"/>
                <w:color w:val="auto"/>
              </w:rPr>
            </w:pPr>
          </w:p>
        </w:tc>
        <w:tc>
          <w:tcPr>
            <w:tcW w:w="960" w:type="dxa"/>
            <w:vAlign w:val="bottom"/>
            <w:shd w:val="clear" w:color="auto" w:fill="D6F3E8"/>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D6F3E8"/>
          </w:tcPr>
          <w:p>
            <w:pPr>
              <w:spacing w:after="0"/>
              <w:rPr>
                <w:sz w:val="12"/>
                <w:szCs w:val="12"/>
                <w:color w:val="auto"/>
              </w:rPr>
            </w:pPr>
          </w:p>
        </w:tc>
        <w:tc>
          <w:tcPr>
            <w:tcW w:w="8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Keenan A. Paulson</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9,333(c)</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5/13/2018</w:t>
            </w:r>
          </w:p>
        </w:tc>
        <w:tc>
          <w:tcPr>
            <w:tcW w:w="13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3,500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53,200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12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960" w:type="dxa"/>
            <w:vAlign w:val="bottom"/>
            <w:gridSpan w:val="2"/>
            <w:shd w:val="clear" w:color="auto" w:fill="D6F3E8"/>
          </w:tcPr>
          <w:p>
            <w:pPr>
              <w:ind w:left="4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6F3E8"/>
          </w:tcPr>
          <w:p>
            <w:pPr>
              <w:spacing w:after="0"/>
              <w:rPr>
                <w:sz w:val="12"/>
                <w:szCs w:val="12"/>
                <w:color w:val="auto"/>
              </w:rPr>
            </w:pPr>
          </w:p>
        </w:tc>
        <w:tc>
          <w:tcPr>
            <w:tcW w:w="1360" w:type="dxa"/>
            <w:vAlign w:val="bottom"/>
            <w:gridSpan w:val="3"/>
            <w:shd w:val="clear" w:color="auto" w:fill="D6F3E8"/>
          </w:tcPr>
          <w:p>
            <w:pPr>
              <w:jc w:val="right"/>
              <w:ind w:right="620"/>
              <w:spacing w:after="0" w:line="149" w:lineRule="exact"/>
              <w:rPr>
                <w:sz w:val="20"/>
                <w:szCs w:val="20"/>
                <w:color w:val="auto"/>
              </w:rPr>
            </w:pPr>
            <w:r>
              <w:rPr>
                <w:rFonts w:ascii="Arial" w:cs="Arial" w:eastAsia="Arial" w:hAnsi="Arial"/>
                <w:sz w:val="14"/>
                <w:szCs w:val="14"/>
                <w:color w:val="auto"/>
              </w:rPr>
              <w:t>9,333(c)</w:t>
            </w:r>
          </w:p>
        </w:tc>
        <w:tc>
          <w:tcPr>
            <w:tcW w:w="660" w:type="dxa"/>
            <w:vAlign w:val="bottom"/>
            <w:shd w:val="clear" w:color="auto" w:fill="D6F3E8"/>
          </w:tcPr>
          <w:p>
            <w:pPr>
              <w:jc w:val="right"/>
              <w:ind w:right="72"/>
              <w:spacing w:after="0" w:line="149" w:lineRule="exact"/>
              <w:rPr>
                <w:sz w:val="20"/>
                <w:szCs w:val="20"/>
                <w:color w:val="auto"/>
              </w:rPr>
            </w:pPr>
            <w:r>
              <w:rPr>
                <w:rFonts w:ascii="Arial" w:cs="Arial" w:eastAsia="Arial" w:hAnsi="Arial"/>
                <w:sz w:val="14"/>
                <w:szCs w:val="14"/>
                <w:color w:val="auto"/>
              </w:rPr>
              <w:t>15.43</w:t>
            </w:r>
          </w:p>
        </w:tc>
        <w:tc>
          <w:tcPr>
            <w:tcW w:w="9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5/13/2018</w:t>
            </w:r>
          </w:p>
        </w:tc>
        <w:tc>
          <w:tcPr>
            <w:tcW w:w="1300" w:type="dxa"/>
            <w:vAlign w:val="bottom"/>
            <w:gridSpan w:val="2"/>
            <w:shd w:val="clear" w:color="auto" w:fill="D6F3E8"/>
          </w:tcPr>
          <w:p>
            <w:pPr>
              <w:jc w:val="right"/>
              <w:ind w:right="192"/>
              <w:spacing w:after="0" w:line="149" w:lineRule="exact"/>
              <w:rPr>
                <w:sz w:val="20"/>
                <w:szCs w:val="20"/>
                <w:color w:val="auto"/>
              </w:rPr>
            </w:pPr>
            <w:r>
              <w:rPr>
                <w:rFonts w:ascii="Arial" w:cs="Arial" w:eastAsia="Arial" w:hAnsi="Arial"/>
                <w:sz w:val="14"/>
                <w:szCs w:val="14"/>
                <w:color w:val="auto"/>
              </w:rPr>
              <w:t>3,500</w:t>
            </w:r>
          </w:p>
        </w:tc>
        <w:tc>
          <w:tcPr>
            <w:tcW w:w="12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53,200</w:t>
            </w:r>
          </w:p>
        </w:tc>
        <w:tc>
          <w:tcPr>
            <w:tcW w:w="12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6F3E8"/>
          </w:tcPr>
          <w:p>
            <w:pPr>
              <w:spacing w:after="0"/>
              <w:rPr>
                <w:sz w:val="12"/>
                <w:szCs w:val="12"/>
                <w:color w:val="auto"/>
              </w:rPr>
            </w:pPr>
          </w:p>
        </w:tc>
        <w:tc>
          <w:tcPr>
            <w:tcW w:w="1120" w:type="dxa"/>
            <w:vAlign w:val="bottom"/>
            <w:shd w:val="clear" w:color="auto" w:fill="D6F3E8"/>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580" w:right="140" w:hanging="572"/>
        <w:spacing w:after="0" w:line="25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actual number of shares of restricted stock that were issued under the performance-based restricted stock units granted for fiscal 2009. In June 2009, our Compensation Committee certified the award of the maximum number of restricted shares as a result of the Company’s financial performance exceeding the targeted maximum performance. The restricted shares will vest 100% two years after the last day of fiscal 2009 (March 29, 2011). 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 of $15.20 per share.</w:t>
      </w:r>
    </w:p>
    <w:p>
      <w:pPr>
        <w:spacing w:after="0" w:line="157"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reported options vest in full on May 13, 2011. The vesting of the options may be accelerated upon the occurrence of certain events described below under “Potential Payments Upon Termination or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 w:lineRule="exact"/>
        <w:rPr>
          <w:sz w:val="20"/>
          <w:szCs w:val="20"/>
          <w:color w:val="auto"/>
        </w:rPr>
      </w:pPr>
    </w:p>
    <w:p>
      <w:pPr>
        <w:ind w:right="340" w:firstLine="439"/>
        <w:spacing w:after="0" w:line="254" w:lineRule="auto"/>
        <w:rPr>
          <w:sz w:val="20"/>
          <w:szCs w:val="20"/>
          <w:color w:val="auto"/>
        </w:rPr>
      </w:pPr>
      <w:r>
        <w:rPr>
          <w:rFonts w:ascii="Arial" w:cs="Arial" w:eastAsia="Arial" w:hAnsi="Arial"/>
          <w:sz w:val="18"/>
          <w:szCs w:val="18"/>
          <w:color w:val="auto"/>
        </w:rPr>
        <w:t>It has not been our practice to provide our officers with any right to severance payments or benefits, and none of our executive officers currently has an employment, severance or change in control agreement or arrangement with us, except as provided in the equity incentive awards described below. The Compensation Committee does, however, retain the discretion to make severance payments to an executive officer if it believes the specific circumstances warrant a payment.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Termination Other than Due to Death or Disability Following a Fundamental Change</w:t>
      </w:r>
    </w:p>
    <w:p>
      <w:pPr>
        <w:spacing w:after="0" w:line="225" w:lineRule="exact"/>
        <w:rPr>
          <w:sz w:val="20"/>
          <w:szCs w:val="20"/>
          <w:color w:val="auto"/>
        </w:rPr>
      </w:pPr>
    </w:p>
    <w:p>
      <w:pPr>
        <w:ind w:right="120" w:firstLine="429"/>
        <w:spacing w:after="0" w:line="287"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following a “fundamental change” as outlined in the table below. In the event of a change in control of the Company or other “fundamental change” as defined below, then the performance-based restricted stock unit equity award will vest immediately at 100% of its target if the Compensation Committee determines that the fundamental change will not result in the continuation of the performance-based restricted stock unit. Any shares of restricted stock outstanding under the performance-based restricted stock unit equity award will also immediately vest. If a performance-based restricted stock unit equity award is continued after a fundamental change, but, in connection with the fundamental change, an executive is terminated without cause or resigns for good cause, then the performance-based restricted stock unit and any restricted stock granted under the performance-based restricted stock unit equity award will vest in the same manner. As defined in our 2004 Omnibus Stock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20" w:firstLine="439"/>
        <w:spacing w:after="0" w:line="290" w:lineRule="auto"/>
        <w:rPr>
          <w:sz w:val="20"/>
          <w:szCs w:val="20"/>
          <w:color w:val="auto"/>
        </w:rPr>
      </w:pPr>
      <w:r>
        <w:rPr>
          <w:rFonts w:ascii="Arial" w:cs="Arial" w:eastAsia="Arial" w:hAnsi="Arial"/>
          <w:sz w:val="16"/>
          <w:szCs w:val="16"/>
          <w:color w:val="auto"/>
        </w:rPr>
        <w:t>In addition, all named executive officers with outstanding unvested stock options are entitled to accelerated vesting of the stock options following a “fundamental change” as outlined in the table below. In the event of a change in control of the Company or other “fundamental change,” then the Compensation Committee may either (1) make appropriate provision to protect the stock option in a manner that equitably preserves the compensation element of the stock option at the time of the fundamental change, or (2) cancel the stock option in exchange for payment of cash equal to the amount, if any, by which the “fair market value” per share exceeds the exercise price per share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172"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following table presents the portion of the grant-date fair value of all outstanding stock and option awards that would have been recognized by the Company for the fiscal year ended March 29, 2009 in accordance with SFAS No. 123R attributable to each named executive officer if a fundamental change took place on the last business day of our most recently completed fiscal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6"/>
              </w:rPr>
              <w:t>Early Vesting of</w:t>
            </w: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Performance-Based</w:t>
            </w: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340" w:type="dxa"/>
            <w:vAlign w:val="bottom"/>
          </w:tcPr>
          <w:p>
            <w:pPr>
              <w:spacing w:after="0"/>
              <w:rPr>
                <w:sz w:val="12"/>
                <w:szCs w:val="12"/>
                <w:color w:val="auto"/>
              </w:rPr>
            </w:pPr>
          </w:p>
        </w:tc>
        <w:tc>
          <w:tcPr>
            <w:tcW w:w="24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Early Vesting of</w:t>
            </w: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Units/Restricted Stock</w:t>
            </w:r>
          </w:p>
        </w:tc>
        <w:tc>
          <w:tcPr>
            <w:tcW w:w="34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Options</w:t>
            </w:r>
          </w:p>
        </w:tc>
        <w:tc>
          <w:tcPr>
            <w:tcW w:w="320" w:type="dxa"/>
            <w:vAlign w:val="bottom"/>
          </w:tcPr>
          <w:p>
            <w:pPr>
              <w:spacing w:after="0"/>
              <w:rPr>
                <w:sz w:val="12"/>
                <w:szCs w:val="12"/>
                <w:color w:val="auto"/>
              </w:rPr>
            </w:pPr>
          </w:p>
        </w:tc>
        <w:tc>
          <w:tcPr>
            <w:tcW w:w="1940" w:type="dxa"/>
            <w:vAlign w:val="bottom"/>
          </w:tcPr>
          <w:p>
            <w:pPr>
              <w:jc w:val="right"/>
              <w:ind w:right="762"/>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60" w:type="dxa"/>
            <w:vAlign w:val="bottom"/>
            <w:gridSpan w:val="2"/>
          </w:tcPr>
          <w:p>
            <w:pPr>
              <w:jc w:val="right"/>
              <w:ind w:right="8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2740" w:type="dxa"/>
            <w:vAlign w:val="bottom"/>
            <w:gridSpan w:val="2"/>
          </w:tcPr>
          <w:p>
            <w:pPr>
              <w:spacing w:after="0"/>
              <w:rPr>
                <w:sz w:val="8"/>
                <w:szCs w:val="8"/>
                <w:color w:val="auto"/>
              </w:rPr>
            </w:pPr>
          </w:p>
        </w:tc>
        <w:tc>
          <w:tcPr>
            <w:tcW w:w="22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126,666</w:t>
            </w:r>
          </w:p>
        </w:tc>
        <w:tc>
          <w:tcPr>
            <w:tcW w:w="2740" w:type="dxa"/>
            <w:vAlign w:val="bottom"/>
            <w:gridSpan w:val="2"/>
            <w:shd w:val="clear" w:color="auto" w:fill="D6F3E8"/>
          </w:tcPr>
          <w:p>
            <w:pPr>
              <w:jc w:val="right"/>
              <w:ind w:right="787"/>
              <w:spacing w:after="0"/>
              <w:rPr>
                <w:sz w:val="20"/>
                <w:szCs w:val="20"/>
                <w:color w:val="auto"/>
              </w:rPr>
            </w:pPr>
            <w:r>
              <w:rPr>
                <w:rFonts w:ascii="Arial" w:cs="Arial" w:eastAsia="Arial" w:hAnsi="Arial"/>
                <w:sz w:val="18"/>
                <w:szCs w:val="18"/>
                <w:color w:val="auto"/>
              </w:rPr>
              <w:t>69,406</w:t>
            </w:r>
          </w:p>
        </w:tc>
        <w:tc>
          <w:tcPr>
            <w:tcW w:w="2260" w:type="dxa"/>
            <w:vAlign w:val="bottom"/>
            <w:gridSpan w:val="2"/>
            <w:shd w:val="clear" w:color="auto" w:fill="D6F3E8"/>
          </w:tcPr>
          <w:p>
            <w:pPr>
              <w:jc w:val="right"/>
              <w:ind w:right="542"/>
              <w:spacing w:after="0"/>
              <w:rPr>
                <w:sz w:val="20"/>
                <w:szCs w:val="20"/>
                <w:color w:val="auto"/>
              </w:rPr>
            </w:pPr>
            <w:r>
              <w:rPr>
                <w:rFonts w:ascii="Arial" w:cs="Arial" w:eastAsia="Arial" w:hAnsi="Arial"/>
                <w:sz w:val="18"/>
                <w:szCs w:val="18"/>
                <w:color w:val="auto"/>
              </w:rPr>
              <w:t>196,072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380" w:type="dxa"/>
            <w:vAlign w:val="bottom"/>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2400" w:type="dxa"/>
            <w:vAlign w:val="bottom"/>
            <w:shd w:val="clear" w:color="auto" w:fill="D6F3E8"/>
          </w:tcPr>
          <w:p>
            <w:pPr>
              <w:jc w:val="right"/>
              <w:ind w:right="787"/>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940" w:type="dxa"/>
            <w:vAlign w:val="bottom"/>
            <w:shd w:val="clear" w:color="auto" w:fill="D6F3E8"/>
          </w:tcPr>
          <w:p>
            <w:pPr>
              <w:jc w:val="right"/>
              <w:ind w:right="54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380" w:type="dxa"/>
            <w:vAlign w:val="bottom"/>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shd w:val="clear" w:color="auto" w:fill="D6F3E8"/>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shd w:val="clear" w:color="auto" w:fill="D6F3E8"/>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right="14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calculated these amounts utilizing the assumptions set forth in footnote 9 to our audited financial statements included in our Annual Report on Form 10-K for the fiscal year ended March 29, 2009 filed with the Securities and Exchange Commission.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Termination of Employment Due to Death or Disability</w:t>
      </w:r>
    </w:p>
    <w:p>
      <w:pPr>
        <w:spacing w:after="0" w:line="225" w:lineRule="exact"/>
        <w:rPr>
          <w:sz w:val="20"/>
          <w:szCs w:val="20"/>
          <w:color w:val="auto"/>
        </w:rPr>
      </w:pPr>
    </w:p>
    <w:p>
      <w:pPr>
        <w:ind w:right="120" w:firstLine="429"/>
        <w:spacing w:after="0" w:line="298"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upon termination of employment due to death or disability as outlined in the table below. In the event that the executive officer’s employment with the Company ceases due to death or disability during the performance period, then the performance-based restricted stock unit equity award will vest immediately at 100% of its target. The Company will issue one unrestricted share in exchange for each vested unit.</w:t>
      </w:r>
    </w:p>
    <w:p>
      <w:pPr>
        <w:spacing w:after="0" w:line="167"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 as outlined in the table below.</w:t>
      </w:r>
    </w:p>
    <w:p>
      <w:pPr>
        <w:spacing w:after="0" w:line="186" w:lineRule="exact"/>
        <w:rPr>
          <w:sz w:val="20"/>
          <w:szCs w:val="20"/>
          <w:color w:val="auto"/>
        </w:rPr>
      </w:pPr>
    </w:p>
    <w:p>
      <w:pPr>
        <w:jc w:val="both"/>
        <w:ind w:right="360" w:firstLine="436"/>
        <w:spacing w:after="0" w:line="259" w:lineRule="auto"/>
        <w:rPr>
          <w:sz w:val="20"/>
          <w:szCs w:val="20"/>
          <w:color w:val="auto"/>
        </w:rPr>
      </w:pPr>
      <w:r>
        <w:rPr>
          <w:rFonts w:ascii="Arial" w:cs="Arial" w:eastAsia="Arial" w:hAnsi="Arial"/>
          <w:sz w:val="18"/>
          <w:szCs w:val="18"/>
          <w:color w:val="auto"/>
        </w:rPr>
        <w:t>The following table presents the portion of the grant-date fair value of all outstanding stock and option awards that would have been recognized by the Company for the fiscal year ended March 29, 2009 in accordance with SFAS No. 123R attributable to each named executive officer if a triggering event took place on the last business day of our most recently completed fiscal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6"/>
              </w:rPr>
              <w:t>Early Vesting of</w:t>
            </w: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Performance-Based</w:t>
            </w: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340" w:type="dxa"/>
            <w:vAlign w:val="bottom"/>
          </w:tcPr>
          <w:p>
            <w:pPr>
              <w:spacing w:after="0"/>
              <w:rPr>
                <w:sz w:val="12"/>
                <w:szCs w:val="12"/>
                <w:color w:val="auto"/>
              </w:rPr>
            </w:pPr>
          </w:p>
        </w:tc>
        <w:tc>
          <w:tcPr>
            <w:tcW w:w="24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Early Vesting of</w:t>
            </w: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Units/Restricted Stock</w:t>
            </w:r>
          </w:p>
        </w:tc>
        <w:tc>
          <w:tcPr>
            <w:tcW w:w="34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Options</w:t>
            </w:r>
          </w:p>
        </w:tc>
        <w:tc>
          <w:tcPr>
            <w:tcW w:w="320" w:type="dxa"/>
            <w:vAlign w:val="bottom"/>
          </w:tcPr>
          <w:p>
            <w:pPr>
              <w:spacing w:after="0"/>
              <w:rPr>
                <w:sz w:val="12"/>
                <w:szCs w:val="12"/>
                <w:color w:val="auto"/>
              </w:rPr>
            </w:pPr>
          </w:p>
        </w:tc>
        <w:tc>
          <w:tcPr>
            <w:tcW w:w="1940" w:type="dxa"/>
            <w:vAlign w:val="bottom"/>
          </w:tcPr>
          <w:p>
            <w:pPr>
              <w:jc w:val="right"/>
              <w:ind w:right="762"/>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60" w:type="dxa"/>
            <w:vAlign w:val="bottom"/>
            <w:gridSpan w:val="2"/>
          </w:tcPr>
          <w:p>
            <w:pPr>
              <w:jc w:val="right"/>
              <w:ind w:right="8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2740" w:type="dxa"/>
            <w:vAlign w:val="bottom"/>
            <w:gridSpan w:val="2"/>
          </w:tcPr>
          <w:p>
            <w:pPr>
              <w:spacing w:after="0"/>
              <w:rPr>
                <w:sz w:val="8"/>
                <w:szCs w:val="8"/>
                <w:color w:val="auto"/>
              </w:rPr>
            </w:pPr>
          </w:p>
        </w:tc>
        <w:tc>
          <w:tcPr>
            <w:tcW w:w="22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126,666</w:t>
            </w:r>
          </w:p>
        </w:tc>
        <w:tc>
          <w:tcPr>
            <w:tcW w:w="2740" w:type="dxa"/>
            <w:vAlign w:val="bottom"/>
            <w:gridSpan w:val="2"/>
            <w:shd w:val="clear" w:color="auto" w:fill="D6F3E8"/>
          </w:tcPr>
          <w:p>
            <w:pPr>
              <w:jc w:val="right"/>
              <w:ind w:right="787"/>
              <w:spacing w:after="0"/>
              <w:rPr>
                <w:sz w:val="20"/>
                <w:szCs w:val="20"/>
                <w:color w:val="auto"/>
              </w:rPr>
            </w:pPr>
            <w:r>
              <w:rPr>
                <w:rFonts w:ascii="Arial" w:cs="Arial" w:eastAsia="Arial" w:hAnsi="Arial"/>
                <w:sz w:val="18"/>
                <w:szCs w:val="18"/>
                <w:color w:val="auto"/>
              </w:rPr>
              <w:t>69,406</w:t>
            </w:r>
          </w:p>
        </w:tc>
        <w:tc>
          <w:tcPr>
            <w:tcW w:w="2260" w:type="dxa"/>
            <w:vAlign w:val="bottom"/>
            <w:gridSpan w:val="2"/>
            <w:shd w:val="clear" w:color="auto" w:fill="D6F3E8"/>
          </w:tcPr>
          <w:p>
            <w:pPr>
              <w:jc w:val="right"/>
              <w:ind w:right="542"/>
              <w:spacing w:after="0"/>
              <w:rPr>
                <w:sz w:val="20"/>
                <w:szCs w:val="20"/>
                <w:color w:val="auto"/>
              </w:rPr>
            </w:pPr>
            <w:r>
              <w:rPr>
                <w:rFonts w:ascii="Arial" w:cs="Arial" w:eastAsia="Arial" w:hAnsi="Arial"/>
                <w:sz w:val="18"/>
                <w:szCs w:val="18"/>
                <w:color w:val="auto"/>
              </w:rPr>
              <w:t>196,072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380" w:type="dxa"/>
            <w:vAlign w:val="bottom"/>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2400" w:type="dxa"/>
            <w:vAlign w:val="bottom"/>
            <w:shd w:val="clear" w:color="auto" w:fill="D6F3E8"/>
          </w:tcPr>
          <w:p>
            <w:pPr>
              <w:jc w:val="right"/>
              <w:ind w:right="787"/>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940" w:type="dxa"/>
            <w:vAlign w:val="bottom"/>
            <w:shd w:val="clear" w:color="auto" w:fill="D6F3E8"/>
          </w:tcPr>
          <w:p>
            <w:pPr>
              <w:jc w:val="right"/>
              <w:ind w:right="54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380" w:type="dxa"/>
            <w:vAlign w:val="bottom"/>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380" w:type="dxa"/>
            <w:vAlign w:val="bottom"/>
            <w:shd w:val="clear" w:color="auto" w:fill="D6F3E8"/>
          </w:tcPr>
          <w:p>
            <w:pPr>
              <w:jc w:val="right"/>
              <w:ind w:right="762"/>
              <w:spacing w:after="0"/>
              <w:rPr>
                <w:sz w:val="20"/>
                <w:szCs w:val="20"/>
                <w:color w:val="auto"/>
              </w:rPr>
            </w:pPr>
            <w:r>
              <w:rPr>
                <w:rFonts w:ascii="Arial" w:cs="Arial" w:eastAsia="Arial" w:hAnsi="Arial"/>
                <w:sz w:val="18"/>
                <w:szCs w:val="18"/>
                <w:color w:val="auto"/>
              </w:rPr>
              <w:t>35,468</w:t>
            </w:r>
          </w:p>
        </w:tc>
        <w:tc>
          <w:tcPr>
            <w:tcW w:w="2740" w:type="dxa"/>
            <w:vAlign w:val="bottom"/>
            <w:gridSpan w:val="2"/>
            <w:shd w:val="clear" w:color="auto" w:fill="D6F3E8"/>
          </w:tcPr>
          <w:p>
            <w:pPr>
              <w:jc w:val="right"/>
              <w:ind w:right="787"/>
              <w:spacing w:after="0"/>
              <w:rPr>
                <w:sz w:val="20"/>
                <w:szCs w:val="20"/>
                <w:color w:val="auto"/>
              </w:rPr>
            </w:pPr>
            <w:r>
              <w:rPr>
                <w:rFonts w:ascii="Arial" w:cs="Arial" w:eastAsia="Arial" w:hAnsi="Arial"/>
                <w:sz w:val="18"/>
                <w:szCs w:val="18"/>
                <w:color w:val="auto"/>
              </w:rPr>
              <w:t>19,434</w:t>
            </w:r>
          </w:p>
        </w:tc>
        <w:tc>
          <w:tcPr>
            <w:tcW w:w="2260" w:type="dxa"/>
            <w:vAlign w:val="bottom"/>
            <w:gridSpan w:val="2"/>
            <w:shd w:val="clear" w:color="auto" w:fill="D6F3E8"/>
          </w:tcPr>
          <w:p>
            <w:pPr>
              <w:jc w:val="right"/>
              <w:ind w:right="542"/>
              <w:spacing w:after="0"/>
              <w:rPr>
                <w:sz w:val="20"/>
                <w:szCs w:val="20"/>
                <w:color w:val="auto"/>
              </w:rPr>
            </w:pPr>
            <w:r>
              <w:rPr>
                <w:rFonts w:ascii="Arial" w:cs="Arial" w:eastAsia="Arial" w:hAnsi="Arial"/>
                <w:sz w:val="18"/>
                <w:szCs w:val="18"/>
                <w:color w:val="auto"/>
              </w:rPr>
              <w:t>54,902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right="14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calculated these amounts utilizing the assumptions set forth in footnote 9 to our audited financial statements included in our Annual Report on Form 10-K for the fiscal year ended March 29, 2009 filed with the Securities and Exchange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Director Compensation for Fiscal 2009</w:t>
      </w:r>
    </w:p>
    <w:p>
      <w:pPr>
        <w:spacing w:after="0" w:line="231" w:lineRule="exact"/>
        <w:rPr>
          <w:sz w:val="20"/>
          <w:szCs w:val="20"/>
          <w:color w:val="auto"/>
        </w:rPr>
      </w:pPr>
    </w:p>
    <w:p>
      <w:pPr>
        <w:jc w:val="both"/>
        <w:ind w:right="60" w:firstLine="439"/>
        <w:spacing w:after="0" w:line="256" w:lineRule="auto"/>
        <w:rPr>
          <w:sz w:val="20"/>
          <w:szCs w:val="20"/>
          <w:color w:val="auto"/>
        </w:rPr>
      </w:pPr>
      <w:r>
        <w:rPr>
          <w:rFonts w:ascii="Arial" w:cs="Arial" w:eastAsia="Arial" w:hAnsi="Arial"/>
          <w:sz w:val="18"/>
          <w:szCs w:val="18"/>
          <w:color w:val="auto"/>
        </w:rPr>
        <w:t>During fiscal 2009, we paid each non-employee director an annual retainer of $20,000, which was pro rated for our new directors who joined mid-year. We paid a supplemental annual retainer of $10,000 to our Chairman of the Board. We also paid supplemental annual retainers of $5,000 to the chairs of the Audit and Compensation committees and $2,500 to the chairs of our Governance and Nominating committees. Additionally, our non-employee directors received a meeting fee of $1,000 for each Board and committee meeting attended.</w:t>
      </w:r>
    </w:p>
    <w:p>
      <w:pPr>
        <w:spacing w:after="0" w:line="197"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In 2007, the Compensation Committee adopted a non-employee director compensation program under which each non-employee director is entitled to receive a grant of 1,000 shares of restricted common stock on the date of our Annual Meeting of Shareholders following the director’s election or reelection to the Board by our shareholders. The restricted stock vests one year from the date of issuance, subject to acceleration in the event of the director’s death or disability. For service during fiscal 2009, each non-employee director was granted 1,000 shares of restricted common stock on August 7, 2008 and these shares will vest in their entirety one year from their date of issuance.</w:t>
      </w:r>
    </w:p>
    <w:p>
      <w:pPr>
        <w:spacing w:after="0" w:line="197"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During fiscal 2006, we entered into a consulting agreement with John S. McKeon, our Chairman of the Board, to provide consulting services for certain strategic projects. Mr. McKeon received consulting fees of $60,000 under this arrangement in fiscal 2009.</w:t>
      </w:r>
    </w:p>
    <w:p>
      <w:pPr>
        <w:spacing w:after="0" w:line="186"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The following table shows, for each of our non-employee directors, information concerning annual compensation earned for services in all capacities during fiscal 2009: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 or</w:t>
            </w:r>
          </w:p>
        </w:tc>
        <w:tc>
          <w:tcPr>
            <w:tcW w:w="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Cash ($)</w:t>
            </w:r>
          </w:p>
        </w:tc>
        <w:tc>
          <w:tcPr>
            <w:tcW w:w="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4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Eapen Chacko</w:t>
            </w:r>
          </w:p>
        </w:tc>
        <w:tc>
          <w:tcPr>
            <w:tcW w:w="9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41,000</w:t>
            </w:r>
          </w:p>
        </w:tc>
        <w:tc>
          <w:tcPr>
            <w:tcW w:w="148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shd w:val="clear" w:color="auto" w:fill="D6F3E8"/>
          </w:tcPr>
          <w:p>
            <w:pPr>
              <w:spacing w:after="0"/>
              <w:rPr>
                <w:sz w:val="18"/>
                <w:szCs w:val="18"/>
                <w:color w:val="auto"/>
              </w:rPr>
            </w:pPr>
          </w:p>
        </w:tc>
        <w:tc>
          <w:tcPr>
            <w:tcW w:w="140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56,451</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James A. Faulconbridge</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39,000</w:t>
            </w: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tcPr>
          <w:p>
            <w:pPr>
              <w:spacing w:after="0"/>
              <w:rPr>
                <w:sz w:val="18"/>
                <w:szCs w:val="18"/>
                <w:color w:val="auto"/>
              </w:rPr>
            </w:pP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54,451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 Robert Gey</w:t>
            </w:r>
          </w:p>
        </w:tc>
        <w:tc>
          <w:tcPr>
            <w:tcW w:w="9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37,500</w:t>
            </w:r>
          </w:p>
        </w:tc>
        <w:tc>
          <w:tcPr>
            <w:tcW w:w="148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shd w:val="clear" w:color="auto" w:fill="D6F3E8"/>
          </w:tcPr>
          <w:p>
            <w:pPr>
              <w:spacing w:after="0"/>
              <w:rPr>
                <w:sz w:val="18"/>
                <w:szCs w:val="18"/>
                <w:color w:val="auto"/>
              </w:rPr>
            </w:pPr>
          </w:p>
        </w:tc>
        <w:tc>
          <w:tcPr>
            <w:tcW w:w="140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52,951</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26,000</w:t>
            </w: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tcPr>
          <w:p>
            <w:pPr>
              <w:spacing w:after="0"/>
              <w:rPr>
                <w:sz w:val="18"/>
                <w:szCs w:val="18"/>
                <w:color w:val="auto"/>
              </w:rPr>
            </w:pP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41,451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9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45,000</w:t>
            </w:r>
          </w:p>
        </w:tc>
        <w:tc>
          <w:tcPr>
            <w:tcW w:w="148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shd w:val="clear" w:color="auto" w:fill="D6F3E8"/>
          </w:tcPr>
          <w:p>
            <w:pPr>
              <w:spacing w:after="0"/>
              <w:rPr>
                <w:sz w:val="18"/>
                <w:szCs w:val="18"/>
                <w:color w:val="auto"/>
              </w:rPr>
            </w:pPr>
          </w:p>
        </w:tc>
        <w:tc>
          <w:tcPr>
            <w:tcW w:w="140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60,451</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55,500</w:t>
            </w: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tcPr>
          <w:p>
            <w:pPr>
              <w:spacing w:after="0"/>
              <w:rPr>
                <w:sz w:val="18"/>
                <w:szCs w:val="18"/>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60,000(b)</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130,951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9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36,000</w:t>
            </w:r>
          </w:p>
        </w:tc>
        <w:tc>
          <w:tcPr>
            <w:tcW w:w="148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15,451</w:t>
            </w:r>
          </w:p>
        </w:tc>
        <w:tc>
          <w:tcPr>
            <w:tcW w:w="300" w:type="dxa"/>
            <w:vAlign w:val="bottom"/>
            <w:shd w:val="clear" w:color="auto" w:fill="D6F3E8"/>
          </w:tcPr>
          <w:p>
            <w:pPr>
              <w:spacing w:after="0"/>
              <w:rPr>
                <w:sz w:val="18"/>
                <w:szCs w:val="18"/>
                <w:color w:val="auto"/>
              </w:rPr>
            </w:pPr>
          </w:p>
        </w:tc>
        <w:tc>
          <w:tcPr>
            <w:tcW w:w="140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51,451</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18"/>
                <w:szCs w:val="18"/>
                <w:color w:val="auto"/>
              </w:rPr>
            </w:pPr>
          </w:p>
        </w:tc>
        <w:tc>
          <w:tcPr>
            <w:tcW w:w="1160" w:type="dxa"/>
            <w:vAlign w:val="bottom"/>
          </w:tcPr>
          <w:p>
            <w:pPr>
              <w:jc w:val="right"/>
              <w:ind w:right="16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96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64"/>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1400" w:type="dxa"/>
            <w:vAlign w:val="bottom"/>
            <w:shd w:val="clear" w:color="auto" w:fill="D6F3E8"/>
          </w:tcPr>
          <w:p>
            <w:pPr>
              <w:jc w:val="right"/>
              <w:ind w:right="27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right="80" w:hanging="572"/>
        <w:spacing w:after="0" w:line="29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member of the Board received 1,000 shares of restricted stock as part of his retainer on August 7, 2008 pursuant to our 2004 Omnibus Stock Plan. The grant-date fair value of each of the awards was $14,530 and was determined by multiplying the number of shares awarded by the market price of the shares on the date of grant. The portion of the grant-date fair value of this and prior grants expensed in fiscal 2009 in accordance with SFAS No. 123R is reflected in the table. All of these shares vest in full on August 5, 2009, are eligible to receive dividends paid on our common stock and were the only shares of restricted stock held by each director at the end of our most recently completed fiscal year.</w:t>
      </w:r>
    </w:p>
    <w:p>
      <w:pPr>
        <w:spacing w:after="0" w:line="102" w:lineRule="exact"/>
        <w:rPr>
          <w:rFonts w:ascii="Arial" w:cs="Arial" w:eastAsia="Arial" w:hAnsi="Arial"/>
          <w:sz w:val="16"/>
          <w:szCs w:val="16"/>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$60,000 in consulting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200" w:firstLine="429"/>
        <w:spacing w:after="0" w:line="294" w:lineRule="auto"/>
        <w:rPr>
          <w:sz w:val="20"/>
          <w:szCs w:val="20"/>
          <w:color w:val="auto"/>
        </w:rPr>
      </w:pPr>
      <w:r>
        <w:rPr>
          <w:rFonts w:ascii="Arial" w:cs="Arial" w:eastAsia="Arial" w:hAnsi="Arial"/>
          <w:sz w:val="16"/>
          <w:szCs w:val="16"/>
          <w:color w:val="auto"/>
        </w:rPr>
        <w:t>All decisions regarding compensation of our executive officers during fiscal 2009 were made by the Compensation Committee of our Board of Directors. During fiscal 2009, the following directors served on the Compensation Committee: Duane M. Jergenson, Daryl I. Skaar and James A. Faulconbridge. None of our executive officers participates in any Board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26"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following table provides information about shares that may be issued under our 2004 Omnibus Stock Plan as of March 29, 2009. We do not have any other equity compensation plans required to be included in this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 Issued</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upon</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Outstanding</w:t>
            </w:r>
          </w:p>
        </w:tc>
        <w:tc>
          <w:tcPr>
            <w:tcW w:w="32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3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63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3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Rights ($)</w:t>
            </w:r>
          </w:p>
        </w:tc>
        <w:tc>
          <w:tcPr>
            <w:tcW w:w="32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Equity compensation plans approved by security holders(a)</w:t>
            </w:r>
          </w:p>
        </w:tc>
        <w:tc>
          <w:tcPr>
            <w:tcW w:w="140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61,332</w:t>
            </w:r>
          </w:p>
        </w:tc>
        <w:tc>
          <w:tcPr>
            <w:tcW w:w="1700" w:type="dxa"/>
            <w:vAlign w:val="bottom"/>
            <w:gridSpan w:val="2"/>
            <w:shd w:val="clear" w:color="auto" w:fill="D6F3E8"/>
          </w:tcPr>
          <w:p>
            <w:pPr>
              <w:jc w:val="right"/>
              <w:ind w:right="292"/>
              <w:spacing w:after="0"/>
              <w:rPr>
                <w:sz w:val="20"/>
                <w:szCs w:val="20"/>
                <w:color w:val="auto"/>
              </w:rPr>
            </w:pPr>
            <w:r>
              <w:rPr>
                <w:rFonts w:ascii="Arial" w:cs="Arial" w:eastAsia="Arial" w:hAnsi="Arial"/>
                <w:sz w:val="18"/>
                <w:szCs w:val="18"/>
                <w:color w:val="auto"/>
              </w:rPr>
              <w:t>15.43</w:t>
            </w:r>
          </w:p>
        </w:tc>
        <w:tc>
          <w:tcPr>
            <w:tcW w:w="32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188,758(b)(c)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66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right="500" w:hanging="572"/>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maintain one plan that was approved by our shareholders, the 2004 Omnibus Stock Plan. This plan allows awards in the form of restricted or unrestricted stock, incentive or non-statutory stock options, stock appreciation rights, performance-based restricted stock units or other stock-based awards.</w:t>
      </w:r>
    </w:p>
    <w:p>
      <w:pPr>
        <w:spacing w:after="0" w:line="126"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our 2004 Omnibus Stock Plan. There is no limit on the portion of the 350,000 shares of common stock available for distribution under this plan that may be awarded in the form of restricted or unrestricted stock.</w:t>
      </w:r>
    </w:p>
    <w:p>
      <w:pPr>
        <w:spacing w:after="0" w:line="118"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include 23,000 shares of restricted stock which were issuable upon vesting of outstanding performance-based restricted stock units as of March 29,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SECURITY OWNERSHIP OF MANAGEMENT AND BENEFICIAL OWNERSHIP</w:t>
      </w:r>
    </w:p>
    <w:p>
      <w:pPr>
        <w:spacing w:after="0" w:line="226" w:lineRule="exact"/>
        <w:rPr>
          <w:sz w:val="20"/>
          <w:szCs w:val="20"/>
          <w:color w:val="auto"/>
        </w:rPr>
      </w:pPr>
    </w:p>
    <w:p>
      <w:pPr>
        <w:jc w:val="both"/>
        <w:ind w:right="100" w:firstLine="436"/>
        <w:spacing w:after="0" w:line="306" w:lineRule="auto"/>
        <w:rPr>
          <w:sz w:val="20"/>
          <w:szCs w:val="20"/>
          <w:color w:val="auto"/>
        </w:rPr>
      </w:pPr>
      <w:r>
        <w:rPr>
          <w:rFonts w:ascii="Arial" w:cs="Arial" w:eastAsia="Arial" w:hAnsi="Arial"/>
          <w:sz w:val="16"/>
          <w:szCs w:val="16"/>
          <w:color w:val="auto"/>
        </w:rPr>
        <w:t>The following table contains information as of May 31, 2009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Number of Shares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9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Owned (a)</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gridSpan w:val="2"/>
          </w:tcPr>
          <w:p>
            <w:pPr>
              <w:spacing w:after="0"/>
              <w:rPr>
                <w:sz w:val="8"/>
                <w:szCs w:val="8"/>
                <w:color w:val="auto"/>
              </w:rPr>
            </w:pPr>
          </w:p>
        </w:tc>
        <w:tc>
          <w:tcPr>
            <w:tcW w:w="1900" w:type="dxa"/>
            <w:vAlign w:val="bottom"/>
            <w:gridSpan w:val="2"/>
          </w:tcPr>
          <w:p>
            <w:pPr>
              <w:spacing w:after="0"/>
              <w:rPr>
                <w:sz w:val="8"/>
                <w:szCs w:val="8"/>
                <w:color w:val="auto"/>
              </w:rPr>
            </w:pPr>
          </w:p>
        </w:tc>
        <w:tc>
          <w:tcPr>
            <w:tcW w:w="14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19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1,615,790(b)</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Royce &amp; Associates, LLC</w:t>
            </w: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1,060,045(c)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GAMCO Investors</w:t>
            </w:r>
          </w:p>
        </w:tc>
        <w:tc>
          <w:tcPr>
            <w:tcW w:w="19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586,982(d)</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577,531(e)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Eapen Chacko</w:t>
            </w:r>
          </w:p>
        </w:tc>
        <w:tc>
          <w:tcPr>
            <w:tcW w:w="19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4,229(f)</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James A. Faulconbridge</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3,106(f)</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 Robert Gey</w:t>
            </w:r>
          </w:p>
        </w:tc>
        <w:tc>
          <w:tcPr>
            <w:tcW w:w="19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12,339(f)</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331,773(g)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19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174,817(h)</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17,127(f)</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S. McKeon</w:t>
            </w:r>
          </w:p>
        </w:tc>
        <w:tc>
          <w:tcPr>
            <w:tcW w:w="19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30,505(i)</w:t>
            </w:r>
          </w:p>
        </w:tc>
        <w:tc>
          <w:tcPr>
            <w:tcW w:w="1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6,326(f)</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James T. Thompson</w:t>
            </w:r>
          </w:p>
        </w:tc>
        <w:tc>
          <w:tcPr>
            <w:tcW w:w="190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Jeffrey L. Wright</w:t>
            </w:r>
          </w:p>
        </w:tc>
        <w:tc>
          <w:tcPr>
            <w:tcW w:w="1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190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1900" w:type="dxa"/>
            <w:vAlign w:val="bottom"/>
            <w:gridSpan w:val="2"/>
          </w:tcPr>
          <w:p>
            <w:pPr>
              <w:jc w:val="right"/>
              <w:ind w:right="400"/>
              <w:spacing w:after="0"/>
              <w:rPr>
                <w:sz w:val="20"/>
                <w:szCs w:val="20"/>
                <w:color w:val="auto"/>
              </w:rPr>
            </w:pPr>
            <w:r>
              <w:rPr>
                <w:rFonts w:ascii="Arial" w:cs="Arial" w:eastAsia="Arial" w:hAnsi="Arial"/>
                <w:sz w:val="18"/>
                <w:szCs w:val="18"/>
                <w:color w:val="auto"/>
              </w:rPr>
              <w:t>55,258(j)</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Kathleen P. Pepski</w:t>
            </w:r>
          </w:p>
        </w:tc>
        <w:tc>
          <w:tcPr>
            <w:tcW w:w="190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32,014(k)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All directors and officers as a group (14 persons)</w:t>
            </w:r>
          </w:p>
        </w:tc>
        <w:tc>
          <w:tcPr>
            <w:tcW w:w="190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667,494(l)</w:t>
            </w:r>
          </w:p>
        </w:tc>
        <w:tc>
          <w:tcPr>
            <w:tcW w:w="14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66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8"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otherwise noted, all shares shown are held by shareholders possessing sole voting and investment power with respect to such shares.</w:t>
      </w:r>
    </w:p>
    <w:p>
      <w:pPr>
        <w:spacing w:after="0" w:line="180" w:lineRule="exact"/>
        <w:rPr>
          <w:rFonts w:ascii="Arial" w:cs="Arial" w:eastAsia="Arial" w:hAnsi="Arial"/>
          <w:sz w:val="16"/>
          <w:szCs w:val="16"/>
          <w:color w:val="auto"/>
        </w:rPr>
      </w:pPr>
    </w:p>
    <w:p>
      <w:pPr>
        <w:ind w:left="580" w:right="160" w:hanging="572"/>
        <w:spacing w:after="0" w:line="290"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Trustee of the Hawkins, Inc. Employee Stock Ownership Plan and Trust is Charles Schwab Trust Company.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199" w:lineRule="exact"/>
        <w:rPr>
          <w:rFonts w:ascii="Arial" w:cs="Arial" w:eastAsia="Arial" w:hAnsi="Arial"/>
          <w:sz w:val="16"/>
          <w:szCs w:val="16"/>
          <w:color w:val="auto"/>
        </w:rPr>
      </w:pPr>
    </w:p>
    <w:p>
      <w:pPr>
        <w:ind w:left="580" w:right="16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by Royce &amp; Associates, LLC with the SEC on January 26, 2009. The address for Royce &amp; Associates is 1414 Avenue of the Americas, New York, NY 10019.</w:t>
      </w:r>
    </w:p>
    <w:p>
      <w:pPr>
        <w:spacing w:after="0" w:line="118"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Amendment No. 1 to Schedule 13D filed by GAMCO Investors with the SEC on March 13, 2009. The address for GAMCO Investors is One Corporate Center, Rye, NY 10580.</w:t>
      </w:r>
    </w:p>
    <w:p>
      <w:pPr>
        <w:spacing w:after="0" w:line="118"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10, 2009. The address for T. Rowe Price Associates, Inc. is 100 E. Pratt Street, Baltimore, MD 21202.</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1,000 shares of restricted stock, which shares vest and the related restrictions expire on August 5, 2009.</w:t>
      </w:r>
    </w:p>
    <w:p>
      <w:pPr>
        <w:spacing w:after="0" w:line="157" w:lineRule="exact"/>
        <w:rPr>
          <w:rFonts w:ascii="Arial" w:cs="Arial" w:eastAsia="Arial" w:hAnsi="Arial"/>
          <w:sz w:val="18"/>
          <w:szCs w:val="18"/>
          <w:color w:val="auto"/>
        </w:rPr>
      </w:pPr>
    </w:p>
    <w:p>
      <w:pPr>
        <w:ind w:left="580" w:right="100" w:hanging="572"/>
        <w:spacing w:after="0" w:line="25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99,109 shares representing the beneficial interest of Mr. Hawkins as of May 31, 2009 in our ESOP, 64,195 shares held by Mr. Hawkins’ wife as to which he may be deemed to share voting and investment power, but as to which he disclaims beneficial ownership, 67,133 shares that Mr. Hawkins holds jointly with his wife as to which he shares voting and investment power and 1,000 shares of restricted stock, which shares vest and the related restrictions expire on August 5, 2009.</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ind w:left="58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99,596 shares representing the beneficial interest of Mr. Hawkins as of May 31, 2009 in our ESOP, 66,294 shares that Mr. Hawkins holds jointly with his wife as to which he shares voting and investment power.</w:t>
      </w:r>
    </w:p>
    <w:p>
      <w:pPr>
        <w:spacing w:after="0" w:line="118" w:lineRule="exact"/>
        <w:rPr>
          <w:rFonts w:ascii="Arial" w:cs="Arial" w:eastAsia="Arial" w:hAnsi="Arial"/>
          <w:sz w:val="18"/>
          <w:szCs w:val="18"/>
          <w:color w:val="auto"/>
        </w:rPr>
      </w:pPr>
    </w:p>
    <w:p>
      <w:pPr>
        <w:ind w:left="580" w:right="380" w:hanging="572"/>
        <w:spacing w:after="0" w:line="33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507 shares held by Mr. McKeon as custodian for a child as to which Mr. McKeon has sole voting and investment power, but as to which he disclaims beneficial ownership and 1,000 shares of restricted stock, which shares vest and the related restrictions expire on August 5, 2009.</w:t>
      </w:r>
    </w:p>
    <w:p>
      <w:pPr>
        <w:spacing w:after="0" w:line="71" w:lineRule="exact"/>
        <w:rPr>
          <w:rFonts w:ascii="Arial" w:cs="Arial" w:eastAsia="Arial" w:hAnsi="Arial"/>
          <w:sz w:val="16"/>
          <w:szCs w:val="16"/>
          <w:color w:val="auto"/>
        </w:rPr>
      </w:pPr>
    </w:p>
    <w:p>
      <w:pPr>
        <w:ind w:left="580" w:right="14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55,248 shares representing the beneficial interest of Ms. Paulson as of May 31, 2009 in our ESOP and 10 shares that Ms. Paulson holds jointly with her husband as to which she shares voting and investment power.</w:t>
      </w:r>
    </w:p>
    <w:p>
      <w:pPr>
        <w:spacing w:after="0" w:line="118"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26,455 shares representing the beneficial interest of Mr. Sevenich as of May 31, 2009 in our ESOP, 3,959 shares that Mr. Sevenich holds jointly with his wife as to which he shares voting and investment power and 1,600 shares held by Mr. Sevenich as custodian for a child as to which Mr. Sevenich has sole voting and investment power, but as to which he disclaims beneficial ownership.</w:t>
      </w:r>
    </w:p>
    <w:p>
      <w:pPr>
        <w:spacing w:after="0" w:line="126"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280,408 shares representing the beneficial interest of the directors and officers as of May 31, 2009 in our ESOP.</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25" w:lineRule="exact"/>
        <w:rPr>
          <w:sz w:val="20"/>
          <w:szCs w:val="20"/>
          <w:color w:val="auto"/>
        </w:rPr>
      </w:pPr>
    </w:p>
    <w:p>
      <w:pPr>
        <w:ind w:right="100" w:firstLine="439"/>
        <w:spacing w:after="0" w:line="291"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except that John R. Hawkins, an executive officer, filed a late report with respect to the sale of 408 shares in February 2009.</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RELATED PARTY TRANSACTIONS</w:t>
      </w:r>
    </w:p>
    <w:p>
      <w:pPr>
        <w:spacing w:after="0" w:line="225"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We employ Patrick Hawkins, the son of Howard M. Hawkins, a director whose term expires at the Annual Meeting, and Daniel Paulson, the son of Keenan A. Paulson, our Vice President—Water Treatment Group. Including retirement plan contributions and bonuses, each such employee earned in excess of $120,000 in fiscal 2009.</w:t>
      </w:r>
    </w:p>
    <w:p>
      <w:pPr>
        <w:spacing w:after="0" w:line="194" w:lineRule="exact"/>
        <w:rPr>
          <w:sz w:val="20"/>
          <w:szCs w:val="20"/>
          <w:color w:val="auto"/>
        </w:rPr>
      </w:pPr>
    </w:p>
    <w:p>
      <w:pPr>
        <w:ind w:right="100" w:firstLine="436"/>
        <w:spacing w:after="0" w:line="306" w:lineRule="auto"/>
        <w:rPr>
          <w:sz w:val="20"/>
          <w:szCs w:val="20"/>
          <w:color w:val="auto"/>
        </w:rPr>
      </w:pPr>
      <w:r>
        <w:rPr>
          <w:rFonts w:ascii="Arial" w:cs="Arial" w:eastAsia="Arial" w:hAnsi="Arial"/>
          <w:sz w:val="16"/>
          <w:szCs w:val="16"/>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OTHER MATTERS</w:t>
      </w:r>
    </w:p>
    <w:p>
      <w:pPr>
        <w:spacing w:after="0" w:line="225" w:lineRule="exact"/>
        <w:rPr>
          <w:sz w:val="20"/>
          <w:szCs w:val="20"/>
          <w:color w:val="auto"/>
        </w:rPr>
      </w:pPr>
    </w:p>
    <w:p>
      <w:pPr>
        <w:jc w:val="both"/>
        <w:ind w:right="80" w:firstLine="439"/>
        <w:spacing w:after="0" w:line="259"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25"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On June 9, 2009, our Audit Committee engaged KPMG LLP, an independent registered public accounting firm, as our auditor for fiscal 2010. Deloitte &amp; Touche LLP, an independent registered public accounting firm, had served as our auditor for fiscal 2009.</w:t>
      </w:r>
    </w:p>
    <w:p>
      <w:pPr>
        <w:spacing w:after="0" w:line="186" w:lineRule="exact"/>
        <w:rPr>
          <w:sz w:val="20"/>
          <w:szCs w:val="20"/>
          <w:color w:val="auto"/>
        </w:rPr>
      </w:pPr>
    </w:p>
    <w:p>
      <w:pPr>
        <w:ind w:firstLine="439"/>
        <w:spacing w:after="0" w:line="370" w:lineRule="auto"/>
        <w:rPr>
          <w:sz w:val="20"/>
          <w:szCs w:val="20"/>
          <w:color w:val="auto"/>
        </w:rPr>
      </w:pPr>
      <w:r>
        <w:rPr>
          <w:rFonts w:ascii="Arial" w:cs="Arial" w:eastAsia="Arial" w:hAnsi="Arial"/>
          <w:sz w:val="15"/>
          <w:szCs w:val="15"/>
          <w:color w:val="auto"/>
        </w:rPr>
        <w:t>Representatives of KPMG LLP are expected to attend the Annual Meeting and will have the opportunity to make a statement if they desire to do so. They are expected to be available to respond to appropriate questions. We do not expect representatives of Deloitte &amp; Touche LLP to be present at the Annual Meeting.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22"/>
          <w:szCs w:val="22"/>
          <w:b w:val="1"/>
          <w:bCs w:val="1"/>
          <w:color w:val="auto"/>
        </w:rPr>
        <w:t>PROPOSALS BY SHAREHOLDERS</w:t>
      </w:r>
    </w:p>
    <w:p>
      <w:pPr>
        <w:spacing w:after="0" w:line="226" w:lineRule="exact"/>
        <w:rPr>
          <w:sz w:val="20"/>
          <w:szCs w:val="20"/>
          <w:color w:val="auto"/>
        </w:rPr>
      </w:pPr>
    </w:p>
    <w:p>
      <w:pPr>
        <w:jc w:val="both"/>
        <w:ind w:right="220" w:firstLine="439"/>
        <w:spacing w:after="0" w:line="283"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the written proposal must be received by us at our principal executive office no later than March 11, 2010.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us no later than May 25, 2010.</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10-K</w:t>
      </w:r>
    </w:p>
    <w:p>
      <w:pPr>
        <w:spacing w:after="0" w:line="22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Annual Report on Form 10-K for the fiscal year ended March 29, 2009, including financial statements, is being mailed with this Proxy Statement. Shareholders who wish to obtain an additional copy of our Annual Report on Form 10-K for fiscal 2009 may do so without charge by writing to: Hawkins, Inc., 3100 East Hennepin Avenue, Minneapolis, Minnesota 55413, Attention: Secretary. Our Annual Report on Form 10-K, as well as other Company reports, are also available on the SEC’s website (www.sec.gov).</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July 9, 2009.</w:t>
      </w:r>
      <w:r>
        <w:rPr>
          <w:sz w:val="20"/>
          <w:szCs w:val="20"/>
          <w:color w:val="auto"/>
        </w:rPr>
        <w:tab/>
      </w:r>
      <w:r>
        <w:rPr>
          <w:rFonts w:ascii="Arial" w:cs="Arial" w:eastAsia="Arial" w:hAnsi="Arial"/>
          <w:sz w:val="16"/>
          <w:szCs w:val="16"/>
          <w:color w:val="auto"/>
        </w:rPr>
        <w:t>BY ORDER OF THE BOARD OF DIRECTORS</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G. ERSTAD,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Wednesday, August 5, 2009</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10:00 a.m., Central Daylight Time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Midland Hills Country Club</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2001 Fulham 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250430" cy="587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August 5,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Annual Report on Form 10-K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www.ezodproxy.com/hawkinsinc/2009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proxy materials and information are available for your review at </w:t>
      </w:r>
      <w:r>
        <w:rPr>
          <w:rFonts w:ascii="Arial" w:cs="Arial" w:eastAsia="Arial" w:hAnsi="Arial"/>
          <w:sz w:val="18"/>
          <w:szCs w:val="18"/>
          <w:u w:val="single" w:color="auto"/>
          <w:color w:val="auto"/>
        </w:rPr>
        <w:t>www.ezodproxy.com/hawkinsinc/2009</w:t>
      </w:r>
    </w:p>
    <w:p>
      <w:pPr>
        <w:sectPr>
          <w:pgSz w:w="11900" w:h="16838" w:orient="portrait"/>
          <w:cols w:equalWidth="0" w:num="1">
            <w:col w:w="11420"/>
          </w:cols>
          <w:pgMar w:left="240" w:top="111" w:right="239" w:bottom="1440" w:gutter="0" w:footer="0" w:header="0"/>
        </w:sectPr>
      </w:pPr>
    </w:p>
    <w:p>
      <w:pPr>
        <w:spacing w:after="0" w:line="239" w:lineRule="exact"/>
        <w:rPr>
          <w:sz w:val="20"/>
          <w:szCs w:val="20"/>
          <w:color w:val="auto"/>
        </w:rPr>
      </w:pPr>
    </w:p>
    <w:p>
      <w:pPr>
        <w:ind w:left="2340" w:hanging="576"/>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Notice of Annual Meeting and Proxy Statement;</w:t>
      </w:r>
    </w:p>
    <w:p>
      <w:pPr>
        <w:spacing w:after="0" w:line="15" w:lineRule="exact"/>
        <w:rPr>
          <w:rFonts w:ascii="Arial" w:cs="Arial" w:eastAsia="Arial" w:hAnsi="Arial"/>
          <w:sz w:val="18"/>
          <w:szCs w:val="18"/>
          <w:color w:val="auto"/>
        </w:rPr>
      </w:pPr>
    </w:p>
    <w:p>
      <w:pPr>
        <w:ind w:left="2340" w:hanging="576"/>
        <w:spacing w:after="0"/>
        <w:tabs>
          <w:tab w:leader="none" w:pos="2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March 29, 2009;</w:t>
      </w:r>
    </w:p>
    <w:p>
      <w:pPr>
        <w:spacing w:after="0" w:line="32" w:lineRule="exact"/>
        <w:rPr>
          <w:rFonts w:ascii="Arial" w:cs="Arial" w:eastAsia="Arial" w:hAnsi="Arial"/>
          <w:sz w:val="16"/>
          <w:szCs w:val="16"/>
          <w:color w:val="auto"/>
        </w:rPr>
      </w:pPr>
    </w:p>
    <w:p>
      <w:pPr>
        <w:ind w:left="2340" w:hanging="576"/>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of Proxy Card;</w:t>
      </w:r>
    </w:p>
    <w:p>
      <w:pPr>
        <w:spacing w:after="0" w:line="9" w:lineRule="exact"/>
        <w:rPr>
          <w:rFonts w:ascii="Arial" w:cs="Arial" w:eastAsia="Arial" w:hAnsi="Arial"/>
          <w:sz w:val="18"/>
          <w:szCs w:val="18"/>
          <w:color w:val="auto"/>
        </w:rPr>
      </w:pPr>
    </w:p>
    <w:p>
      <w:pPr>
        <w:ind w:left="2340" w:hanging="576"/>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Letter to Shareholders; and</w:t>
      </w:r>
    </w:p>
    <w:p>
      <w:pPr>
        <w:spacing w:after="0" w:line="9" w:lineRule="exact"/>
        <w:rPr>
          <w:rFonts w:ascii="Arial" w:cs="Arial" w:eastAsia="Arial" w:hAnsi="Arial"/>
          <w:sz w:val="18"/>
          <w:szCs w:val="18"/>
          <w:color w:val="auto"/>
        </w:rPr>
      </w:pPr>
    </w:p>
    <w:p>
      <w:pPr>
        <w:ind w:left="2340" w:hanging="576"/>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directions to the Annual Meeting.</w:t>
      </w:r>
    </w:p>
    <w:p>
      <w:pPr>
        <w:spacing w:after="0" w:line="200" w:lineRule="exact"/>
        <w:rPr>
          <w:sz w:val="20"/>
          <w:szCs w:val="20"/>
          <w:color w:val="auto"/>
        </w:rPr>
      </w:pPr>
    </w:p>
    <w:p>
      <w:pPr>
        <w:spacing w:after="0" w:line="29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200" w:lineRule="exact"/>
        <w:rPr>
          <w:sz w:val="20"/>
          <w:szCs w:val="20"/>
          <w:color w:val="auto"/>
        </w:rPr>
      </w:pPr>
    </w:p>
    <w:p>
      <w:pPr>
        <w:sectPr>
          <w:pgSz w:w="11900" w:h="16838" w:orient="portrait"/>
          <w:cols w:equalWidth="0" w:num="2">
            <w:col w:w="9900" w:space="720"/>
            <w:col w:w="800"/>
          </w:cols>
          <w:pgMar w:left="240" w:top="111" w:right="2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5,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w:t>
      </w:r>
    </w:p>
    <w:p>
      <w:pPr>
        <w:spacing w:after="0" w:line="231"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By signing the proxy, you revoke all prior proxies and appoint John R. Hawkins, Kathleen P. Pepski and Richard G. Erstad, and each of them, with full power of substitution, to vote your shares on the matters shown on the reverse side and any other matters that may come before the Annual Meeting and all adjournments.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t>TO VOTE BY MAIL AS THE BOARD OF DIRECTORS RECOMMENDS ON ALL ITEMS BELOW,</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SIMPLY SIGN, DATE, AND RETURN THIS PROXY CARD.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40" w:type="dxa"/>
            <w:vAlign w:val="bottom"/>
            <w:gridSpan w:val="2"/>
          </w:tcPr>
          <w:p>
            <w:pPr>
              <w:jc w:val="center"/>
              <w:ind w:right="132"/>
              <w:spacing w:after="0"/>
              <w:rPr>
                <w:sz w:val="20"/>
                <w:szCs w:val="20"/>
                <w:color w:val="auto"/>
              </w:rPr>
            </w:pPr>
            <w:r>
              <w:rPr>
                <w:rFonts w:ascii="Arial" w:cs="Arial" w:eastAsia="Arial" w:hAnsi="Arial"/>
                <w:sz w:val="18"/>
                <w:szCs w:val="18"/>
                <w:i w:val="1"/>
                <w:iCs w:val="1"/>
                <w:color w:val="auto"/>
                <w:w w:val="86"/>
              </w:rPr>
              <w:t>- Please detach here -</w:t>
            </w: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2"/>
        </w:trPr>
        <w:tc>
          <w:tcPr>
            <w:tcW w:w="1920" w:type="dxa"/>
            <w:vAlign w:val="bottom"/>
          </w:tcPr>
          <w:p>
            <w:pPr>
              <w:spacing w:after="0"/>
              <w:rPr>
                <w:sz w:val="24"/>
                <w:szCs w:val="24"/>
                <w:color w:val="auto"/>
              </w:rPr>
            </w:pPr>
          </w:p>
        </w:tc>
        <w:tc>
          <w:tcPr>
            <w:tcW w:w="7440" w:type="dxa"/>
            <w:vAlign w:val="bottom"/>
            <w:gridSpan w:val="5"/>
          </w:tcPr>
          <w:p>
            <w:pPr>
              <w:jc w:val="center"/>
              <w:ind w:left="52"/>
              <w:spacing w:after="0"/>
              <w:rPr>
                <w:sz w:val="20"/>
                <w:szCs w:val="20"/>
                <w:color w:val="auto"/>
              </w:rPr>
            </w:pPr>
            <w:r>
              <w:rPr>
                <w:rFonts w:ascii="Arial" w:cs="Arial" w:eastAsia="Arial" w:hAnsi="Arial"/>
                <w:sz w:val="18"/>
                <w:szCs w:val="18"/>
                <w:b w:val="1"/>
                <w:bCs w:val="1"/>
                <w:color w:val="auto"/>
                <w:w w:val="98"/>
              </w:rPr>
              <w:t>THE BOARD OF DIRECTORS RECOMMENDS A VOTE FOR ALL NOMINEES IN ITEM 1.</w:t>
            </w:r>
          </w:p>
        </w:tc>
        <w:tc>
          <w:tcPr>
            <w:tcW w:w="1640" w:type="dxa"/>
            <w:vAlign w:val="bottom"/>
          </w:tcPr>
          <w:p>
            <w:pPr>
              <w:spacing w:after="0"/>
              <w:rPr>
                <w:sz w:val="24"/>
                <w:szCs w:val="24"/>
                <w:color w:val="auto"/>
              </w:rPr>
            </w:pPr>
          </w:p>
        </w:tc>
      </w:tr>
      <w:tr>
        <w:trPr>
          <w:trHeight w:val="439"/>
        </w:trPr>
        <w:tc>
          <w:tcPr>
            <w:tcW w:w="192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80" w:type="dxa"/>
            <w:vAlign w:val="bottom"/>
          </w:tcPr>
          <w:p>
            <w:pPr>
              <w:ind w:left="40"/>
              <w:spacing w:after="0"/>
              <w:rPr>
                <w:sz w:val="20"/>
                <w:szCs w:val="20"/>
                <w:color w:val="auto"/>
              </w:rPr>
            </w:pPr>
            <w:r>
              <w:rPr>
                <w:rFonts w:ascii="Arial" w:cs="Arial" w:eastAsia="Arial" w:hAnsi="Arial"/>
                <w:sz w:val="18"/>
                <w:szCs w:val="18"/>
                <w:color w:val="auto"/>
              </w:rPr>
              <w:t>John S. McKeon</w:t>
            </w: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760" w:type="dxa"/>
            <w:vAlign w:val="bottom"/>
          </w:tcPr>
          <w:p>
            <w:pPr>
              <w:ind w:left="40"/>
              <w:spacing w:after="0"/>
              <w:rPr>
                <w:sz w:val="20"/>
                <w:szCs w:val="20"/>
                <w:color w:val="auto"/>
              </w:rPr>
            </w:pPr>
            <w:r>
              <w:rPr>
                <w:rFonts w:ascii="Arial" w:cs="Arial" w:eastAsia="Arial" w:hAnsi="Arial"/>
                <w:sz w:val="18"/>
                <w:szCs w:val="18"/>
                <w:color w:val="auto"/>
              </w:rPr>
              <w:t>Daryl I. Skaar</w:t>
            </w:r>
          </w:p>
        </w:tc>
        <w:tc>
          <w:tcPr>
            <w:tcW w:w="2320" w:type="dxa"/>
            <w:vAlign w:val="bottom"/>
          </w:tcPr>
          <w:p>
            <w:pPr>
              <w:ind w:left="300"/>
              <w:spacing w:after="0"/>
              <w:rPr>
                <w:sz w:val="20"/>
                <w:szCs w:val="20"/>
                <w:color w:val="auto"/>
              </w:rPr>
            </w:pPr>
            <w:r>
              <w:rPr>
                <w:rFonts w:ascii="Arial" w:cs="Arial" w:eastAsia="Arial" w:hAnsi="Arial"/>
                <w:sz w:val="18"/>
                <w:szCs w:val="18"/>
                <w:color w:val="auto"/>
              </w:rPr>
              <w:t>o   Vote FOR</w:t>
            </w:r>
          </w:p>
        </w:tc>
        <w:tc>
          <w:tcPr>
            <w:tcW w:w="1640" w:type="dxa"/>
            <w:vAlign w:val="bottom"/>
          </w:tcPr>
          <w:p>
            <w:pPr>
              <w:jc w:val="right"/>
              <w:spacing w:after="0"/>
              <w:rPr>
                <w:sz w:val="20"/>
                <w:szCs w:val="20"/>
                <w:color w:val="auto"/>
              </w:rPr>
            </w:pPr>
            <w:r>
              <w:rPr>
                <w:rFonts w:ascii="Arial" w:cs="Arial" w:eastAsia="Arial" w:hAnsi="Arial"/>
                <w:sz w:val="18"/>
                <w:szCs w:val="18"/>
                <w:color w:val="auto"/>
              </w:rPr>
              <w:t>o   Vote WITHHELD</w:t>
            </w:r>
          </w:p>
        </w:tc>
      </w:tr>
      <w:tr>
        <w:trPr>
          <w:trHeight w:val="216"/>
        </w:trPr>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080" w:type="dxa"/>
            <w:vAlign w:val="bottom"/>
          </w:tcPr>
          <w:p>
            <w:pPr>
              <w:ind w:left="40"/>
              <w:spacing w:after="0"/>
              <w:rPr>
                <w:sz w:val="20"/>
                <w:szCs w:val="20"/>
                <w:color w:val="auto"/>
              </w:rPr>
            </w:pPr>
            <w:r>
              <w:rPr>
                <w:rFonts w:ascii="Arial" w:cs="Arial" w:eastAsia="Arial" w:hAnsi="Arial"/>
                <w:sz w:val="18"/>
                <w:szCs w:val="18"/>
                <w:color w:val="auto"/>
              </w:rPr>
              <w:t>John R. Hawkins</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760" w:type="dxa"/>
            <w:vAlign w:val="bottom"/>
          </w:tcPr>
          <w:p>
            <w:pPr>
              <w:ind w:left="40"/>
              <w:spacing w:after="0"/>
              <w:rPr>
                <w:sz w:val="20"/>
                <w:szCs w:val="20"/>
                <w:color w:val="auto"/>
              </w:rPr>
            </w:pPr>
            <w:r>
              <w:rPr>
                <w:rFonts w:ascii="Arial" w:cs="Arial" w:eastAsia="Arial" w:hAnsi="Arial"/>
                <w:sz w:val="18"/>
                <w:szCs w:val="18"/>
                <w:color w:val="auto"/>
              </w:rPr>
              <w:t>James T. Thompson</w:t>
            </w:r>
          </w:p>
        </w:tc>
        <w:tc>
          <w:tcPr>
            <w:tcW w:w="2320" w:type="dxa"/>
            <w:vAlign w:val="bottom"/>
          </w:tcPr>
          <w:p>
            <w:pPr>
              <w:ind w:left="640"/>
              <w:spacing w:after="0"/>
              <w:rPr>
                <w:sz w:val="20"/>
                <w:szCs w:val="20"/>
                <w:color w:val="auto"/>
              </w:rPr>
            </w:pPr>
            <w:r>
              <w:rPr>
                <w:rFonts w:ascii="Arial" w:cs="Arial" w:eastAsia="Arial" w:hAnsi="Arial"/>
                <w:sz w:val="18"/>
                <w:szCs w:val="18"/>
                <w:color w:val="auto"/>
              </w:rPr>
              <w:t>all nominees</w:t>
            </w:r>
          </w:p>
        </w:tc>
        <w:tc>
          <w:tcPr>
            <w:tcW w:w="1640" w:type="dxa"/>
            <w:vAlign w:val="bottom"/>
          </w:tcPr>
          <w:p>
            <w:pPr>
              <w:jc w:val="right"/>
              <w:spacing w:after="0"/>
              <w:rPr>
                <w:sz w:val="20"/>
                <w:szCs w:val="20"/>
                <w:color w:val="auto"/>
              </w:rPr>
            </w:pPr>
            <w:r>
              <w:rPr>
                <w:rFonts w:ascii="Arial" w:cs="Arial" w:eastAsia="Arial" w:hAnsi="Arial"/>
                <w:sz w:val="18"/>
                <w:szCs w:val="18"/>
                <w:color w:val="auto"/>
              </w:rPr>
              <w:t>from all nominees</w:t>
            </w:r>
          </w:p>
        </w:tc>
      </w:tr>
      <w:tr>
        <w:trPr>
          <w:trHeight w:val="216"/>
        </w:trPr>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2080" w:type="dxa"/>
            <w:vAlign w:val="bottom"/>
          </w:tcPr>
          <w:p>
            <w:pPr>
              <w:ind w:left="40"/>
              <w:spacing w:after="0"/>
              <w:rPr>
                <w:sz w:val="20"/>
                <w:szCs w:val="20"/>
                <w:color w:val="auto"/>
              </w:rPr>
            </w:pPr>
            <w:r>
              <w:rPr>
                <w:rFonts w:ascii="Arial" w:cs="Arial" w:eastAsia="Arial" w:hAnsi="Arial"/>
                <w:sz w:val="18"/>
                <w:szCs w:val="18"/>
                <w:color w:val="auto"/>
              </w:rPr>
              <w:t>James A. Faulconbridge</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760" w:type="dxa"/>
            <w:vAlign w:val="bottom"/>
          </w:tcPr>
          <w:p>
            <w:pPr>
              <w:ind w:left="40"/>
              <w:spacing w:after="0"/>
              <w:rPr>
                <w:sz w:val="20"/>
                <w:szCs w:val="20"/>
                <w:color w:val="auto"/>
              </w:rPr>
            </w:pPr>
            <w:r>
              <w:rPr>
                <w:rFonts w:ascii="Arial" w:cs="Arial" w:eastAsia="Arial" w:hAnsi="Arial"/>
                <w:sz w:val="18"/>
                <w:szCs w:val="18"/>
                <w:color w:val="auto"/>
              </w:rPr>
              <w:t>Jeffrey L. Wright</w:t>
            </w:r>
          </w:p>
        </w:tc>
        <w:tc>
          <w:tcPr>
            <w:tcW w:w="2320" w:type="dxa"/>
            <w:vAlign w:val="bottom"/>
          </w:tcPr>
          <w:p>
            <w:pPr>
              <w:ind w:left="640"/>
              <w:spacing w:after="0"/>
              <w:rPr>
                <w:sz w:val="20"/>
                <w:szCs w:val="20"/>
                <w:color w:val="auto"/>
              </w:rPr>
            </w:pPr>
            <w:r>
              <w:rPr>
                <w:rFonts w:ascii="Arial" w:cs="Arial" w:eastAsia="Arial" w:hAnsi="Arial"/>
                <w:sz w:val="18"/>
                <w:szCs w:val="18"/>
                <w:color w:val="auto"/>
              </w:rPr>
              <w:t>(except as marked)</w:t>
            </w:r>
          </w:p>
        </w:tc>
        <w:tc>
          <w:tcPr>
            <w:tcW w:w="1640" w:type="dxa"/>
            <w:vAlign w:val="bottom"/>
          </w:tcPr>
          <w:p>
            <w:pPr>
              <w:spacing w:after="0"/>
              <w:rPr>
                <w:sz w:val="18"/>
                <w:szCs w:val="18"/>
                <w:color w:val="auto"/>
              </w:rPr>
            </w:pPr>
          </w:p>
        </w:tc>
      </w:tr>
      <w:tr>
        <w:trPr>
          <w:trHeight w:val="222"/>
        </w:trPr>
        <w:tc>
          <w:tcPr>
            <w:tcW w:w="1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080" w:type="dxa"/>
            <w:vAlign w:val="bottom"/>
          </w:tcPr>
          <w:p>
            <w:pPr>
              <w:ind w:left="40"/>
              <w:spacing w:after="0"/>
              <w:rPr>
                <w:sz w:val="20"/>
                <w:szCs w:val="20"/>
                <w:color w:val="auto"/>
              </w:rPr>
            </w:pPr>
            <w:r>
              <w:rPr>
                <w:rFonts w:ascii="Arial" w:cs="Arial" w:eastAsia="Arial" w:hAnsi="Arial"/>
                <w:sz w:val="18"/>
                <w:szCs w:val="18"/>
                <w:color w:val="auto"/>
              </w:rPr>
              <w:t>Duane M. Jergenson</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(Instructions: To withhold authority to vote for any indicated nominee, write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-109220</wp:posOffset>
            </wp:positionV>
            <wp:extent cx="2679700" cy="278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9700" cy="27876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nominee(s) in the box provided to the right.)</w:t>
      </w:r>
    </w:p>
    <w:p>
      <w:pPr>
        <w:spacing w:after="0" w:line="165"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In their discretion, the Proxies are authorized to vote upon such other matters as may properly come before the meeting.</w:t>
      </w:r>
    </w:p>
    <w:p>
      <w:pPr>
        <w:spacing w:after="0" w:line="21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THIS PROXY WHEN PROPERLY EXECUTED WILL BE VOTED AS DIRECTED OR, IF NO DIRECTION IS GIVEN,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PROPOSAL.</w:t>
      </w:r>
    </w:p>
    <w:p>
      <w:pPr>
        <w:spacing w:after="0" w:line="193"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5"/>
          <w:szCs w:val="15"/>
          <w:color w:val="auto"/>
        </w:rPr>
        <w:t>o Indicate changes below:</w:t>
      </w:r>
    </w:p>
    <w:p>
      <w:pPr>
        <w:spacing w:after="0" w:line="4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-635</wp:posOffset>
            </wp:positionV>
            <wp:extent cx="2383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193675</wp:posOffset>
            </wp:positionV>
            <wp:extent cx="2671445" cy="433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144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Signature(s) in Box</w:t>
      </w:r>
    </w:p>
    <w:p>
      <w:pPr>
        <w:spacing w:after="0" w:line="136"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(Please sign exactly as your name appears to the left. When shares are held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by joint tenants, both should sign. When signing as executor, administrator,</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attorney, trustee or guardian, please give full title as such. If a corporation,</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please sign in full corporate name by president or other authorized officer. If</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a partnership, 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3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o"/>
      <w:numFmt w:val="bullet"/>
      <w:start w:val="1"/>
    </w:lvl>
    <w:lvl w:ilvl="1">
      <w:lvlJc w:val="left"/>
      <w:lvlText w:val="(%2)"/>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lvl w:ilvl="1">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8"/>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2019-12-09T23:35:27Z</dcterms:created>
  <dcterms:modified xsi:type="dcterms:W3CDTF">2019-12-09T23:35:27Z</dcterms:modified>
</cp:coreProperties>
</file>