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6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67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67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Date of Report (Date of earliest event reported) February 1,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679"/>
        <w:spacing w:after="0"/>
        <w:rPr>
          <w:sz w:val="20"/>
          <w:szCs w:val="20"/>
          <w:color w:val="auto"/>
        </w:rPr>
      </w:pPr>
      <w:r>
        <w:rPr>
          <w:rFonts w:ascii="Arial" w:cs="Arial" w:eastAsia="Arial" w:hAnsi="Arial"/>
          <w:sz w:val="43"/>
          <w:szCs w:val="43"/>
          <w:b w:val="1"/>
          <w:bCs w:val="1"/>
          <w:color w:val="auto"/>
        </w:rPr>
        <w:t>Hawkins, Inc.</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260" w:type="dxa"/>
        <w:tblCellMar>
          <w:top w:w="0" w:type="dxa"/>
          <w:left w:w="0" w:type="dxa"/>
          <w:bottom w:w="0" w:type="dxa"/>
          <w:right w:w="0" w:type="dxa"/>
        </w:tblCellMar>
      </w:tblPr>
      <w:tr>
        <w:trPr>
          <w:trHeight w:val="218"/>
        </w:trPr>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7"/>
              </w:rPr>
              <w:t>Minnesota</w:t>
            </w:r>
          </w:p>
        </w:tc>
        <w:tc>
          <w:tcPr>
            <w:tcW w:w="6020" w:type="dxa"/>
            <w:vAlign w:val="bottom"/>
          </w:tcPr>
          <w:p>
            <w:pPr>
              <w:jc w:val="center"/>
              <w:ind w:left="281"/>
              <w:spacing w:after="0"/>
              <w:rPr>
                <w:sz w:val="20"/>
                <w:szCs w:val="20"/>
                <w:color w:val="auto"/>
              </w:rPr>
            </w:pPr>
            <w:r>
              <w:rPr>
                <w:rFonts w:ascii="Arial" w:cs="Arial" w:eastAsia="Arial" w:hAnsi="Arial"/>
                <w:sz w:val="18"/>
                <w:szCs w:val="18"/>
                <w:b w:val="1"/>
                <w:bCs w:val="1"/>
                <w:color w:val="auto"/>
                <w:w w:val="89"/>
              </w:rPr>
              <w:t>0-7647</w:t>
            </w:r>
          </w:p>
        </w:tc>
        <w:tc>
          <w:tcPr>
            <w:tcW w:w="1440" w:type="dxa"/>
            <w:vAlign w:val="bottom"/>
          </w:tcPr>
          <w:p>
            <w:pPr>
              <w:jc w:val="right"/>
              <w:ind w:right="24"/>
              <w:spacing w:after="0"/>
              <w:rPr>
                <w:sz w:val="20"/>
                <w:szCs w:val="20"/>
                <w:color w:val="auto"/>
              </w:rPr>
            </w:pPr>
            <w:r>
              <w:rPr>
                <w:rFonts w:ascii="Arial" w:cs="Arial" w:eastAsia="Arial" w:hAnsi="Arial"/>
                <w:sz w:val="18"/>
                <w:szCs w:val="18"/>
                <w:b w:val="1"/>
                <w:bCs w:val="1"/>
                <w:color w:val="auto"/>
              </w:rPr>
              <w:t>41-0771293</w:t>
            </w:r>
          </w:p>
        </w:tc>
      </w:tr>
      <w:tr>
        <w:trPr>
          <w:trHeight w:val="149"/>
        </w:trPr>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(State of Incorporation)</w:t>
            </w:r>
          </w:p>
        </w:tc>
        <w:tc>
          <w:tcPr>
            <w:tcW w:w="6020" w:type="dxa"/>
            <w:vAlign w:val="bottom"/>
          </w:tcPr>
          <w:p>
            <w:pPr>
              <w:jc w:val="center"/>
              <w:ind w:left="261"/>
              <w:spacing w:after="0" w:line="149" w:lineRule="exact"/>
              <w:rPr>
                <w:sz w:val="20"/>
                <w:szCs w:val="20"/>
                <w:color w:val="auto"/>
              </w:rPr>
            </w:pPr>
            <w:r>
              <w:rPr>
                <w:rFonts w:ascii="Arial" w:cs="Arial" w:eastAsia="Arial" w:hAnsi="Arial"/>
                <w:sz w:val="14"/>
                <w:szCs w:val="14"/>
                <w:b w:val="1"/>
                <w:bCs w:val="1"/>
                <w:color w:val="auto"/>
                <w:w w:val="85"/>
              </w:rPr>
              <w:t>(Commission</w:t>
            </w:r>
          </w:p>
        </w:tc>
        <w:tc>
          <w:tcPr>
            <w:tcW w:w="1440" w:type="dxa"/>
            <w:vAlign w:val="bottom"/>
          </w:tcPr>
          <w:p>
            <w:pPr>
              <w:jc w:val="center"/>
              <w:ind w:left="32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1400" w:type="dxa"/>
            <w:vAlign w:val="bottom"/>
          </w:tcPr>
          <w:p>
            <w:pPr>
              <w:spacing w:after="0"/>
              <w:rPr>
                <w:sz w:val="15"/>
                <w:szCs w:val="15"/>
                <w:color w:val="auto"/>
              </w:rPr>
            </w:pPr>
          </w:p>
        </w:tc>
        <w:tc>
          <w:tcPr>
            <w:tcW w:w="6020" w:type="dxa"/>
            <w:vAlign w:val="bottom"/>
          </w:tcPr>
          <w:p>
            <w:pPr>
              <w:jc w:val="center"/>
              <w:ind w:left="281"/>
              <w:spacing w:after="0"/>
              <w:rPr>
                <w:sz w:val="20"/>
                <w:szCs w:val="20"/>
                <w:color w:val="auto"/>
              </w:rPr>
            </w:pPr>
            <w:r>
              <w:rPr>
                <w:rFonts w:ascii="Arial" w:cs="Arial" w:eastAsia="Arial" w:hAnsi="Arial"/>
                <w:sz w:val="14"/>
                <w:szCs w:val="14"/>
                <w:b w:val="1"/>
                <w:bCs w:val="1"/>
                <w:color w:val="auto"/>
                <w:w w:val="91"/>
              </w:rPr>
              <w:t>File Number)</w:t>
            </w:r>
          </w:p>
        </w:tc>
        <w:tc>
          <w:tcPr>
            <w:tcW w:w="1440" w:type="dxa"/>
            <w:vAlign w:val="bottom"/>
          </w:tcPr>
          <w:p>
            <w:pPr>
              <w:jc w:val="center"/>
              <w:ind w:left="304"/>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1400" w:type="dxa"/>
            <w:vAlign w:val="bottom"/>
          </w:tcPr>
          <w:p>
            <w:pPr>
              <w:spacing w:after="0"/>
              <w:rPr>
                <w:sz w:val="24"/>
                <w:szCs w:val="24"/>
                <w:color w:val="auto"/>
              </w:rPr>
            </w:pPr>
          </w:p>
        </w:tc>
        <w:tc>
          <w:tcPr>
            <w:tcW w:w="6020" w:type="dxa"/>
            <w:vAlign w:val="bottom"/>
          </w:tcPr>
          <w:p>
            <w:pPr>
              <w:jc w:val="center"/>
              <w:ind w:right="3601"/>
              <w:spacing w:after="0"/>
              <w:rPr>
                <w:sz w:val="20"/>
                <w:szCs w:val="20"/>
                <w:color w:val="auto"/>
              </w:rPr>
            </w:pPr>
            <w:r>
              <w:rPr>
                <w:rFonts w:ascii="Arial" w:cs="Arial" w:eastAsia="Arial" w:hAnsi="Arial"/>
                <w:sz w:val="18"/>
                <w:szCs w:val="18"/>
                <w:b w:val="1"/>
                <w:bCs w:val="1"/>
                <w:color w:val="auto"/>
                <w:w w:val="87"/>
              </w:rPr>
              <w:t>3100 East Hennepin Avenue</w:t>
            </w:r>
          </w:p>
        </w:tc>
        <w:tc>
          <w:tcPr>
            <w:tcW w:w="1440" w:type="dxa"/>
            <w:vAlign w:val="bottom"/>
          </w:tcPr>
          <w:p>
            <w:pPr>
              <w:spacing w:after="0"/>
              <w:rPr>
                <w:sz w:val="24"/>
                <w:szCs w:val="24"/>
                <w:color w:val="auto"/>
              </w:rPr>
            </w:pPr>
          </w:p>
        </w:tc>
      </w:tr>
      <w:tr>
        <w:trPr>
          <w:trHeight w:val="231"/>
        </w:trPr>
        <w:tc>
          <w:tcPr>
            <w:tcW w:w="1400" w:type="dxa"/>
            <w:vAlign w:val="bottom"/>
          </w:tcPr>
          <w:p>
            <w:pPr>
              <w:spacing w:after="0"/>
              <w:rPr>
                <w:sz w:val="20"/>
                <w:szCs w:val="20"/>
                <w:color w:val="auto"/>
              </w:rPr>
            </w:pPr>
          </w:p>
        </w:tc>
        <w:tc>
          <w:tcPr>
            <w:tcW w:w="6020" w:type="dxa"/>
            <w:vAlign w:val="bottom"/>
          </w:tcPr>
          <w:p>
            <w:pPr>
              <w:jc w:val="center"/>
              <w:ind w:right="3581"/>
              <w:spacing w:after="0"/>
              <w:rPr>
                <w:sz w:val="20"/>
                <w:szCs w:val="20"/>
                <w:color w:val="auto"/>
              </w:rPr>
            </w:pPr>
            <w:r>
              <w:rPr>
                <w:rFonts w:ascii="Arial" w:cs="Arial" w:eastAsia="Arial" w:hAnsi="Arial"/>
                <w:sz w:val="18"/>
                <w:szCs w:val="18"/>
                <w:b w:val="1"/>
                <w:bCs w:val="1"/>
                <w:color w:val="auto"/>
                <w:w w:val="92"/>
              </w:rPr>
              <w:t>Minneapolis, MN</w:t>
            </w:r>
          </w:p>
        </w:tc>
        <w:tc>
          <w:tcPr>
            <w:tcW w:w="1440" w:type="dxa"/>
            <w:vAlign w:val="bottom"/>
          </w:tcPr>
          <w:p>
            <w:pPr>
              <w:jc w:val="right"/>
              <w:ind w:right="224"/>
              <w:spacing w:after="0"/>
              <w:rPr>
                <w:sz w:val="20"/>
                <w:szCs w:val="20"/>
                <w:color w:val="auto"/>
              </w:rPr>
            </w:pPr>
            <w:r>
              <w:rPr>
                <w:rFonts w:ascii="Arial" w:cs="Arial" w:eastAsia="Arial" w:hAnsi="Arial"/>
                <w:sz w:val="18"/>
                <w:szCs w:val="18"/>
                <w:b w:val="1"/>
                <w:bCs w:val="1"/>
                <w:color w:val="auto"/>
              </w:rPr>
              <w:t>55413</w:t>
            </w:r>
          </w:p>
        </w:tc>
      </w:tr>
      <w:tr>
        <w:trPr>
          <w:trHeight w:val="174"/>
        </w:trPr>
        <w:tc>
          <w:tcPr>
            <w:tcW w:w="1400" w:type="dxa"/>
            <w:vAlign w:val="bottom"/>
          </w:tcPr>
          <w:p>
            <w:pPr>
              <w:spacing w:after="0"/>
              <w:rPr>
                <w:sz w:val="15"/>
                <w:szCs w:val="15"/>
                <w:color w:val="auto"/>
              </w:rPr>
            </w:pPr>
          </w:p>
        </w:tc>
        <w:tc>
          <w:tcPr>
            <w:tcW w:w="6020" w:type="dxa"/>
            <w:vAlign w:val="bottom"/>
          </w:tcPr>
          <w:p>
            <w:pPr>
              <w:jc w:val="center"/>
              <w:ind w:right="3581"/>
              <w:spacing w:after="0"/>
              <w:rPr>
                <w:sz w:val="20"/>
                <w:szCs w:val="20"/>
                <w:color w:val="auto"/>
              </w:rPr>
            </w:pPr>
            <w:r>
              <w:rPr>
                <w:rFonts w:ascii="Arial" w:cs="Arial" w:eastAsia="Arial" w:hAnsi="Arial"/>
                <w:sz w:val="14"/>
                <w:szCs w:val="14"/>
                <w:b w:val="1"/>
                <w:bCs w:val="1"/>
                <w:color w:val="auto"/>
                <w:w w:val="87"/>
              </w:rPr>
              <w:t>(Address of Principal Executive Offices)</w:t>
            </w:r>
          </w:p>
        </w:tc>
        <w:tc>
          <w:tcPr>
            <w:tcW w:w="1440" w:type="dxa"/>
            <w:vAlign w:val="bottom"/>
          </w:tcPr>
          <w:p>
            <w:pPr>
              <w:jc w:val="center"/>
              <w:ind w:left="304"/>
              <w:spacing w:after="0"/>
              <w:rPr>
                <w:sz w:val="20"/>
                <w:szCs w:val="20"/>
                <w:color w:val="auto"/>
              </w:rPr>
            </w:pPr>
            <w:r>
              <w:rPr>
                <w:rFonts w:ascii="Arial" w:cs="Arial" w:eastAsia="Arial" w:hAnsi="Arial"/>
                <w:sz w:val="14"/>
                <w:szCs w:val="14"/>
                <w:b w:val="1"/>
                <w:bCs w:val="1"/>
                <w:color w:val="auto"/>
                <w:w w:val="89"/>
              </w:rPr>
              <w:t>(Zip Code)</w:t>
            </w:r>
          </w:p>
        </w:tc>
      </w:tr>
      <w:tr>
        <w:trPr>
          <w:trHeight w:val="363"/>
        </w:trPr>
        <w:tc>
          <w:tcPr>
            <w:tcW w:w="1400" w:type="dxa"/>
            <w:vAlign w:val="bottom"/>
          </w:tcPr>
          <w:p>
            <w:pPr>
              <w:spacing w:after="0"/>
              <w:rPr>
                <w:sz w:val="24"/>
                <w:szCs w:val="24"/>
                <w:color w:val="auto"/>
              </w:rPr>
            </w:pPr>
          </w:p>
        </w:tc>
        <w:tc>
          <w:tcPr>
            <w:tcW w:w="6020" w:type="dxa"/>
            <w:vAlign w:val="bottom"/>
          </w:tcPr>
          <w:p>
            <w:pPr>
              <w:ind w:left="480"/>
              <w:spacing w:after="0"/>
              <w:rPr>
                <w:sz w:val="20"/>
                <w:szCs w:val="20"/>
                <w:color w:val="auto"/>
              </w:rPr>
            </w:pPr>
            <w:r>
              <w:rPr>
                <w:rFonts w:ascii="Arial" w:cs="Arial" w:eastAsia="Arial" w:hAnsi="Arial"/>
                <w:sz w:val="18"/>
                <w:szCs w:val="18"/>
                <w:b w:val="1"/>
                <w:bCs w:val="1"/>
                <w:color w:val="auto"/>
                <w:w w:val="94"/>
              </w:rPr>
              <w:t>Registrant’s Telephone Number, Including Area Code (612) 331-6910</w:t>
            </w:r>
          </w:p>
        </w:tc>
        <w:tc>
          <w:tcPr>
            <w:tcW w:w="144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104140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0"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On February 1, 2012, Hawkins, Inc. issued a press release announcing financial results for its fiscal 2012 third quarter ended January 1, 2012. A copy of the press release issued by the Registrant is furnished herewith as Exhibit 99 hereto and is incorporated herein by reference.</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218" w:lineRule="exact"/>
        <w:rPr>
          <w:sz w:val="20"/>
          <w:szCs w:val="20"/>
          <w:color w:val="auto"/>
        </w:rPr>
      </w:pPr>
    </w:p>
    <w:p>
      <w:pPr>
        <w:ind w:left="780" w:hanging="772"/>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w:t>
      </w:r>
    </w:p>
    <w:p>
      <w:pPr>
        <w:spacing w:after="0" w:line="117" w:lineRule="exact"/>
        <w:rPr>
          <w:rFonts w:ascii="Arial" w:cs="Arial" w:eastAsia="Arial" w:hAnsi="Arial"/>
          <w:sz w:val="18"/>
          <w:szCs w:val="18"/>
          <w:color w:val="auto"/>
        </w:rPr>
      </w:pPr>
    </w:p>
    <w:p>
      <w:pPr>
        <w:ind w:left="780" w:right="120"/>
        <w:spacing w:after="0" w:line="268" w:lineRule="auto"/>
        <w:rPr>
          <w:rFonts w:ascii="Arial" w:cs="Arial" w:eastAsia="Arial" w:hAnsi="Arial"/>
          <w:sz w:val="18"/>
          <w:szCs w:val="18"/>
          <w:color w:val="auto"/>
        </w:rPr>
      </w:pPr>
      <w:r>
        <w:rPr>
          <w:rFonts w:ascii="Arial" w:cs="Arial" w:eastAsia="Arial" w:hAnsi="Arial"/>
          <w:sz w:val="18"/>
          <w:szCs w:val="18"/>
          <w:color w:val="auto"/>
        </w:rPr>
        <w:t>Exhibit 99 - Press Release, dated February 1, 2012, announcing financial results of Hawkins, Inc. for its fiscal 2012 third quarter ended January 1, 2012.</w:t>
      </w:r>
    </w:p>
    <w:p>
      <w:pPr>
        <w:sectPr>
          <w:pgSz w:w="11900" w:h="16838" w:orient="portrait"/>
          <w:cols w:equalWidth="0" w:num="1">
            <w:col w:w="11160"/>
          </w:cols>
          <w:pgMar w:left="240" w:top="274" w:right="4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780" w:type="dxa"/>
            <w:vAlign w:val="bottom"/>
          </w:tcPr>
          <w:p>
            <w:pPr>
              <w:spacing w:after="0"/>
              <w:rPr>
                <w:sz w:val="19"/>
                <w:szCs w:val="19"/>
                <w:color w:val="auto"/>
              </w:rPr>
            </w:pPr>
          </w:p>
        </w:tc>
        <w:tc>
          <w:tcPr>
            <w:tcW w:w="3540" w:type="dxa"/>
            <w:vAlign w:val="bottom"/>
            <w:gridSpan w:val="2"/>
          </w:tcPr>
          <w:p>
            <w:pPr>
              <w:ind w:left="2140"/>
              <w:spacing w:after="0"/>
              <w:rPr>
                <w:sz w:val="20"/>
                <w:szCs w:val="20"/>
                <w:color w:val="auto"/>
              </w:rPr>
            </w:pPr>
            <w:r>
              <w:rPr>
                <w:rFonts w:ascii="Arial" w:cs="Arial" w:eastAsia="Arial" w:hAnsi="Arial"/>
                <w:sz w:val="18"/>
                <w:szCs w:val="18"/>
                <w:color w:val="auto"/>
              </w:rPr>
              <w:t>HAWKINS, INC.</w:t>
            </w:r>
          </w:p>
        </w:tc>
        <w:tc>
          <w:tcPr>
            <w:tcW w:w="4100" w:type="dxa"/>
            <w:vAlign w:val="bottom"/>
          </w:tcPr>
          <w:p>
            <w:pPr>
              <w:spacing w:after="0"/>
              <w:rPr>
                <w:sz w:val="19"/>
                <w:szCs w:val="19"/>
                <w:color w:val="auto"/>
              </w:rPr>
            </w:pPr>
          </w:p>
        </w:tc>
      </w:tr>
      <w:tr>
        <w:trPr>
          <w:trHeight w:val="433"/>
        </w:trPr>
        <w:tc>
          <w:tcPr>
            <w:tcW w:w="3780" w:type="dxa"/>
            <w:vAlign w:val="bottom"/>
          </w:tcPr>
          <w:p>
            <w:pPr>
              <w:spacing w:after="0"/>
              <w:rPr>
                <w:sz w:val="20"/>
                <w:szCs w:val="20"/>
                <w:color w:val="auto"/>
              </w:rPr>
            </w:pPr>
            <w:r>
              <w:rPr>
                <w:rFonts w:ascii="Arial" w:cs="Arial" w:eastAsia="Arial" w:hAnsi="Arial"/>
                <w:sz w:val="18"/>
                <w:szCs w:val="18"/>
                <w:color w:val="auto"/>
              </w:rPr>
              <w:t>Date: February 1, 2012</w:t>
            </w:r>
          </w:p>
        </w:tc>
        <w:tc>
          <w:tcPr>
            <w:tcW w:w="3540" w:type="dxa"/>
            <w:vAlign w:val="bottom"/>
            <w:gridSpan w:val="2"/>
          </w:tcPr>
          <w:p>
            <w:pPr>
              <w:ind w:left="2140"/>
              <w:spacing w:after="0"/>
              <w:rPr>
                <w:sz w:val="20"/>
                <w:szCs w:val="20"/>
                <w:color w:val="auto"/>
              </w:rPr>
            </w:pPr>
            <w:r>
              <w:rPr>
                <w:rFonts w:ascii="Arial" w:cs="Arial" w:eastAsia="Arial" w:hAnsi="Arial"/>
                <w:sz w:val="18"/>
                <w:szCs w:val="18"/>
                <w:color w:val="auto"/>
              </w:rPr>
              <w:t>By:</w:t>
            </w:r>
          </w:p>
        </w:tc>
        <w:tc>
          <w:tcPr>
            <w:tcW w:w="4100" w:type="dxa"/>
            <w:vAlign w:val="bottom"/>
          </w:tcPr>
          <w:p>
            <w:pPr>
              <w:jc w:val="center"/>
              <w:ind w:right="932"/>
              <w:spacing w:after="0"/>
              <w:rPr>
                <w:sz w:val="20"/>
                <w:szCs w:val="20"/>
                <w:color w:val="auto"/>
              </w:rPr>
            </w:pPr>
            <w:r>
              <w:rPr>
                <w:rFonts w:ascii="Arial" w:cs="Arial" w:eastAsia="Arial" w:hAnsi="Arial"/>
                <w:sz w:val="18"/>
                <w:szCs w:val="18"/>
                <w:color w:val="auto"/>
                <w:w w:val="86"/>
              </w:rPr>
              <w:t>/s/ Kathleen P. Pepski</w:t>
            </w:r>
          </w:p>
        </w:tc>
      </w:tr>
      <w:tr>
        <w:trPr>
          <w:trHeight w:val="202"/>
        </w:trPr>
        <w:tc>
          <w:tcPr>
            <w:tcW w:w="37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4100" w:type="dxa"/>
            <w:vAlign w:val="bottom"/>
            <w:tcBorders>
              <w:top w:val="single" w:sz="8" w:color="auto"/>
            </w:tcBorders>
          </w:tcPr>
          <w:p>
            <w:pPr>
              <w:jc w:val="center"/>
              <w:ind w:right="932"/>
              <w:spacing w:after="0" w:line="202" w:lineRule="exact"/>
              <w:rPr>
                <w:sz w:val="20"/>
                <w:szCs w:val="20"/>
                <w:color w:val="auto"/>
              </w:rPr>
            </w:pPr>
            <w:r>
              <w:rPr>
                <w:rFonts w:ascii="Arial" w:cs="Arial" w:eastAsia="Arial" w:hAnsi="Arial"/>
                <w:sz w:val="18"/>
                <w:szCs w:val="18"/>
                <w:color w:val="auto"/>
                <w:w w:val="86"/>
              </w:rPr>
              <w:t>Kathleen P. Pepski</w:t>
            </w:r>
          </w:p>
        </w:tc>
      </w:tr>
      <w:tr>
        <w:trPr>
          <w:trHeight w:val="216"/>
        </w:trPr>
        <w:tc>
          <w:tcPr>
            <w:tcW w:w="37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100" w:type="dxa"/>
            <w:vAlign w:val="bottom"/>
          </w:tcPr>
          <w:p>
            <w:pPr>
              <w:jc w:val="center"/>
              <w:ind w:right="952"/>
              <w:spacing w:after="0"/>
              <w:rPr>
                <w:sz w:val="20"/>
                <w:szCs w:val="20"/>
                <w:color w:val="auto"/>
              </w:rPr>
            </w:pPr>
            <w:r>
              <w:rPr>
                <w:rFonts w:ascii="Arial" w:cs="Arial" w:eastAsia="Arial" w:hAnsi="Arial"/>
                <w:sz w:val="18"/>
                <w:szCs w:val="18"/>
                <w:color w:val="auto"/>
                <w:w w:val="90"/>
              </w:rPr>
              <w:t>Vice President, Chief Financial Officer,</w:t>
            </w:r>
          </w:p>
        </w:tc>
      </w:tr>
      <w:tr>
        <w:trPr>
          <w:trHeight w:val="222"/>
        </w:trPr>
        <w:tc>
          <w:tcPr>
            <w:tcW w:w="37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100" w:type="dxa"/>
            <w:vAlign w:val="bottom"/>
          </w:tcPr>
          <w:p>
            <w:pPr>
              <w:jc w:val="center"/>
              <w:ind w:right="932"/>
              <w:spacing w:after="0"/>
              <w:rPr>
                <w:sz w:val="20"/>
                <w:szCs w:val="20"/>
                <w:color w:val="auto"/>
              </w:rPr>
            </w:pPr>
            <w:r>
              <w:rPr>
                <w:rFonts w:ascii="Arial" w:cs="Arial" w:eastAsia="Arial" w:hAnsi="Arial"/>
                <w:sz w:val="18"/>
                <w:szCs w:val="18"/>
                <w:color w:val="auto"/>
                <w:w w:val="84"/>
              </w:rPr>
              <w:t>and Treasurer</w:t>
            </w:r>
          </w:p>
        </w:tc>
      </w:tr>
    </w:tbl>
    <w:p>
      <w:pPr>
        <w:sectPr>
          <w:pgSz w:w="11900" w:h="16838" w:orient="portrait"/>
          <w:cols w:equalWidth="0" w:num="1">
            <w:col w:w="11420"/>
          </w:cols>
          <w:pgMar w:left="240" w:top="274"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Index to Exhibits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Pr>
          <w:p>
            <w:pPr>
              <w:spacing w:after="0"/>
              <w:rPr>
                <w:sz w:val="20"/>
                <w:szCs w:val="20"/>
                <w:color w:val="auto"/>
              </w:rPr>
            </w:pPr>
            <w:r>
              <w:rPr>
                <w:rFonts w:ascii="Arial" w:cs="Arial" w:eastAsia="Arial" w:hAnsi="Arial"/>
                <w:sz w:val="14"/>
                <w:szCs w:val="14"/>
                <w:color w:val="auto"/>
                <w:w w:val="95"/>
              </w:rPr>
              <w:t>Exhibit</w:t>
            </w:r>
          </w:p>
        </w:tc>
        <w:tc>
          <w:tcPr>
            <w:tcW w:w="44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120" w:type="dxa"/>
            <w:vAlign w:val="bottom"/>
          </w:tcPr>
          <w:p>
            <w:pPr>
              <w:spacing w:after="0"/>
              <w:rPr>
                <w:sz w:val="14"/>
                <w:szCs w:val="14"/>
                <w:color w:val="auto"/>
              </w:rPr>
            </w:pPr>
          </w:p>
        </w:tc>
      </w:tr>
      <w:tr>
        <w:trPr>
          <w:trHeight w:val="159"/>
        </w:trPr>
        <w:tc>
          <w:tcPr>
            <w:tcW w:w="42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No.</w:t>
            </w:r>
          </w:p>
        </w:tc>
        <w:tc>
          <w:tcPr>
            <w:tcW w:w="5880" w:type="dxa"/>
            <w:vAlign w:val="bottom"/>
            <w:gridSpan w:val="3"/>
          </w:tcPr>
          <w:p>
            <w:pPr>
              <w:ind w:left="440"/>
              <w:spacing w:after="0" w:line="159" w:lineRule="exact"/>
              <w:rPr>
                <w:sz w:val="20"/>
                <w:szCs w:val="20"/>
                <w:color w:val="auto"/>
              </w:rPr>
            </w:pPr>
            <w:r>
              <w:rPr>
                <w:rFonts w:ascii="Arial" w:cs="Arial" w:eastAsia="Arial" w:hAnsi="Arial"/>
                <w:sz w:val="14"/>
                <w:szCs w:val="14"/>
                <w:color w:val="auto"/>
              </w:rPr>
              <w:t>Description</w:t>
            </w:r>
          </w:p>
        </w:tc>
        <w:tc>
          <w:tcPr>
            <w:tcW w:w="5120" w:type="dxa"/>
            <w:vAlign w:val="bottom"/>
          </w:tcPr>
          <w:p>
            <w:pPr>
              <w:jc w:val="center"/>
              <w:spacing w:after="0" w:line="159" w:lineRule="exact"/>
              <w:rPr>
                <w:sz w:val="20"/>
                <w:szCs w:val="20"/>
                <w:color w:val="auto"/>
              </w:rPr>
            </w:pPr>
            <w:r>
              <w:rPr>
                <w:rFonts w:ascii="Arial" w:cs="Arial" w:eastAsia="Arial" w:hAnsi="Arial"/>
                <w:sz w:val="14"/>
                <w:szCs w:val="14"/>
                <w:color w:val="auto"/>
                <w:w w:val="92"/>
              </w:rPr>
              <w:t>Method of Filing</w:t>
            </w:r>
          </w:p>
        </w:tc>
      </w:tr>
      <w:tr>
        <w:trPr>
          <w:trHeight w:val="20"/>
        </w:trPr>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1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120" w:type="dxa"/>
            <w:vAlign w:val="bottom"/>
            <w:tcBorders>
              <w:bottom w:val="single" w:sz="8" w:color="auto"/>
            </w:tcBorders>
          </w:tcPr>
          <w:p>
            <w:pPr>
              <w:spacing w:after="0" w:line="20" w:lineRule="exact"/>
              <w:rPr>
                <w:sz w:val="1"/>
                <w:szCs w:val="1"/>
                <w:color w:val="auto"/>
              </w:rPr>
            </w:pPr>
          </w:p>
        </w:tc>
      </w:tr>
      <w:tr>
        <w:trPr>
          <w:trHeight w:val="283"/>
        </w:trPr>
        <w:tc>
          <w:tcPr>
            <w:tcW w:w="420" w:type="dxa"/>
            <w:vAlign w:val="bottom"/>
          </w:tcPr>
          <w:p>
            <w:pPr>
              <w:jc w:val="right"/>
              <w:ind w:right="46"/>
              <w:spacing w:after="0"/>
              <w:rPr>
                <w:sz w:val="20"/>
                <w:szCs w:val="20"/>
                <w:color w:val="auto"/>
              </w:rPr>
            </w:pPr>
            <w:r>
              <w:rPr>
                <w:rFonts w:ascii="Arial" w:cs="Arial" w:eastAsia="Arial" w:hAnsi="Arial"/>
                <w:sz w:val="18"/>
                <w:szCs w:val="18"/>
                <w:color w:val="auto"/>
              </w:rPr>
              <w:t>99</w:t>
            </w:r>
          </w:p>
        </w:tc>
        <w:tc>
          <w:tcPr>
            <w:tcW w:w="5880" w:type="dxa"/>
            <w:vAlign w:val="bottom"/>
            <w:gridSpan w:val="3"/>
          </w:tcPr>
          <w:p>
            <w:pPr>
              <w:ind w:left="440"/>
              <w:spacing w:after="0"/>
              <w:rPr>
                <w:sz w:val="20"/>
                <w:szCs w:val="20"/>
                <w:color w:val="auto"/>
              </w:rPr>
            </w:pPr>
            <w:r>
              <w:rPr>
                <w:rFonts w:ascii="Arial" w:cs="Arial" w:eastAsia="Arial" w:hAnsi="Arial"/>
                <w:sz w:val="18"/>
                <w:szCs w:val="18"/>
                <w:color w:val="auto"/>
                <w:w w:val="95"/>
              </w:rPr>
              <w:t>Press Release, dated February 1, 2012, announcing financial results of</w:t>
            </w:r>
          </w:p>
        </w:tc>
        <w:tc>
          <w:tcPr>
            <w:tcW w:w="5120" w:type="dxa"/>
            <w:vAlign w:val="bottom"/>
          </w:tcPr>
          <w:p>
            <w:pPr>
              <w:jc w:val="center"/>
              <w:spacing w:after="0"/>
              <w:rPr>
                <w:sz w:val="20"/>
                <w:szCs w:val="20"/>
                <w:color w:val="auto"/>
              </w:rPr>
            </w:pPr>
            <w:r>
              <w:rPr>
                <w:rFonts w:ascii="Arial" w:cs="Arial" w:eastAsia="Arial" w:hAnsi="Arial"/>
                <w:sz w:val="18"/>
                <w:szCs w:val="18"/>
                <w:color w:val="auto"/>
                <w:w w:val="91"/>
              </w:rPr>
              <w:t>Electronic</w:t>
            </w:r>
          </w:p>
        </w:tc>
      </w:tr>
      <w:tr>
        <w:trPr>
          <w:trHeight w:val="222"/>
        </w:trPr>
        <w:tc>
          <w:tcPr>
            <w:tcW w:w="420" w:type="dxa"/>
            <w:vAlign w:val="bottom"/>
          </w:tcPr>
          <w:p>
            <w:pPr>
              <w:spacing w:after="0"/>
              <w:rPr>
                <w:sz w:val="19"/>
                <w:szCs w:val="19"/>
                <w:color w:val="auto"/>
              </w:rPr>
            </w:pPr>
          </w:p>
        </w:tc>
        <w:tc>
          <w:tcPr>
            <w:tcW w:w="5880" w:type="dxa"/>
            <w:vAlign w:val="bottom"/>
            <w:gridSpan w:val="3"/>
          </w:tcPr>
          <w:p>
            <w:pPr>
              <w:ind w:left="440"/>
              <w:spacing w:after="0"/>
              <w:rPr>
                <w:sz w:val="20"/>
                <w:szCs w:val="20"/>
                <w:color w:val="auto"/>
              </w:rPr>
            </w:pPr>
            <w:r>
              <w:rPr>
                <w:rFonts w:ascii="Arial" w:cs="Arial" w:eastAsia="Arial" w:hAnsi="Arial"/>
                <w:sz w:val="18"/>
                <w:szCs w:val="18"/>
                <w:color w:val="auto"/>
                <w:w w:val="99"/>
              </w:rPr>
              <w:t>Hawkins, Inc. for its fiscal 2012 third quarter ended January 1, 2012.</w:t>
            </w:r>
          </w:p>
        </w:tc>
        <w:tc>
          <w:tcPr>
            <w:tcW w:w="5120" w:type="dxa"/>
            <w:vAlign w:val="bottom"/>
          </w:tcPr>
          <w:p>
            <w:pPr>
              <w:jc w:val="center"/>
              <w:spacing w:after="0"/>
              <w:rPr>
                <w:sz w:val="20"/>
                <w:szCs w:val="20"/>
                <w:color w:val="auto"/>
              </w:rPr>
            </w:pPr>
            <w:r>
              <w:rPr>
                <w:rFonts w:ascii="Arial" w:cs="Arial" w:eastAsia="Arial" w:hAnsi="Arial"/>
                <w:sz w:val="18"/>
                <w:szCs w:val="18"/>
                <w:color w:val="auto"/>
                <w:w w:val="87"/>
              </w:rPr>
              <w:t>Transmission</w:t>
            </w:r>
          </w:p>
        </w:tc>
      </w:tr>
    </w:tbl>
    <w:p>
      <w:pPr>
        <w:sectPr>
          <w:pgSz w:w="11900" w:h="16838" w:orient="portrait"/>
          <w:cols w:equalWidth="0" w:num="1">
            <w:col w:w="11420"/>
          </w:cols>
          <w:pgMar w:left="240" w:top="280"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920" w:type="dxa"/>
            <w:vAlign w:val="bottom"/>
          </w:tcPr>
          <w:p>
            <w:pPr>
              <w:spacing w:after="0"/>
              <w:rPr>
                <w:sz w:val="20"/>
                <w:szCs w:val="20"/>
                <w:color w:val="auto"/>
              </w:rPr>
            </w:pPr>
            <w:r>
              <w:rPr>
                <w:rFonts w:ascii="Arial" w:cs="Arial" w:eastAsia="Arial" w:hAnsi="Arial"/>
                <w:sz w:val="18"/>
                <w:szCs w:val="18"/>
                <w:b w:val="1"/>
                <w:bCs w:val="1"/>
                <w:color w:val="auto"/>
              </w:rPr>
              <w:t>FOR IMMEDIATE RELEASE</w:t>
            </w:r>
          </w:p>
        </w:tc>
        <w:tc>
          <w:tcPr>
            <w:tcW w:w="3860" w:type="dxa"/>
            <w:vAlign w:val="bottom"/>
          </w:tcPr>
          <w:p>
            <w:pPr>
              <w:ind w:left="1600"/>
              <w:spacing w:after="0"/>
              <w:rPr>
                <w:sz w:val="20"/>
                <w:szCs w:val="20"/>
                <w:color w:val="auto"/>
              </w:rPr>
            </w:pPr>
            <w:r>
              <w:rPr>
                <w:rFonts w:ascii="Arial" w:cs="Arial" w:eastAsia="Arial" w:hAnsi="Arial"/>
                <w:sz w:val="18"/>
                <w:szCs w:val="18"/>
                <w:color w:val="auto"/>
              </w:rPr>
              <w:t>Contacts:</w:t>
            </w:r>
          </w:p>
        </w:tc>
        <w:tc>
          <w:tcPr>
            <w:tcW w:w="2520" w:type="dxa"/>
            <w:vAlign w:val="bottom"/>
            <w:gridSpan w:val="2"/>
          </w:tcPr>
          <w:p>
            <w:pPr>
              <w:spacing w:after="0"/>
              <w:rPr>
                <w:sz w:val="20"/>
                <w:szCs w:val="20"/>
                <w:color w:val="auto"/>
              </w:rPr>
            </w:pPr>
            <w:r>
              <w:rPr>
                <w:rFonts w:ascii="Arial" w:cs="Arial" w:eastAsia="Arial" w:hAnsi="Arial"/>
                <w:sz w:val="18"/>
                <w:szCs w:val="18"/>
                <w:color w:val="auto"/>
              </w:rPr>
              <w:t>Patrick H. Hawkins</w:t>
            </w:r>
          </w:p>
        </w:tc>
      </w:tr>
      <w:tr>
        <w:trPr>
          <w:trHeight w:val="216"/>
        </w:trPr>
        <w:tc>
          <w:tcPr>
            <w:tcW w:w="39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February 1, 2012</w:t>
            </w:r>
          </w:p>
        </w:tc>
        <w:tc>
          <w:tcPr>
            <w:tcW w:w="386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612/617-8524</w:t>
            </w:r>
          </w:p>
        </w:tc>
        <w:tc>
          <w:tcPr>
            <w:tcW w:w="20" w:type="dxa"/>
            <w:vAlign w:val="bottom"/>
          </w:tcPr>
          <w:p>
            <w:pPr>
              <w:spacing w:after="0"/>
              <w:rPr>
                <w:sz w:val="18"/>
                <w:szCs w:val="18"/>
                <w:color w:val="auto"/>
              </w:rPr>
            </w:pPr>
          </w:p>
        </w:tc>
      </w:tr>
      <w:tr>
        <w:trPr>
          <w:trHeight w:val="184"/>
        </w:trPr>
        <w:tc>
          <w:tcPr>
            <w:tcW w:w="3920" w:type="dxa"/>
            <w:vAlign w:val="bottom"/>
          </w:tcPr>
          <w:p>
            <w:pPr>
              <w:spacing w:after="0" w:line="184" w:lineRule="exact"/>
              <w:rPr>
                <w:sz w:val="20"/>
                <w:szCs w:val="20"/>
                <w:color w:val="auto"/>
              </w:rPr>
            </w:pPr>
            <w:r>
              <w:rPr>
                <w:rFonts w:ascii="Arial" w:cs="Arial" w:eastAsia="Arial" w:hAnsi="Arial"/>
                <w:sz w:val="18"/>
                <w:szCs w:val="18"/>
                <w:color w:val="auto"/>
              </w:rPr>
              <w:t>Hawkins, Inc.</w:t>
            </w:r>
          </w:p>
        </w:tc>
        <w:tc>
          <w:tcPr>
            <w:tcW w:w="3860" w:type="dxa"/>
            <w:vAlign w:val="bottom"/>
          </w:tcPr>
          <w:p>
            <w:pPr>
              <w:spacing w:after="0"/>
              <w:rPr>
                <w:sz w:val="15"/>
                <w:szCs w:val="15"/>
                <w:color w:val="auto"/>
              </w:rPr>
            </w:pPr>
          </w:p>
        </w:tc>
        <w:tc>
          <w:tcPr>
            <w:tcW w:w="2520" w:type="dxa"/>
            <w:vAlign w:val="bottom"/>
            <w:tcBorders>
              <w:bottom w:val="single" w:sz="8" w:color="auto"/>
            </w:tcBorders>
            <w:gridSpan w:val="2"/>
          </w:tcPr>
          <w:p>
            <w:pPr>
              <w:spacing w:after="0" w:line="184" w:lineRule="exact"/>
              <w:rPr>
                <w:sz w:val="20"/>
                <w:szCs w:val="20"/>
                <w:color w:val="auto"/>
              </w:rPr>
            </w:pPr>
            <w:r>
              <w:rPr>
                <w:rFonts w:ascii="Arial" w:cs="Arial" w:eastAsia="Arial" w:hAnsi="Arial"/>
                <w:sz w:val="18"/>
                <w:szCs w:val="18"/>
                <w:color w:val="auto"/>
                <w:w w:val="90"/>
              </w:rPr>
              <w:t>Patrick.Hawkins@HawkinsInc.com</w:t>
            </w:r>
          </w:p>
        </w:tc>
      </w:tr>
      <w:tr>
        <w:trPr>
          <w:trHeight w:val="228"/>
        </w:trPr>
        <w:tc>
          <w:tcPr>
            <w:tcW w:w="3920" w:type="dxa"/>
            <w:vAlign w:val="bottom"/>
          </w:tcPr>
          <w:p>
            <w:pPr>
              <w:spacing w:after="0"/>
              <w:rPr>
                <w:sz w:val="20"/>
                <w:szCs w:val="20"/>
                <w:color w:val="auto"/>
              </w:rPr>
            </w:pPr>
            <w:r>
              <w:rPr>
                <w:rFonts w:ascii="Arial" w:cs="Arial" w:eastAsia="Arial" w:hAnsi="Arial"/>
                <w:sz w:val="18"/>
                <w:szCs w:val="18"/>
                <w:color w:val="auto"/>
              </w:rPr>
              <w:t>3100 East Hennepin Avenue</w:t>
            </w:r>
          </w:p>
        </w:tc>
        <w:tc>
          <w:tcPr>
            <w:tcW w:w="38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Minneapolis, MN 55413</w:t>
            </w:r>
          </w:p>
        </w:tc>
        <w:tc>
          <w:tcPr>
            <w:tcW w:w="386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Kathleen P. Pepski</w:t>
            </w:r>
          </w:p>
        </w:tc>
      </w:tr>
      <w:tr>
        <w:trPr>
          <w:trHeight w:val="216"/>
        </w:trPr>
        <w:tc>
          <w:tcPr>
            <w:tcW w:w="39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39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612/617-8571</w:t>
            </w:r>
          </w:p>
        </w:tc>
        <w:tc>
          <w:tcPr>
            <w:tcW w:w="20" w:type="dxa"/>
            <w:vAlign w:val="bottom"/>
          </w:tcPr>
          <w:p>
            <w:pPr>
              <w:spacing w:after="0"/>
              <w:rPr>
                <w:sz w:val="18"/>
                <w:szCs w:val="18"/>
                <w:color w:val="auto"/>
              </w:rPr>
            </w:pPr>
          </w:p>
        </w:tc>
      </w:tr>
      <w:tr>
        <w:trPr>
          <w:trHeight w:val="184"/>
        </w:trPr>
        <w:tc>
          <w:tcPr>
            <w:tcW w:w="39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2500" w:type="dxa"/>
            <w:vAlign w:val="bottom"/>
            <w:tcBorders>
              <w:bottom w:val="single" w:sz="8" w:color="auto"/>
            </w:tcBorders>
          </w:tcPr>
          <w:p>
            <w:pPr>
              <w:spacing w:after="0" w:line="184" w:lineRule="exact"/>
              <w:rPr>
                <w:sz w:val="20"/>
                <w:szCs w:val="20"/>
                <w:color w:val="auto"/>
              </w:rPr>
            </w:pPr>
            <w:r>
              <w:rPr>
                <w:rFonts w:ascii="Arial" w:cs="Arial" w:eastAsia="Arial" w:hAnsi="Arial"/>
                <w:sz w:val="18"/>
                <w:szCs w:val="18"/>
                <w:color w:val="auto"/>
                <w:w w:val="88"/>
              </w:rPr>
              <w:t>Kathleen.Pepski@HawkinsInc.com</w:t>
            </w:r>
          </w:p>
        </w:tc>
        <w:tc>
          <w:tcPr>
            <w:tcW w:w="20" w:type="dxa"/>
            <w:vAlign w:val="bottom"/>
          </w:tcPr>
          <w:p>
            <w:pPr>
              <w:spacing w:after="0"/>
              <w:rPr>
                <w:sz w:val="15"/>
                <w:szCs w:val="15"/>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HAWKINS, INC. REPORTS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 QUARTER, NINE MONTHS FISCAL 2012 RESULTS</w:t>
      </w:r>
    </w:p>
    <w:p>
      <w:pPr>
        <w:spacing w:after="0" w:line="16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Minneapolis, MN, February 1, 2012 – Hawkins, Inc. (Nasdaq: HWKN) today announced third quarter and nine months results for fiscal 2012. Sales of $84.2 million for the quarter ended January 1, 2012 represented an increase of 19.2% from $70.6 million in sales for the same period in the prior fiscal year. Net income for the third quarter of fiscal 2012 was $5.6 million, or $0.53 per share, fully diluted, an increase of 30.5% compared to net income for the same period of fiscal 2011 of $4.3 million, or $0.41 per share, fully diluted.</w:t>
      </w:r>
    </w:p>
    <w:p>
      <w:pPr>
        <w:spacing w:after="0" w:line="143"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For the nine months ended January 1, 2012, Hawkins reported sales of $260.6 million, net income of $19.2 million and diluted earnings per share of $1.84 as compared to sales of $215.7 million, net income of $18.4 million and diluted earnings per share of $1.78 for the same period a year ago.</w:t>
      </w:r>
    </w:p>
    <w:p>
      <w:pPr>
        <w:spacing w:after="0" w:line="85"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Chief Executive Officer, Patrick H. Hawkins, commented, “We saw product margins improve in our Water Treatment segment this past quarter allowing this group to report higher earnings than the same quarter last year. This segment continues to focus on its geographic growth strategy and we are very pleased with how our newer branches are progressing. Business conditions continue to be challenging in our Industrial segment resulting in lower per-unit margins due to ongoing pricing pressures for the segment. Construction has begun on our new facility in Rosemount, MN. While our initial focus will be to relocate production from flood-prone sites we currently operate, we are enthusiastic about the additional capacity and capabilities this site will provide us for new business opportunities.”</w:t>
      </w:r>
    </w:p>
    <w:p>
      <w:pPr>
        <w:spacing w:after="0" w:line="144"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For the quarter, Industrial segment sales increased $12.5 million, or 24.3%, to $63.7 million as compared to the same period in the prior year. Vertex, which we acquired in the fourth quarter of fiscal 2011, contributed $9.3 million of the increase in sales during the third quarter of fiscal 2012. The remaining increase in sales was the result of higher selling prices across the majority of our product lines due to increased commodity chemical prices, partially offset by somewhat lower overall sales volumes. Water Treatment segment sales for the quarter were $20.4 million, a 5.6% increase over last year’s third quarter sales of $19.3 million. The increase was primarily due to higher selling prices across the majority of our product lines, partially offset by somewhat lower bulk chemical sales volumes.</w:t>
      </w:r>
    </w:p>
    <w:p>
      <w:pPr>
        <w:spacing w:after="0" w:line="144"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Company-wide gross profit for the quarter was $15.7 million, or 18.6% of sales, compared to $13.7 million, or 19.4% of sales, for the same period in fiscal 2011. Gross profit for the Industrial segment was $10.2 million, or 16.0% of sales, for the quarter ended January 1, 2012, as compared to $8.6 million, or 16.8% of sales, for the same period in fiscal 2011. The increase in gross profit dollars resulted from the addition of the Vertex business to this segment, offset by competitive pricing pressures. Gross profit for the Water Treatment segment was $5.5 million, or 26.8% of sales, for the quarter, as compared to $5.1 million, or 26.4% of sales, for the same period in fiscal 2011. The increase in gross profit was primarily due to increased profits across certain product lines, partially offset by higher operational and infrastructure costs compared to the prior year.</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420"/>
          </w:cols>
          <w:pgMar w:left="240" w:top="12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HAWKINS, INC. REPORTS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FOR FISCAL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Two.</w:t>
      </w:r>
    </w:p>
    <w:p>
      <w:pPr>
        <w:spacing w:after="0" w:line="8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Company-wide gross profit for the nine months ended January 1, 2012 was $52.4 million, or 20.1% of sales, as compared to $49.9 million, or 23.1% of sales for the same period in the prior fiscal year. Gross profit for the Industrial segment was $31.8 million, or 16.8% of sales, for the nine months, compared to $28.5 million or 19.6% of sales in the same period a year ago. The increase in gross profit dollars resulted from the addition of the Vertex business to this segment, offset by competitive pricing pressures. Gross profit for the Water Treatment segment was $20.6 million, or 28.6% of sales, for the nine months compared to $21.4 million, or 30.7% of sales, in the same period a year ago. The Water Treatment segment’s gross profit decrease was primarily due to competitive pricing pressures and lowered sales volumes because of unfavorable weather conditions during the first half of fiscal 2012.</w:t>
      </w:r>
    </w:p>
    <w:p>
      <w:pPr>
        <w:spacing w:after="0" w:line="12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Selling, general, and administrative expenses increased $0.3 million, or 3.9%, for the quarter and $2.5 million, or 12.3% for the nine months, as compared to the same periods in the prior fiscal year. The increases were primarily due to the addition of expenses related to the Vertex business, which we acquired during the fourth quarter of fiscal 2011, partially offset by lower equity and other incentive plan costs and costs in the prior year related to the Vertex acquisition.</w:t>
      </w:r>
    </w:p>
    <w:p>
      <w:pPr>
        <w:spacing w:after="0" w:line="10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Hawkins, Inc. distributes, blends and manufactures bulk and specialty chemicals for its customers in a wide variety of industries. Headquartered in Minneapolis, Minnesota, and with 25 facilities in 13 states, the Company creates value for its customers through superb customer service and support, quality products and personalized applications.</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280"/>
          </w:cols>
          <w:pgMar w:left="240" w:top="274" w:right="379" w:bottom="1440" w:gutter="0" w:footer="0" w:header="0"/>
        </w:sectPr>
      </w:pPr>
    </w:p>
    <w:bookmarkStart w:id="6" w:name="page7"/>
    <w:bookmarkEnd w:id="6"/>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HAWKINS, INC. REPORTS</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RESULTS FOR FISCAL 2012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February 1, 2012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Page Three.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INCOME (UNAUDITED)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6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right"/>
              <w:ind w:right="600"/>
              <w:spacing w:after="0" w:line="129" w:lineRule="exact"/>
              <w:rPr>
                <w:sz w:val="20"/>
                <w:szCs w:val="20"/>
                <w:color w:val="auto"/>
              </w:rPr>
            </w:pPr>
            <w:r>
              <w:rPr>
                <w:rFonts w:ascii="Arial" w:cs="Arial" w:eastAsia="Arial" w:hAnsi="Arial"/>
                <w:sz w:val="14"/>
                <w:szCs w:val="14"/>
                <w:b w:val="1"/>
                <w:bCs w:val="1"/>
                <w:color w:val="auto"/>
                <w:w w:val="92"/>
              </w:rPr>
              <w:t>January 1,</w:t>
            </w:r>
          </w:p>
        </w:tc>
        <w:tc>
          <w:tcPr>
            <w:tcW w:w="9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0"/>
              </w:rPr>
              <w:t>December 31,</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right"/>
              <w:ind w:right="600"/>
              <w:spacing w:after="0" w:line="129" w:lineRule="exact"/>
              <w:rPr>
                <w:sz w:val="20"/>
                <w:szCs w:val="20"/>
                <w:color w:val="auto"/>
              </w:rPr>
            </w:pPr>
            <w:r>
              <w:rPr>
                <w:rFonts w:ascii="Arial" w:cs="Arial" w:eastAsia="Arial" w:hAnsi="Arial"/>
                <w:sz w:val="14"/>
                <w:szCs w:val="14"/>
                <w:b w:val="1"/>
                <w:bCs w:val="1"/>
                <w:color w:val="auto"/>
                <w:w w:val="92"/>
              </w:rPr>
              <w:t>January 1,</w:t>
            </w:r>
          </w:p>
        </w:tc>
        <w:tc>
          <w:tcPr>
            <w:tcW w:w="9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0"/>
              </w:rPr>
              <w:t>December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360" w:type="dxa"/>
            <w:vAlign w:val="bottom"/>
            <w:gridSpan w:val="2"/>
          </w:tcPr>
          <w:p>
            <w:pPr>
              <w:spacing w:after="0"/>
              <w:rPr>
                <w:sz w:val="20"/>
                <w:szCs w:val="20"/>
                <w:color w:val="auto"/>
              </w:rPr>
            </w:pPr>
            <w:r>
              <w:rPr>
                <w:rFonts w:ascii="Arial" w:cs="Arial" w:eastAsia="Arial" w:hAnsi="Arial"/>
                <w:sz w:val="14"/>
                <w:szCs w:val="14"/>
                <w:b w:val="1"/>
                <w:bCs w:val="1"/>
                <w:color w:val="auto"/>
              </w:rPr>
              <w:t>(In thousands, except share and per-share data)</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ind w:right="235"/>
              <w:spacing w:after="0"/>
              <w:rPr>
                <w:sz w:val="20"/>
                <w:szCs w:val="20"/>
                <w:color w:val="auto"/>
              </w:rPr>
            </w:pPr>
            <w:r>
              <w:rPr>
                <w:rFonts w:ascii="Arial" w:cs="Arial" w:eastAsia="Arial" w:hAnsi="Arial"/>
                <w:sz w:val="14"/>
                <w:szCs w:val="14"/>
                <w:b w:val="1"/>
                <w:bCs w:val="1"/>
                <w:color w:val="auto"/>
              </w:rPr>
              <w:t>2012</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233"/>
              <w:spacing w:after="0"/>
              <w:rPr>
                <w:sz w:val="20"/>
                <w:szCs w:val="20"/>
                <w:color w:val="auto"/>
              </w:rPr>
            </w:pPr>
            <w:r>
              <w:rPr>
                <w:rFonts w:ascii="Arial" w:cs="Arial" w:eastAsia="Arial" w:hAnsi="Arial"/>
                <w:sz w:val="14"/>
                <w:szCs w:val="14"/>
                <w:b w:val="1"/>
                <w:bCs w:val="1"/>
                <w:color w:val="auto"/>
              </w:rPr>
              <w:t>2010</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ind w:right="215"/>
              <w:spacing w:after="0"/>
              <w:rPr>
                <w:sz w:val="20"/>
                <w:szCs w:val="20"/>
                <w:color w:val="auto"/>
              </w:rPr>
            </w:pPr>
            <w:r>
              <w:rPr>
                <w:rFonts w:ascii="Arial" w:cs="Arial" w:eastAsia="Arial" w:hAnsi="Arial"/>
                <w:sz w:val="14"/>
                <w:szCs w:val="14"/>
                <w:b w:val="1"/>
                <w:bCs w:val="1"/>
                <w:color w:val="auto"/>
              </w:rPr>
              <w:t>2012</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233"/>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Sales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84,160</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70,620</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260,624</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215,684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Cost of sales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(68,481)</w:t>
            </w:r>
          </w:p>
        </w:tc>
        <w:tc>
          <w:tcPr>
            <w:tcW w:w="1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(56,894)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(208,268)</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(165,768)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15,679</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13,726</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52,356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(7,163)</w:t>
            </w:r>
          </w:p>
        </w:tc>
        <w:tc>
          <w:tcPr>
            <w:tcW w:w="1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(6,893)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(22,864)</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(20,368)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8,516</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6,833</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29,492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Investment income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8,542</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6,904</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29,611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(3,257)</w:t>
            </w:r>
          </w:p>
        </w:tc>
        <w:tc>
          <w:tcPr>
            <w:tcW w:w="1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(2,650)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(11,255)</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(11,397)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5,285</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4,254</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18,356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Income from discontinued operations, net of tax</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824</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5,552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4,254</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19,180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18,423</w:t>
            </w:r>
          </w:p>
        </w:tc>
        <w:tc>
          <w:tcPr>
            <w:tcW w:w="0" w:type="dxa"/>
            <w:vAlign w:val="bottom"/>
          </w:tcPr>
          <w:p>
            <w:pPr>
              <w:spacing w:after="0"/>
              <w:rPr>
                <w:sz w:val="1"/>
                <w:szCs w:val="1"/>
                <w:color w:val="auto"/>
              </w:rPr>
            </w:pPr>
          </w:p>
        </w:tc>
      </w:tr>
      <w:tr>
        <w:trPr>
          <w:trHeight w:val="20"/>
        </w:trPr>
        <w:tc>
          <w:tcPr>
            <w:tcW w:w="636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number of shares outstanding-basic</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w w:val="86"/>
              </w:rPr>
              <w:t>10,332,480</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10,259,458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w w:val="86"/>
              </w:rPr>
              <w:t>10,320,810</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10,256,674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outstanding-diluted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10,410,533</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10,355,888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10,403,711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10,336,169</w:t>
            </w:r>
          </w:p>
        </w:tc>
        <w:tc>
          <w:tcPr>
            <w:tcW w:w="0" w:type="dxa"/>
            <w:vAlign w:val="bottom"/>
          </w:tcPr>
          <w:p>
            <w:pPr>
              <w:spacing w:after="0"/>
              <w:rPr>
                <w:sz w:val="1"/>
                <w:szCs w:val="1"/>
                <w:color w:val="auto"/>
              </w:rPr>
            </w:pPr>
          </w:p>
        </w:tc>
      </w:tr>
      <w:tr>
        <w:trPr>
          <w:trHeight w:val="20"/>
        </w:trPr>
        <w:tc>
          <w:tcPr>
            <w:tcW w:w="636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share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Earnings per share from continuing operations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0.51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420"/>
              <w:spacing w:after="0"/>
              <w:rPr>
                <w:sz w:val="20"/>
                <w:szCs w:val="20"/>
                <w:color w:val="auto"/>
              </w:rPr>
            </w:pPr>
            <w:r>
              <w:rPr>
                <w:rFonts w:ascii="Arial" w:cs="Arial" w:eastAsia="Arial" w:hAnsi="Arial"/>
                <w:sz w:val="18"/>
                <w:szCs w:val="18"/>
                <w:color w:val="auto"/>
              </w:rPr>
              <w:t>Earnings per share from discontinued operations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earnings per share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0.54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0"/>
        </w:trPr>
        <w:tc>
          <w:tcPr>
            <w:tcW w:w="636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share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Earnings per share from continuing operations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0.51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420"/>
              <w:spacing w:after="0"/>
              <w:rPr>
                <w:sz w:val="20"/>
                <w:szCs w:val="20"/>
                <w:color w:val="auto"/>
              </w:rPr>
            </w:pPr>
            <w:r>
              <w:rPr>
                <w:rFonts w:ascii="Arial" w:cs="Arial" w:eastAsia="Arial" w:hAnsi="Arial"/>
                <w:sz w:val="18"/>
                <w:szCs w:val="18"/>
                <w:color w:val="auto"/>
              </w:rPr>
              <w:t>Earnings per share from discontinued operations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 earnings per share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0.53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0"/>
        </w:trPr>
        <w:tc>
          <w:tcPr>
            <w:tcW w:w="6360" w:type="dxa"/>
            <w:vAlign w:val="bottom"/>
            <w:gridSpan w:val="2"/>
            <w:vMerge w:val="restart"/>
          </w:tcPr>
          <w:p>
            <w:pPr>
              <w:spacing w:after="0"/>
              <w:rPr>
                <w:sz w:val="20"/>
                <w:szCs w:val="20"/>
                <w:color w:val="auto"/>
              </w:rPr>
            </w:pPr>
            <w:r>
              <w:rPr>
                <w:rFonts w:ascii="Arial" w:cs="Arial" w:eastAsia="Arial" w:hAnsi="Arial"/>
                <w:sz w:val="18"/>
                <w:szCs w:val="18"/>
                <w:color w:val="auto"/>
              </w:rPr>
              <w:t>Cash dividends declared per common share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60" w:type="dxa"/>
            <w:vAlign w:val="bottom"/>
            <w:gridSpan w:val="2"/>
            <w:vMerge w:val="continue"/>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0.32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2019-12-09T07:52:53Z</dcterms:created>
  <dcterms:modified xsi:type="dcterms:W3CDTF">2019-12-09T07:52:53Z</dcterms:modified>
</cp:coreProperties>
</file>