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38"/>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40" w:type="dxa"/>
            <w:vAlign w:val="bottom"/>
          </w:tcPr>
          <w:p>
            <w:pPr>
              <w:jc w:val="center"/>
              <w:ind w:left="594"/>
              <w:spacing w:after="0"/>
              <w:rPr>
                <w:sz w:val="20"/>
                <w:szCs w:val="20"/>
                <w:color w:val="auto"/>
              </w:rPr>
            </w:pPr>
            <w:r>
              <w:rPr>
                <w:rFonts w:ascii="Arial" w:cs="Arial" w:eastAsia="Arial" w:hAnsi="Arial"/>
                <w:sz w:val="29"/>
                <w:szCs w:val="29"/>
                <w:b w:val="1"/>
                <w:bCs w:val="1"/>
                <w:color w:val="auto"/>
                <w:w w:val="97"/>
              </w:rPr>
              <w:t>UNITED STATES</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5"/>
        </w:trPr>
        <w:tc>
          <w:tcPr>
            <w:tcW w:w="1140" w:type="dxa"/>
            <w:vAlign w:val="bottom"/>
          </w:tcPr>
          <w:p>
            <w:pPr>
              <w:spacing w:after="0"/>
              <w:rPr>
                <w:sz w:val="24"/>
                <w:szCs w:val="24"/>
                <w:color w:val="auto"/>
              </w:rPr>
            </w:pPr>
          </w:p>
        </w:tc>
        <w:tc>
          <w:tcPr>
            <w:tcW w:w="10060" w:type="dxa"/>
            <w:vAlign w:val="bottom"/>
            <w:gridSpan w:val="4"/>
          </w:tcPr>
          <w:p>
            <w:pPr>
              <w:jc w:val="center"/>
              <w:ind w:right="1140"/>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39"/>
        </w:trPr>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40" w:type="dxa"/>
            <w:vAlign w:val="bottom"/>
          </w:tcPr>
          <w:p>
            <w:pPr>
              <w:jc w:val="center"/>
              <w:ind w:left="594"/>
              <w:spacing w:after="0"/>
              <w:rPr>
                <w:sz w:val="20"/>
                <w:szCs w:val="20"/>
                <w:color w:val="auto"/>
              </w:rPr>
            </w:pPr>
            <w:r>
              <w:rPr>
                <w:rFonts w:ascii="Arial" w:cs="Arial" w:eastAsia="Arial" w:hAnsi="Arial"/>
                <w:sz w:val="18"/>
                <w:szCs w:val="18"/>
                <w:b w:val="1"/>
                <w:bCs w:val="1"/>
                <w:color w:val="auto"/>
                <w:w w:val="99"/>
              </w:rPr>
              <w:t>WASHINGTON, D.C. 20549</w:t>
            </w: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7"/>
        </w:trPr>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r>
      <w:tr>
        <w:trPr>
          <w:trHeight w:val="331"/>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40" w:type="dxa"/>
            <w:vAlign w:val="bottom"/>
            <w:tcBorders>
              <w:bottom w:val="single" w:sz="8" w:color="auto"/>
            </w:tcBorders>
          </w:tcPr>
          <w:p>
            <w:pPr>
              <w:jc w:val="center"/>
              <w:ind w:left="594"/>
              <w:spacing w:after="0" w:line="331" w:lineRule="exact"/>
              <w:rPr>
                <w:sz w:val="20"/>
                <w:szCs w:val="20"/>
                <w:color w:val="auto"/>
              </w:rPr>
            </w:pPr>
            <w:r>
              <w:rPr>
                <w:rFonts w:ascii="Arial" w:cs="Arial" w:eastAsia="Arial" w:hAnsi="Arial"/>
                <w:sz w:val="29"/>
                <w:szCs w:val="29"/>
                <w:b w:val="1"/>
                <w:bCs w:val="1"/>
                <w:color w:val="auto"/>
                <w:w w:val="98"/>
              </w:rPr>
              <w:t>FORM 10-Q</w:t>
            </w:r>
          </w:p>
        </w:tc>
        <w:tc>
          <w:tcPr>
            <w:tcW w:w="72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344"/>
        </w:trPr>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QUARTERLY REPORT PURSUANT TO SECTION 13 OR 15(d) OF THE</w:t>
            </w:r>
          </w:p>
        </w:tc>
      </w:tr>
      <w:tr>
        <w:trPr>
          <w:trHeight w:val="261"/>
        </w:trPr>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455"/>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40" w:type="dxa"/>
            <w:vAlign w:val="bottom"/>
          </w:tcPr>
          <w:p>
            <w:pPr>
              <w:jc w:val="center"/>
              <w:ind w:left="594"/>
              <w:spacing w:after="0"/>
              <w:rPr>
                <w:sz w:val="20"/>
                <w:szCs w:val="20"/>
                <w:color w:val="auto"/>
              </w:rPr>
            </w:pPr>
            <w:r>
              <w:rPr>
                <w:rFonts w:ascii="Arial" w:cs="Arial" w:eastAsia="Arial" w:hAnsi="Arial"/>
                <w:sz w:val="18"/>
                <w:szCs w:val="18"/>
                <w:b w:val="1"/>
                <w:bCs w:val="1"/>
                <w:color w:val="auto"/>
              </w:rPr>
              <w:t>For the quarterly period ended June 27, 2021</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56"/>
        </w:trPr>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TRANSITION REPORT PURSUANT TO SECTION 13 OR 15(d) OF THE</w:t>
            </w:r>
          </w:p>
        </w:tc>
      </w:tr>
      <w:tr>
        <w:trPr>
          <w:trHeight w:val="261"/>
        </w:trPr>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405"/>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40" w:type="dxa"/>
            <w:vAlign w:val="bottom"/>
          </w:tcPr>
          <w:p>
            <w:pPr>
              <w:jc w:val="center"/>
              <w:ind w:left="594"/>
              <w:spacing w:after="0"/>
              <w:rPr>
                <w:sz w:val="20"/>
                <w:szCs w:val="20"/>
                <w:color w:val="auto"/>
              </w:rPr>
            </w:pPr>
            <w:r>
              <w:rPr>
                <w:rFonts w:ascii="Arial" w:cs="Arial" w:eastAsia="Arial" w:hAnsi="Arial"/>
                <w:sz w:val="18"/>
                <w:szCs w:val="18"/>
                <w:b w:val="1"/>
                <w:bCs w:val="1"/>
                <w:color w:val="auto"/>
              </w:rPr>
              <w:t>Commission file number 0-7647</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40" w:type="dxa"/>
            <w:vAlign w:val="bottom"/>
          </w:tcPr>
          <w:p>
            <w:pPr>
              <w:jc w:val="center"/>
              <w:ind w:left="594"/>
              <w:spacing w:after="0"/>
              <w:rPr>
                <w:sz w:val="20"/>
                <w:szCs w:val="20"/>
                <w:color w:val="auto"/>
              </w:rPr>
            </w:pPr>
            <w:r>
              <w:rPr>
                <w:rFonts w:ascii="Arial" w:cs="Arial" w:eastAsia="Arial" w:hAnsi="Arial"/>
                <w:sz w:val="32"/>
                <w:szCs w:val="32"/>
                <w:b w:val="1"/>
                <w:bCs w:val="1"/>
                <w:color w:val="auto"/>
              </w:rPr>
              <w:t>HAWKINS, INC.</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9"/>
        </w:trPr>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7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r>
      <w:tr>
        <w:trPr>
          <w:trHeight w:val="345"/>
        </w:trPr>
        <w:tc>
          <w:tcPr>
            <w:tcW w:w="11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2"/>
          </w:tcPr>
          <w:p>
            <w:pPr>
              <w:jc w:val="center"/>
              <w:ind w:right="3114"/>
              <w:spacing w:after="0"/>
              <w:rPr>
                <w:sz w:val="20"/>
                <w:szCs w:val="20"/>
                <w:color w:val="auto"/>
              </w:rPr>
            </w:pPr>
            <w:r>
              <w:rPr>
                <w:rFonts w:ascii="Arial" w:cs="Arial" w:eastAsia="Arial" w:hAnsi="Arial"/>
                <w:sz w:val="18"/>
                <w:szCs w:val="18"/>
                <w:b w:val="1"/>
                <w:bCs w:val="1"/>
                <w:color w:val="auto"/>
              </w:rPr>
              <w:t>Minnesota</w:t>
            </w:r>
          </w:p>
        </w:tc>
        <w:tc>
          <w:tcPr>
            <w:tcW w:w="3580" w:type="dxa"/>
            <w:vAlign w:val="bottom"/>
            <w:tcBorders>
              <w:bottom w:val="single" w:sz="8" w:color="auto"/>
            </w:tcBorders>
            <w:gridSpan w:val="2"/>
          </w:tcPr>
          <w:p>
            <w:pPr>
              <w:jc w:val="center"/>
              <w:ind w:right="1740"/>
              <w:spacing w:after="0"/>
              <w:rPr>
                <w:sz w:val="20"/>
                <w:szCs w:val="20"/>
                <w:color w:val="auto"/>
              </w:rPr>
            </w:pPr>
            <w:r>
              <w:rPr>
                <w:rFonts w:ascii="Arial" w:cs="Arial" w:eastAsia="Arial" w:hAnsi="Arial"/>
                <w:sz w:val="18"/>
                <w:szCs w:val="18"/>
                <w:b w:val="1"/>
                <w:bCs w:val="1"/>
                <w:color w:val="auto"/>
                <w:w w:val="99"/>
              </w:rPr>
              <w:t>41-0771293</w:t>
            </w:r>
          </w:p>
        </w:tc>
      </w:tr>
      <w:tr>
        <w:trPr>
          <w:trHeight w:val="142"/>
        </w:trPr>
        <w:tc>
          <w:tcPr>
            <w:tcW w:w="1140" w:type="dxa"/>
            <w:vAlign w:val="bottom"/>
          </w:tcPr>
          <w:p>
            <w:pPr>
              <w:spacing w:after="0"/>
              <w:rPr>
                <w:sz w:val="12"/>
                <w:szCs w:val="12"/>
                <w:color w:val="auto"/>
              </w:rPr>
            </w:pPr>
          </w:p>
        </w:tc>
        <w:tc>
          <w:tcPr>
            <w:tcW w:w="6480" w:type="dxa"/>
            <w:vAlign w:val="bottom"/>
            <w:gridSpan w:val="2"/>
          </w:tcPr>
          <w:p>
            <w:pPr>
              <w:jc w:val="center"/>
              <w:ind w:right="3114"/>
              <w:spacing w:after="0" w:line="142" w:lineRule="exact"/>
              <w:rPr>
                <w:sz w:val="20"/>
                <w:szCs w:val="20"/>
                <w:color w:val="auto"/>
              </w:rPr>
            </w:pPr>
            <w:r>
              <w:rPr>
                <w:rFonts w:ascii="Arial" w:cs="Arial" w:eastAsia="Arial" w:hAnsi="Arial"/>
                <w:sz w:val="14"/>
                <w:szCs w:val="14"/>
                <w:b w:val="1"/>
                <w:bCs w:val="1"/>
                <w:color w:val="auto"/>
              </w:rPr>
              <w:t>(State or other jurisdiction of</w:t>
            </w:r>
          </w:p>
        </w:tc>
        <w:tc>
          <w:tcPr>
            <w:tcW w:w="3580" w:type="dxa"/>
            <w:vAlign w:val="bottom"/>
            <w:gridSpan w:val="2"/>
          </w:tcPr>
          <w:p>
            <w:pPr>
              <w:jc w:val="center"/>
              <w:ind w:right="1740"/>
              <w:spacing w:after="0" w:line="142"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1140" w:type="dxa"/>
            <w:vAlign w:val="bottom"/>
          </w:tcPr>
          <w:p>
            <w:pPr>
              <w:spacing w:after="0"/>
              <w:rPr>
                <w:sz w:val="16"/>
                <w:szCs w:val="16"/>
                <w:color w:val="auto"/>
              </w:rPr>
            </w:pPr>
          </w:p>
        </w:tc>
        <w:tc>
          <w:tcPr>
            <w:tcW w:w="6480" w:type="dxa"/>
            <w:vAlign w:val="bottom"/>
            <w:gridSpan w:val="2"/>
          </w:tcPr>
          <w:p>
            <w:pPr>
              <w:jc w:val="center"/>
              <w:ind w:right="3114"/>
              <w:spacing w:after="0"/>
              <w:rPr>
                <w:sz w:val="20"/>
                <w:szCs w:val="20"/>
                <w:color w:val="auto"/>
              </w:rPr>
            </w:pPr>
            <w:r>
              <w:rPr>
                <w:rFonts w:ascii="Arial" w:cs="Arial" w:eastAsia="Arial" w:hAnsi="Arial"/>
                <w:sz w:val="14"/>
                <w:szCs w:val="14"/>
                <w:b w:val="1"/>
                <w:bCs w:val="1"/>
                <w:color w:val="auto"/>
              </w:rPr>
              <w:t>incorporation or organization)</w:t>
            </w:r>
          </w:p>
        </w:tc>
        <w:tc>
          <w:tcPr>
            <w:tcW w:w="35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1140" w:type="dxa"/>
            <w:vAlign w:val="bottom"/>
          </w:tcPr>
          <w:p>
            <w:pPr>
              <w:spacing w:after="0"/>
              <w:rPr>
                <w:sz w:val="24"/>
                <w:szCs w:val="24"/>
                <w:color w:val="auto"/>
              </w:rPr>
            </w:pPr>
          </w:p>
        </w:tc>
        <w:tc>
          <w:tcPr>
            <w:tcW w:w="6480" w:type="dxa"/>
            <w:vAlign w:val="bottom"/>
            <w:gridSpan w:val="2"/>
          </w:tcPr>
          <w:p>
            <w:pPr>
              <w:jc w:val="center"/>
              <w:ind w:right="1834"/>
              <w:spacing w:after="0"/>
              <w:rPr>
                <w:sz w:val="20"/>
                <w:szCs w:val="20"/>
                <w:color w:val="auto"/>
              </w:rPr>
            </w:pPr>
            <w:r>
              <w:rPr>
                <w:rFonts w:ascii="Arial" w:cs="Arial" w:eastAsia="Arial" w:hAnsi="Arial"/>
                <w:sz w:val="18"/>
                <w:szCs w:val="18"/>
                <w:b w:val="1"/>
                <w:bCs w:val="1"/>
                <w:color w:val="auto"/>
                <w:w w:val="99"/>
              </w:rPr>
              <w:t>2381 Rosegate, Roseville, Minnesota</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55113</w:t>
            </w:r>
          </w:p>
        </w:tc>
        <w:tc>
          <w:tcPr>
            <w:tcW w:w="286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6480" w:type="dxa"/>
            <w:vAlign w:val="bottom"/>
            <w:gridSpan w:val="2"/>
          </w:tcPr>
          <w:p>
            <w:pPr>
              <w:jc w:val="center"/>
              <w:ind w:right="1814"/>
              <w:spacing w:after="0"/>
              <w:rPr>
                <w:sz w:val="20"/>
                <w:szCs w:val="20"/>
                <w:color w:val="auto"/>
              </w:rPr>
            </w:pPr>
            <w:r>
              <w:rPr>
                <w:rFonts w:ascii="Arial" w:cs="Arial" w:eastAsia="Arial" w:hAnsi="Arial"/>
                <w:sz w:val="14"/>
                <w:szCs w:val="14"/>
                <w:b w:val="1"/>
                <w:bCs w:val="1"/>
                <w:color w:val="auto"/>
              </w:rPr>
              <w:t>(Address of principal executive offices)</w:t>
            </w:r>
          </w:p>
        </w:tc>
        <w:tc>
          <w:tcPr>
            <w:tcW w:w="3580" w:type="dxa"/>
            <w:vAlign w:val="bottom"/>
            <w:gridSpan w:val="2"/>
          </w:tcPr>
          <w:p>
            <w:pPr>
              <w:jc w:val="center"/>
              <w:ind w:right="2680"/>
              <w:spacing w:after="0"/>
              <w:rPr>
                <w:sz w:val="20"/>
                <w:szCs w:val="20"/>
                <w:color w:val="auto"/>
              </w:rPr>
            </w:pPr>
            <w:r>
              <w:rPr>
                <w:rFonts w:ascii="Arial" w:cs="Arial" w:eastAsia="Arial" w:hAnsi="Arial"/>
                <w:sz w:val="14"/>
                <w:szCs w:val="14"/>
                <w:b w:val="1"/>
                <w:bCs w:val="1"/>
                <w:color w:val="auto"/>
              </w:rPr>
              <w:t>(Zip code)</w:t>
            </w:r>
          </w:p>
        </w:tc>
      </w:tr>
      <w:tr>
        <w:trPr>
          <w:trHeight w:val="417"/>
        </w:trPr>
        <w:tc>
          <w:tcPr>
            <w:tcW w:w="1140" w:type="dxa"/>
            <w:vAlign w:val="bottom"/>
          </w:tcPr>
          <w:p>
            <w:pPr>
              <w:spacing w:after="0"/>
              <w:rPr>
                <w:sz w:val="24"/>
                <w:szCs w:val="24"/>
                <w:color w:val="auto"/>
              </w:rPr>
            </w:pPr>
          </w:p>
        </w:tc>
        <w:tc>
          <w:tcPr>
            <w:tcW w:w="6480" w:type="dxa"/>
            <w:vAlign w:val="bottom"/>
            <w:gridSpan w:val="2"/>
          </w:tcPr>
          <w:p>
            <w:pPr>
              <w:jc w:val="center"/>
              <w:ind w:left="2348"/>
              <w:spacing w:after="0"/>
              <w:rPr>
                <w:sz w:val="20"/>
                <w:szCs w:val="20"/>
                <w:color w:val="auto"/>
              </w:rPr>
            </w:pPr>
            <w:r>
              <w:rPr>
                <w:rFonts w:ascii="Arial" w:cs="Arial" w:eastAsia="Arial" w:hAnsi="Arial"/>
                <w:sz w:val="18"/>
                <w:szCs w:val="18"/>
                <w:b w:val="1"/>
                <w:bCs w:val="1"/>
                <w:color w:val="auto"/>
              </w:rPr>
              <w:t>(612) 331-6910</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9"/>
        </w:trPr>
        <w:tc>
          <w:tcPr>
            <w:tcW w:w="1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740" w:type="dxa"/>
            <w:vAlign w:val="bottom"/>
            <w:tcBorders>
              <w:bottom w:val="single" w:sz="8" w:color="auto"/>
            </w:tcBorders>
          </w:tcPr>
          <w:p>
            <w:pPr>
              <w:jc w:val="center"/>
              <w:ind w:left="594"/>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720" w:type="dxa"/>
            <w:vAlign w:val="bottom"/>
            <w:tcBorders>
              <w:bottom w:val="single" w:sz="8" w:color="auto"/>
            </w:tcBorders>
          </w:tcPr>
          <w:p>
            <w:pPr>
              <w:spacing w:after="0"/>
              <w:rPr>
                <w:sz w:val="16"/>
                <w:szCs w:val="16"/>
                <w:color w:val="auto"/>
              </w:rPr>
            </w:pPr>
          </w:p>
        </w:tc>
        <w:tc>
          <w:tcPr>
            <w:tcW w:w="2860" w:type="dxa"/>
            <w:vAlign w:val="bottom"/>
          </w:tcPr>
          <w:p>
            <w:pPr>
              <w:spacing w:after="0"/>
              <w:rPr>
                <w:sz w:val="16"/>
                <w:szCs w:val="16"/>
                <w:color w:val="auto"/>
              </w:rPr>
            </w:pPr>
          </w:p>
        </w:tc>
      </w:tr>
    </w:tbl>
    <w:p>
      <w:pPr>
        <w:spacing w:after="0" w:line="3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45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6"/>
        </w:trPr>
        <w:tc>
          <w:tcPr>
            <w:tcW w:w="34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280" w:type="dxa"/>
            <w:vAlign w:val="bottom"/>
          </w:tcPr>
          <w:p>
            <w:pPr>
              <w:jc w:val="center"/>
              <w:spacing w:after="0"/>
              <w:rPr>
                <w:sz w:val="20"/>
                <w:szCs w:val="20"/>
                <w:color w:val="auto"/>
              </w:rPr>
            </w:pPr>
            <w:r>
              <w:rPr>
                <w:rFonts w:ascii="Arial" w:cs="Arial" w:eastAsia="Arial" w:hAnsi="Arial"/>
                <w:sz w:val="16"/>
                <w:szCs w:val="16"/>
                <w:color w:val="auto"/>
              </w:rPr>
              <w:t>HWKN</w:t>
            </w:r>
          </w:p>
        </w:tc>
        <w:tc>
          <w:tcPr>
            <w:tcW w:w="4540" w:type="dxa"/>
            <w:vAlign w:val="bottom"/>
          </w:tcPr>
          <w:p>
            <w:pPr>
              <w:jc w:val="center"/>
              <w:ind w:right="99"/>
              <w:spacing w:after="0"/>
              <w:rPr>
                <w:sz w:val="20"/>
                <w:szCs w:val="20"/>
                <w:color w:val="auto"/>
              </w:rPr>
            </w:pPr>
            <w:r>
              <w:rPr>
                <w:rFonts w:ascii="Arial" w:cs="Arial" w:eastAsia="Arial" w:hAnsi="Arial"/>
                <w:sz w:val="16"/>
                <w:szCs w:val="16"/>
                <w:color w:val="auto"/>
              </w:rPr>
              <w:t>Nasdaq Stock Market LLC</w:t>
            </w:r>
          </w:p>
        </w:tc>
      </w:tr>
    </w:tbl>
    <w:p>
      <w:pPr>
        <w:spacing w:after="0" w:line="248" w:lineRule="exact"/>
        <w:rPr>
          <w:sz w:val="24"/>
          <w:szCs w:val="24"/>
          <w:color w:val="auto"/>
        </w:rPr>
      </w:pPr>
    </w:p>
    <w:p>
      <w:pPr>
        <w:ind w:right="10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9"/>
        </w:trPr>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16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ind w:right="20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60" w:right="2240" w:hanging="647"/>
        <w:spacing w:after="0" w:line="21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300" w:type="dxa"/>
            <w:vAlign w:val="bottom"/>
          </w:tcPr>
          <w:p>
            <w:pPr>
              <w:spacing w:after="0"/>
              <w:rPr>
                <w:sz w:val="14"/>
                <w:szCs w:val="14"/>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Shares Outstanding at July 23, 2021</w:t>
            </w:r>
          </w:p>
        </w:tc>
        <w:tc>
          <w:tcPr>
            <w:tcW w:w="1260" w:type="dxa"/>
            <w:vAlign w:val="bottom"/>
          </w:tcPr>
          <w:p>
            <w:pPr>
              <w:spacing w:after="0"/>
              <w:rPr>
                <w:sz w:val="14"/>
                <w:szCs w:val="14"/>
                <w:color w:val="auto"/>
              </w:rPr>
            </w:pPr>
          </w:p>
        </w:tc>
      </w:tr>
      <w:tr>
        <w:trPr>
          <w:trHeight w:val="223"/>
        </w:trPr>
        <w:tc>
          <w:tcPr>
            <w:tcW w:w="40" w:type="dxa"/>
            <w:vAlign w:val="bottom"/>
          </w:tcPr>
          <w:p>
            <w:pPr>
              <w:spacing w:after="0"/>
              <w:rPr>
                <w:sz w:val="19"/>
                <w:szCs w:val="19"/>
                <w:color w:val="auto"/>
              </w:rPr>
            </w:pPr>
          </w:p>
        </w:tc>
        <w:tc>
          <w:tcPr>
            <w:tcW w:w="51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Common Stock, par value $.01 per share</w:t>
            </w:r>
          </w:p>
        </w:tc>
        <w:tc>
          <w:tcPr>
            <w:tcW w:w="4820" w:type="dxa"/>
            <w:vAlign w:val="bottom"/>
          </w:tcPr>
          <w:p>
            <w:pPr>
              <w:jc w:val="right"/>
              <w:ind w:right="1879"/>
              <w:spacing w:after="0"/>
              <w:rPr>
                <w:sz w:val="20"/>
                <w:szCs w:val="20"/>
                <w:color w:val="auto"/>
              </w:rPr>
            </w:pPr>
            <w:r>
              <w:rPr>
                <w:rFonts w:ascii="Arial" w:cs="Arial" w:eastAsia="Arial" w:hAnsi="Arial"/>
                <w:sz w:val="18"/>
                <w:szCs w:val="18"/>
                <w:color w:val="auto"/>
              </w:rPr>
              <w:t>21,212,410</w:t>
            </w:r>
          </w:p>
        </w:tc>
        <w:tc>
          <w:tcPr>
            <w:tcW w:w="1260" w:type="dxa"/>
            <w:vAlign w:val="bottom"/>
          </w:tcPr>
          <w:p>
            <w:pPr>
              <w:spacing w:after="0"/>
              <w:rPr>
                <w:sz w:val="19"/>
                <w:szCs w:val="19"/>
                <w:color w:val="auto"/>
              </w:rPr>
            </w:pPr>
          </w:p>
        </w:tc>
      </w:tr>
      <w:tr>
        <w:trPr>
          <w:trHeight w:val="121"/>
        </w:trPr>
        <w:tc>
          <w:tcPr>
            <w:tcW w:w="4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r>
        <w:trPr>
          <w:trHeight w:val="68"/>
        </w:trPr>
        <w:tc>
          <w:tcPr>
            <w:tcW w:w="4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831"/>
        </w:trPr>
        <w:tc>
          <w:tcPr>
            <w:tcW w:w="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 w:name="page2"/>
    <w:bookmarkEnd w:id="1"/>
    <w:p>
      <w:pPr>
        <w:jc w:val="center"/>
        <w:ind w:right="-879"/>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INDEX TO FORM 10-Q</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42"/>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180" w:type="dxa"/>
            <w:vAlign w:val="bottom"/>
            <w:gridSpan w:val="22"/>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270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Financial Statements (unaudited):</w:t>
              </w:r>
            </w:hyperlink>
          </w:p>
        </w:tc>
        <w:tc>
          <w:tcPr>
            <w:tcW w:w="5480" w:type="dxa"/>
            <w:vAlign w:val="bottom"/>
            <w:gridSpan w:val="10"/>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1120" w:type="dxa"/>
            <w:vAlign w:val="bottom"/>
          </w:tcPr>
          <w:p>
            <w:pPr>
              <w:spacing w:after="0"/>
              <w:rPr>
                <w:sz w:val="22"/>
                <w:szCs w:val="22"/>
                <w:color w:val="auto"/>
              </w:rPr>
            </w:pPr>
          </w:p>
        </w:tc>
        <w:tc>
          <w:tcPr>
            <w:tcW w:w="628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 xml:space="preserve">Condensed Consolidated Balance Sheets –June 27, 2021 and March 28, </w:t>
              </w:r>
            </w:hyperlink>
            <w:r>
              <w:rPr>
                <w:rFonts w:ascii="Arial" w:cs="Arial" w:eastAsia="Arial" w:hAnsi="Arial"/>
                <w:sz w:val="18"/>
                <w:szCs w:val="18"/>
                <w:color w:val="0000FF"/>
                <w:w w:val="99"/>
              </w:rPr>
              <w:t>2021</w:t>
            </w:r>
          </w:p>
        </w:tc>
        <w:tc>
          <w:tcPr>
            <w:tcW w:w="1900" w:type="dxa"/>
            <w:vAlign w:val="bottom"/>
            <w:gridSpan w:val="6"/>
          </w:tcPr>
          <w:p>
            <w:pPr>
              <w:spacing w:after="0"/>
              <w:rPr>
                <w:sz w:val="22"/>
                <w:szCs w:val="22"/>
                <w:color w:val="auto"/>
              </w:rPr>
            </w:pPr>
          </w:p>
        </w:tc>
        <w:tc>
          <w:tcPr>
            <w:tcW w:w="8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r>
      <w:tr>
        <w:trPr>
          <w:trHeight w:val="264"/>
        </w:trPr>
        <w:tc>
          <w:tcPr>
            <w:tcW w:w="1120" w:type="dxa"/>
            <w:vAlign w:val="bottom"/>
          </w:tcPr>
          <w:p>
            <w:pPr>
              <w:spacing w:after="0"/>
              <w:rPr>
                <w:sz w:val="22"/>
                <w:szCs w:val="22"/>
                <w:color w:val="auto"/>
              </w:rPr>
            </w:pPr>
          </w:p>
        </w:tc>
        <w:tc>
          <w:tcPr>
            <w:tcW w:w="818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Income – Three Months Ended June </w:t>
              </w:r>
            </w:hyperlink>
            <w:r>
              <w:rPr>
                <w:rFonts w:ascii="Arial" w:cs="Arial" w:eastAsia="Arial" w:hAnsi="Arial"/>
                <w:sz w:val="18"/>
                <w:szCs w:val="18"/>
                <w:color w:val="0000FF"/>
              </w:rPr>
              <w:t xml:space="preserve">27, </w:t>
            </w:r>
            <w:hyperlink w:anchor="page3">
              <w:r>
                <w:rPr>
                  <w:rFonts w:ascii="Arial" w:cs="Arial" w:eastAsia="Arial" w:hAnsi="Arial"/>
                  <w:sz w:val="18"/>
                  <w:szCs w:val="18"/>
                  <w:color w:val="0000FF"/>
                </w:rPr>
                <w:t>2021 and</w:t>
              </w:r>
            </w:hyperlink>
          </w:p>
        </w:tc>
        <w:tc>
          <w:tcPr>
            <w:tcW w:w="98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156"/>
        </w:trPr>
        <w:tc>
          <w:tcPr>
            <w:tcW w:w="1120" w:type="dxa"/>
            <w:vAlign w:val="bottom"/>
          </w:tcPr>
          <w:p>
            <w:pPr>
              <w:spacing w:after="0"/>
              <w:rPr>
                <w:sz w:val="13"/>
                <w:szCs w:val="13"/>
                <w:color w:val="auto"/>
              </w:rPr>
            </w:pPr>
          </w:p>
        </w:tc>
        <w:tc>
          <w:tcPr>
            <w:tcW w:w="72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June </w:t>
              </w:r>
            </w:hyperlink>
            <w:r>
              <w:rPr>
                <w:rFonts w:ascii="Arial" w:cs="Arial" w:eastAsia="Arial" w:hAnsi="Arial"/>
                <w:sz w:val="18"/>
                <w:szCs w:val="18"/>
                <w:color w:val="0000FF"/>
              </w:rPr>
              <w:t>28, 2020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3"/>
        </w:trPr>
        <w:tc>
          <w:tcPr>
            <w:tcW w:w="1120" w:type="dxa"/>
            <w:vAlign w:val="bottom"/>
          </w:tcPr>
          <w:p>
            <w:pPr>
              <w:spacing w:after="0"/>
              <w:rPr>
                <w:sz w:val="22"/>
                <w:szCs w:val="22"/>
                <w:color w:val="auto"/>
              </w:rPr>
            </w:pPr>
          </w:p>
        </w:tc>
        <w:tc>
          <w:tcPr>
            <w:tcW w:w="8180" w:type="dxa"/>
            <w:vAlign w:val="bottom"/>
            <w:gridSpan w:val="2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Comprehensive Income – Three Months Ended </w:t>
              </w:r>
            </w:hyperlink>
            <w:r>
              <w:rPr>
                <w:rFonts w:ascii="Arial" w:cs="Arial" w:eastAsia="Arial" w:hAnsi="Arial"/>
                <w:sz w:val="18"/>
                <w:szCs w:val="18"/>
                <w:color w:val="0000FF"/>
              </w:rPr>
              <w:t>June</w:t>
            </w:r>
          </w:p>
        </w:tc>
        <w:tc>
          <w:tcPr>
            <w:tcW w:w="9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156"/>
        </w:trPr>
        <w:tc>
          <w:tcPr>
            <w:tcW w:w="1120" w:type="dxa"/>
            <w:vAlign w:val="bottom"/>
          </w:tcPr>
          <w:p>
            <w:pPr>
              <w:spacing w:after="0"/>
              <w:rPr>
                <w:sz w:val="13"/>
                <w:szCs w:val="13"/>
                <w:color w:val="auto"/>
              </w:rPr>
            </w:pPr>
          </w:p>
        </w:tc>
        <w:tc>
          <w:tcPr>
            <w:tcW w:w="74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27, 2021 and June 28, 2020</w:t>
              </w:r>
            </w:hyperlink>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818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Shareholder’s Equity – Three Months Ended June 27,</w:t>
              </w:r>
            </w:hyperlink>
          </w:p>
        </w:tc>
        <w:tc>
          <w:tcPr>
            <w:tcW w:w="98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155"/>
        </w:trPr>
        <w:tc>
          <w:tcPr>
            <w:tcW w:w="112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2021 and June 28, 2020</w:t>
              </w:r>
            </w:hyperlink>
          </w:p>
        </w:tc>
        <w:tc>
          <w:tcPr>
            <w:tcW w:w="5540" w:type="dxa"/>
            <w:vAlign w:val="bottom"/>
            <w:tcBorders>
              <w:top w:val="single" w:sz="8" w:color="0000FF"/>
            </w:tcBorders>
            <w:gridSpan w:val="13"/>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63"/>
        </w:trPr>
        <w:tc>
          <w:tcPr>
            <w:tcW w:w="1120" w:type="dxa"/>
            <w:vAlign w:val="bottom"/>
          </w:tcPr>
          <w:p>
            <w:pPr>
              <w:spacing w:after="0"/>
              <w:rPr>
                <w:sz w:val="22"/>
                <w:szCs w:val="22"/>
                <w:color w:val="auto"/>
              </w:rPr>
            </w:pPr>
          </w:p>
        </w:tc>
        <w:tc>
          <w:tcPr>
            <w:tcW w:w="8180" w:type="dxa"/>
            <w:vAlign w:val="bottom"/>
            <w:gridSpan w:val="2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 Three Months Ended June 27, 2021</w:t>
              </w:r>
            </w:hyperlink>
          </w:p>
        </w:tc>
        <w:tc>
          <w:tcPr>
            <w:tcW w:w="98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156"/>
        </w:trPr>
        <w:tc>
          <w:tcPr>
            <w:tcW w:w="11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and June 28, 2020</w:t>
              </w:r>
            </w:hyperlink>
          </w:p>
        </w:tc>
        <w:tc>
          <w:tcPr>
            <w:tcW w:w="5760" w:type="dxa"/>
            <w:vAlign w:val="bottom"/>
            <w:tcBorders>
              <w:top w:val="single" w:sz="8" w:color="0000FF"/>
            </w:tcBorders>
            <w:gridSpan w:val="14"/>
          </w:tcPr>
          <w:p>
            <w:pPr>
              <w:spacing w:after="0"/>
              <w:rPr>
                <w:sz w:val="13"/>
                <w:szCs w:val="13"/>
                <w:color w:val="auto"/>
              </w:rPr>
            </w:pPr>
          </w:p>
        </w:tc>
        <w:tc>
          <w:tcPr>
            <w:tcW w:w="92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63"/>
        </w:trPr>
        <w:tc>
          <w:tcPr>
            <w:tcW w:w="1120" w:type="dxa"/>
            <w:vAlign w:val="bottom"/>
          </w:tcPr>
          <w:p>
            <w:pPr>
              <w:spacing w:after="0"/>
              <w:rPr>
                <w:sz w:val="22"/>
                <w:szCs w:val="22"/>
                <w:color w:val="auto"/>
              </w:rPr>
            </w:pPr>
          </w:p>
        </w:tc>
        <w:tc>
          <w:tcPr>
            <w:tcW w:w="448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Condensed Consolidated Financial Statements</w:t>
              </w:r>
            </w:hyperlink>
          </w:p>
        </w:tc>
        <w:tc>
          <w:tcPr>
            <w:tcW w:w="3700" w:type="dxa"/>
            <w:vAlign w:val="bottom"/>
            <w:gridSpan w:val="9"/>
          </w:tcPr>
          <w:p>
            <w:pPr>
              <w:spacing w:after="0"/>
              <w:rPr>
                <w:sz w:val="22"/>
                <w:szCs w:val="22"/>
                <w:color w:val="auto"/>
              </w:rPr>
            </w:pPr>
          </w:p>
        </w:tc>
        <w:tc>
          <w:tcPr>
            <w:tcW w:w="8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22"/>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Management’s Discussion and Analysis of Financial Condition and Results of Operations</w:t>
              </w:r>
            </w:hyperlink>
          </w:p>
        </w:tc>
        <w:tc>
          <w:tcPr>
            <w:tcW w:w="980" w:type="dxa"/>
            <w:vAlign w:val="bottom"/>
            <w:gridSpan w:val="3"/>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12</w:t>
              </w:r>
            </w:hyperlink>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9"/>
              </w:rPr>
            </w:pPr>
            <w:hyperlink w:anchor="page18">
              <w:r>
                <w:rPr>
                  <w:rFonts w:ascii="Arial" w:cs="Arial" w:eastAsia="Arial" w:hAnsi="Arial"/>
                  <w:sz w:val="18"/>
                  <w:szCs w:val="18"/>
                  <w:color w:val="0000FF"/>
                  <w:w w:val="99"/>
                </w:rPr>
                <w:t>Quantitative and Qualitative Disclosures about Market Risk</w:t>
              </w:r>
            </w:hyperlink>
          </w:p>
        </w:tc>
        <w:tc>
          <w:tcPr>
            <w:tcW w:w="2380" w:type="dxa"/>
            <w:vAlign w:val="bottom"/>
            <w:tcBorders>
              <w:top w:val="single" w:sz="8" w:color="0000FF"/>
            </w:tcBorders>
            <w:gridSpan w:val="3"/>
          </w:tcPr>
          <w:p>
            <w:pPr>
              <w:spacing w:after="0"/>
              <w:rPr>
                <w:sz w:val="22"/>
                <w:szCs w:val="22"/>
                <w:color w:val="auto"/>
              </w:rPr>
            </w:pPr>
          </w:p>
        </w:tc>
        <w:tc>
          <w:tcPr>
            <w:tcW w:w="1100" w:type="dxa"/>
            <w:vAlign w:val="bottom"/>
            <w:gridSpan w:val="5"/>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17</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19">
              <w:r>
                <w:rPr>
                  <w:rFonts w:ascii="Arial" w:cs="Arial" w:eastAsia="Arial" w:hAnsi="Arial"/>
                  <w:sz w:val="18"/>
                  <w:szCs w:val="18"/>
                  <w:color w:val="0000FF"/>
                  <w:w w:val="99"/>
                </w:rPr>
                <w:t>Controls and Procedures</w:t>
              </w:r>
            </w:hyperlink>
          </w:p>
        </w:tc>
        <w:tc>
          <w:tcPr>
            <w:tcW w:w="6180" w:type="dxa"/>
            <w:vAlign w:val="bottom"/>
            <w:gridSpan w:val="13"/>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bottom w:val="single" w:sz="8" w:color="0000FF"/>
            </w:tcBorders>
            <w:gridSpan w:val="7"/>
          </w:tcPr>
          <w:p>
            <w:pPr>
              <w:spacing w:after="0"/>
              <w:rPr>
                <w:rFonts w:ascii="Arial" w:cs="Arial" w:eastAsia="Arial" w:hAnsi="Arial"/>
                <w:sz w:val="18"/>
                <w:szCs w:val="18"/>
                <w:b w:val="1"/>
                <w:bCs w:val="1"/>
                <w:color w:val="0000FF"/>
                <w:w w:val="99"/>
              </w:rPr>
            </w:pPr>
            <w:hyperlink w:anchor="page19">
              <w:r>
                <w:rPr>
                  <w:rFonts w:ascii="Arial" w:cs="Arial" w:eastAsia="Arial" w:hAnsi="Arial"/>
                  <w:sz w:val="18"/>
                  <w:szCs w:val="18"/>
                  <w:b w:val="1"/>
                  <w:bCs w:val="1"/>
                  <w:color w:val="0000FF"/>
                  <w:w w:val="99"/>
                </w:rPr>
                <w:t>OTHER INFORMATION</w:t>
              </w:r>
            </w:hyperlink>
          </w:p>
        </w:tc>
        <w:tc>
          <w:tcPr>
            <w:tcW w:w="6220" w:type="dxa"/>
            <w:vAlign w:val="bottom"/>
            <w:gridSpan w:val="15"/>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20">
              <w:r>
                <w:rPr>
                  <w:rFonts w:ascii="Arial" w:cs="Arial" w:eastAsia="Arial" w:hAnsi="Arial"/>
                  <w:sz w:val="18"/>
                  <w:szCs w:val="18"/>
                  <w:color w:val="0000FF"/>
                  <w:w w:val="99"/>
                </w:rPr>
                <w:t>Legal Proceedings</w:t>
              </w:r>
            </w:hyperlink>
          </w:p>
        </w:tc>
        <w:tc>
          <w:tcPr>
            <w:tcW w:w="6680" w:type="dxa"/>
            <w:vAlign w:val="bottom"/>
            <w:gridSpan w:val="17"/>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180" w:type="dxa"/>
            <w:vAlign w:val="bottom"/>
            <w:gridSpan w:val="22"/>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Risk Factors</w:t>
              </w:r>
            </w:hyperlink>
          </w:p>
        </w:tc>
        <w:tc>
          <w:tcPr>
            <w:tcW w:w="98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20">
              <w:r>
                <w:rPr>
                  <w:rFonts w:ascii="Arial" w:cs="Arial" w:eastAsia="Arial" w:hAnsi="Arial"/>
                  <w:sz w:val="18"/>
                  <w:szCs w:val="18"/>
                  <w:color w:val="0000FF"/>
                  <w:w w:val="99"/>
                </w:rPr>
                <w:t>Unregistered Sales of Equity Securities and Use of Proceeds</w:t>
              </w:r>
            </w:hyperlink>
          </w:p>
        </w:tc>
        <w:tc>
          <w:tcPr>
            <w:tcW w:w="3320" w:type="dxa"/>
            <w:vAlign w:val="bottom"/>
            <w:gridSpan w:val="7"/>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20">
              <w:r>
                <w:rPr>
                  <w:rFonts w:ascii="Arial" w:cs="Arial" w:eastAsia="Arial" w:hAnsi="Arial"/>
                  <w:sz w:val="18"/>
                  <w:szCs w:val="18"/>
                  <w:color w:val="0000FF"/>
                  <w:w w:val="99"/>
                </w:rPr>
                <w:t>Defaults Upon Senior Securities</w:t>
              </w:r>
            </w:hyperlink>
          </w:p>
        </w:tc>
        <w:tc>
          <w:tcPr>
            <w:tcW w:w="5620" w:type="dxa"/>
            <w:vAlign w:val="bottom"/>
            <w:gridSpan w:val="11"/>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20">
              <w:r>
                <w:rPr>
                  <w:rFonts w:ascii="Arial" w:cs="Arial" w:eastAsia="Arial" w:hAnsi="Arial"/>
                  <w:sz w:val="18"/>
                  <w:szCs w:val="18"/>
                  <w:color w:val="0000FF"/>
                  <w:w w:val="99"/>
                </w:rPr>
                <w:t>Mine Safety Disclosures</w:t>
              </w:r>
            </w:hyperlink>
          </w:p>
        </w:tc>
        <w:tc>
          <w:tcPr>
            <w:tcW w:w="6240" w:type="dxa"/>
            <w:vAlign w:val="bottom"/>
            <w:gridSpan w:val="16"/>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8180" w:type="dxa"/>
            <w:vAlign w:val="bottom"/>
            <w:gridSpan w:val="22"/>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Other Information</w:t>
              </w:r>
            </w:hyperlink>
          </w:p>
        </w:tc>
        <w:tc>
          <w:tcPr>
            <w:tcW w:w="98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rFonts w:ascii="Arial" w:cs="Arial" w:eastAsia="Arial" w:hAnsi="Arial"/>
                <w:sz w:val="18"/>
                <w:szCs w:val="18"/>
                <w:color w:val="0000FF"/>
                <w:w w:val="98"/>
              </w:rPr>
            </w:pPr>
            <w:hyperlink w:anchor="page20">
              <w:r>
                <w:rPr>
                  <w:rFonts w:ascii="Arial" w:cs="Arial" w:eastAsia="Arial" w:hAnsi="Arial"/>
                  <w:sz w:val="18"/>
                  <w:szCs w:val="18"/>
                  <w:color w:val="0000FF"/>
                  <w:w w:val="98"/>
                </w:rPr>
                <w:t>Exhibits</w:t>
              </w:r>
            </w:hyperlink>
          </w:p>
        </w:tc>
        <w:tc>
          <w:tcPr>
            <w:tcW w:w="760" w:type="dxa"/>
            <w:vAlign w:val="bottom"/>
            <w:tcBorders>
              <w:top w:val="single" w:sz="8" w:color="0000FF"/>
            </w:tcBorders>
            <w:gridSpan w:val="3"/>
          </w:tcPr>
          <w:p>
            <w:pPr>
              <w:spacing w:after="0"/>
              <w:rPr>
                <w:sz w:val="22"/>
                <w:szCs w:val="22"/>
                <w:color w:val="auto"/>
              </w:rPr>
            </w:pPr>
          </w:p>
        </w:tc>
        <w:tc>
          <w:tcPr>
            <w:tcW w:w="6780" w:type="dxa"/>
            <w:vAlign w:val="bottom"/>
            <w:gridSpan w:val="18"/>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60" w:top="886" w:right="1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27,</w:t>
            </w:r>
          </w:p>
        </w:tc>
        <w:tc>
          <w:tcPr>
            <w:tcW w:w="240" w:type="dxa"/>
            <w:vAlign w:val="bottom"/>
          </w:tcPr>
          <w:p>
            <w:pPr>
              <w:spacing w:after="0"/>
              <w:rPr>
                <w:sz w:val="16"/>
                <w:szCs w:val="16"/>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28,</w:t>
            </w:r>
          </w:p>
        </w:tc>
      </w:tr>
      <w:tr>
        <w:trPr>
          <w:trHeight w:val="215"/>
        </w:trPr>
        <w:tc>
          <w:tcPr>
            <w:tcW w:w="8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Trade accounts receivables,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90,936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90,603</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63,864</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r>
      <w:tr>
        <w:trPr>
          <w:trHeight w:val="206"/>
        </w:trPr>
        <w:tc>
          <w:tcPr>
            <w:tcW w:w="8220" w:type="dxa"/>
            <w:vAlign w:val="bottom"/>
          </w:tcPr>
          <w:p>
            <w:pPr>
              <w:ind w:left="80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167,772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163,007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300,404</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155,792</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property, plant, and equipment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144,612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Right-of-use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11,630</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70,754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70,720</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 net of accumulated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76,368</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6,213</w:t>
            </w:r>
          </w:p>
        </w:tc>
      </w:tr>
      <w:tr>
        <w:trPr>
          <w:trHeight w:val="209"/>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164,997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164,931</w:t>
            </w:r>
          </w:p>
        </w:tc>
      </w:tr>
      <w:tr>
        <w:trPr>
          <w:trHeight w:val="209"/>
        </w:trPr>
        <w:tc>
          <w:tcPr>
            <w:tcW w:w="822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475,015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 trade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37,313</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Accrued payroll and employee benefits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18,048</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9,907</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Short-term lease liability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Container deposits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1,452</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w:t>
            </w:r>
          </w:p>
        </w:tc>
      </w:tr>
      <w:tr>
        <w:trPr>
          <w:trHeight w:val="206"/>
        </w:trPr>
        <w:tc>
          <w:tcPr>
            <w:tcW w:w="8220" w:type="dxa"/>
            <w:vAlign w:val="bottom"/>
          </w:tcPr>
          <w:p>
            <w:pPr>
              <w:ind w:left="80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66,512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70,462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LESS CURRENT PORTION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88,845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10,231</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WITHDRAWAL LIABILITY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24,445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LIABILITY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7,322</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207,304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7"/>
        </w:trPr>
        <w:tc>
          <w:tcPr>
            <w:tcW w:w="8220" w:type="dxa"/>
            <w:vAlign w:val="bottom"/>
          </w:tcPr>
          <w:p>
            <w:pPr>
              <w:ind w:left="360"/>
              <w:spacing w:after="0" w:line="178" w:lineRule="exact"/>
              <w:rPr>
                <w:sz w:val="20"/>
                <w:szCs w:val="20"/>
                <w:color w:val="auto"/>
              </w:rPr>
            </w:pPr>
            <w:r>
              <w:rPr>
                <w:rFonts w:ascii="Arial" w:cs="Arial" w:eastAsia="Arial" w:hAnsi="Arial"/>
                <w:sz w:val="16"/>
                <w:szCs w:val="16"/>
                <w:color w:val="auto"/>
              </w:rPr>
              <w:t>Common stock; authorized: 60,000,000 shares of $0.01 par value; 20,946,404 and 20,969,746 shares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8"/>
        </w:trPr>
        <w:tc>
          <w:tcPr>
            <w:tcW w:w="8220" w:type="dxa"/>
            <w:vAlign w:val="bottom"/>
          </w:tcPr>
          <w:p>
            <w:pPr>
              <w:ind w:left="360"/>
              <w:spacing w:after="0"/>
              <w:rPr>
                <w:sz w:val="20"/>
                <w:szCs w:val="20"/>
                <w:color w:val="auto"/>
              </w:rPr>
            </w:pPr>
            <w:r>
              <w:rPr>
                <w:rFonts w:ascii="Arial" w:cs="Arial" w:eastAsia="Arial" w:hAnsi="Arial"/>
                <w:sz w:val="16"/>
                <w:szCs w:val="16"/>
                <w:color w:val="auto"/>
              </w:rPr>
              <w:t>issued and outstanding as of June 27, 2021 and March 28, 2021, respectively</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51,138</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227,926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213,898</w:t>
            </w:r>
          </w:p>
        </w:tc>
      </w:tr>
      <w:tr>
        <w:trPr>
          <w:trHeight w:val="210"/>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265,246</w:t>
            </w:r>
          </w:p>
        </w:tc>
      </w:tr>
      <w:tr>
        <w:trPr>
          <w:trHeight w:val="209"/>
        </w:trPr>
        <w:tc>
          <w:tcPr>
            <w:tcW w:w="8220" w:type="dxa"/>
            <w:vAlign w:val="bottom"/>
          </w:tcPr>
          <w:p>
            <w:pPr>
              <w:ind w:left="80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475,015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r>
      <w:tr>
        <w:trPr>
          <w:trHeight w:val="24"/>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226"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ind w:left="140"/>
              <w:spacing w:after="0" w:line="148" w:lineRule="exact"/>
              <w:rPr>
                <w:sz w:val="20"/>
                <w:szCs w:val="20"/>
                <w:color w:val="auto"/>
              </w:rPr>
            </w:pPr>
            <w:r>
              <w:rPr>
                <w:rFonts w:ascii="Arial" w:cs="Arial" w:eastAsia="Arial" w:hAnsi="Arial"/>
                <w:sz w:val="14"/>
                <w:szCs w:val="14"/>
                <w:b w:val="1"/>
                <w:bCs w:val="1"/>
                <w:color w:val="auto"/>
              </w:rPr>
              <w:t>June 27,</w:t>
            </w: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72"/>
              <w:spacing w:after="0" w:line="148" w:lineRule="exact"/>
              <w:rPr>
                <w:sz w:val="20"/>
                <w:szCs w:val="20"/>
                <w:color w:val="auto"/>
              </w:rPr>
            </w:pPr>
            <w:r>
              <w:rPr>
                <w:rFonts w:ascii="Arial" w:cs="Arial" w:eastAsia="Arial" w:hAnsi="Arial"/>
                <w:sz w:val="14"/>
                <w:szCs w:val="14"/>
                <w:b w:val="1"/>
                <w:bCs w:val="1"/>
                <w:color w:val="auto"/>
              </w:rPr>
              <w:t>June 28,</w:t>
            </w:r>
          </w:p>
        </w:tc>
      </w:tr>
      <w:tr>
        <w:trPr>
          <w:trHeight w:val="176"/>
        </w:trPr>
        <w:tc>
          <w:tcPr>
            <w:tcW w:w="8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143,172</w:t>
            </w: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(112,196)</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30,976</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(15,038)</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16,035</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11,788</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8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21,034,302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21,031,456</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21,178,320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21,285,346</w:t>
            </w:r>
          </w:p>
        </w:tc>
      </w:tr>
      <w:tr>
        <w:trPr>
          <w:trHeight w:val="270"/>
        </w:trPr>
        <w:tc>
          <w:tcPr>
            <w:tcW w:w="8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70"/>
        </w:trPr>
        <w:tc>
          <w:tcPr>
            <w:tcW w:w="8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0.12250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0.11625</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8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2"/>
                <w:szCs w:val="12"/>
                <w:color w:val="auto"/>
              </w:rPr>
            </w:pPr>
          </w:p>
        </w:tc>
        <w:tc>
          <w:tcPr>
            <w:tcW w:w="108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June 28,</w:t>
            </w:r>
          </w:p>
        </w:tc>
      </w:tr>
      <w:tr>
        <w:trPr>
          <w:trHeight w:val="175"/>
        </w:trPr>
        <w:tc>
          <w:tcPr>
            <w:tcW w:w="84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11,788</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interest rate swap</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11,778</w:t>
            </w:r>
          </w:p>
        </w:tc>
      </w:tr>
      <w:tr>
        <w:trPr>
          <w:trHeight w:val="21"/>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ind w:right="4740"/>
        <w:spacing w:after="0" w:line="228" w:lineRule="auto"/>
        <w:rPr>
          <w:sz w:val="20"/>
          <w:szCs w:val="20"/>
          <w:color w:val="auto"/>
        </w:rPr>
      </w:pPr>
      <w:r>
        <w:rPr>
          <w:rFonts w:ascii="Arial" w:cs="Arial" w:eastAsia="Arial" w:hAnsi="Arial"/>
          <w:sz w:val="18"/>
          <w:szCs w:val="18"/>
          <w:b w:val="1"/>
          <w:bCs w:val="1"/>
          <w:color w:val="auto"/>
        </w:rPr>
        <w:t xml:space="preserve">CONDENSED CONSOLIDATED STATEMENTS OF SHAREHOLDERS’ EQUITY </w:t>
      </w:r>
      <w:r>
        <w:rPr>
          <w:rFonts w:ascii="Arial" w:cs="Arial" w:eastAsia="Arial" w:hAnsi="Arial"/>
          <w:sz w:val="14"/>
          <w:szCs w:val="14"/>
          <w:b w:val="1"/>
          <w:bCs w:val="1"/>
          <w:color w:val="auto"/>
        </w:rPr>
        <w:t>(In thousands, except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3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0"/>
                <w:szCs w:val="10"/>
                <w:color w:val="auto"/>
              </w:rPr>
            </w:pPr>
          </w:p>
        </w:tc>
        <w:tc>
          <w:tcPr>
            <w:tcW w:w="23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15"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32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1080" w:type="dxa"/>
            <w:vAlign w:val="bottom"/>
          </w:tcPr>
          <w:p>
            <w:pPr>
              <w:jc w:val="center"/>
              <w:ind w:right="22"/>
              <w:spacing w:after="0" w:line="11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11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08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5"/>
        </w:trPr>
        <w:tc>
          <w:tcPr>
            <w:tcW w:w="37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28, 2021</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20,969,746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51,138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213,898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842"/>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265,246</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72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123,002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72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100" w:type="dxa"/>
            <w:vAlign w:val="bottom"/>
          </w:tcPr>
          <w:p>
            <w:pPr>
              <w:jc w:val="right"/>
              <w:spacing w:after="0"/>
              <w:rPr>
                <w:sz w:val="20"/>
                <w:szCs w:val="20"/>
                <w:color w:val="auto"/>
              </w:rPr>
            </w:pPr>
            <w:r>
              <w:rPr>
                <w:rFonts w:ascii="Arial" w:cs="Arial" w:eastAsia="Arial" w:hAnsi="Arial"/>
                <w:sz w:val="16"/>
                <w:szCs w:val="16"/>
                <w:color w:val="auto"/>
              </w:rPr>
              <w:t>(100,954)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(3,401)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842"/>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16,628</w:t>
            </w: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line="183" w:lineRule="exact"/>
              <w:rPr>
                <w:sz w:val="20"/>
                <w:szCs w:val="20"/>
                <w:color w:val="auto"/>
              </w:rPr>
            </w:pPr>
            <w:r>
              <w:rPr>
                <w:rFonts w:ascii="Arial" w:cs="Arial" w:eastAsia="Arial" w:hAnsi="Arial"/>
                <w:sz w:val="16"/>
                <w:szCs w:val="16"/>
                <w:color w:val="auto"/>
              </w:rPr>
              <w:t>BALANCE — June 27, 2021</w:t>
            </w:r>
          </w:p>
        </w:tc>
        <w:tc>
          <w:tcPr>
            <w:tcW w:w="110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20,946,404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210</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47,069</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227,926</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center"/>
              <w:ind w:left="842"/>
              <w:spacing w:after="0" w:line="183" w:lineRule="exact"/>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color w:val="auto"/>
              </w:rPr>
              <w:t>275,205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8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23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740" w:type="dxa"/>
            <w:vAlign w:val="bottom"/>
          </w:tcPr>
          <w:p>
            <w:pPr>
              <w:spacing w:after="0"/>
              <w:rPr>
                <w:sz w:val="8"/>
                <w:szCs w:val="8"/>
                <w:color w:val="auto"/>
              </w:rPr>
            </w:pPr>
          </w:p>
        </w:tc>
        <w:tc>
          <w:tcPr>
            <w:tcW w:w="230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8"/>
                <w:szCs w:val="8"/>
                <w:color w:val="auto"/>
              </w:rPr>
            </w:pPr>
          </w:p>
        </w:tc>
        <w:tc>
          <w:tcPr>
            <w:tcW w:w="106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8"/>
                <w:szCs w:val="8"/>
                <w:color w:val="auto"/>
              </w:rPr>
            </w:pPr>
          </w:p>
        </w:tc>
        <w:tc>
          <w:tcPr>
            <w:tcW w:w="13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8"/>
                <w:szCs w:val="8"/>
                <w:color w:val="auto"/>
              </w:rPr>
            </w:pPr>
          </w:p>
        </w:tc>
        <w:tc>
          <w:tcPr>
            <w:tcW w:w="1080" w:type="dxa"/>
            <w:vAlign w:val="bottom"/>
            <w:vMerge w:val="restart"/>
          </w:tcPr>
          <w:p>
            <w:pPr>
              <w:jc w:val="center"/>
              <w:ind w:right="42"/>
              <w:spacing w:after="0" w:line="135"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line="20" w:lineRule="exact"/>
              <w:rPr>
                <w:sz w:val="1"/>
                <w:szCs w:val="1"/>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5"/>
                <w:szCs w:val="15"/>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2"/>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29, 2020</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21,024,458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center"/>
              <w:ind w:left="782"/>
              <w:spacing w:after="0"/>
              <w:rPr>
                <w:sz w:val="20"/>
                <w:szCs w:val="20"/>
                <w:color w:val="auto"/>
              </w:rPr>
            </w:pPr>
            <w:r>
              <w:rPr>
                <w:rFonts w:ascii="Arial" w:cs="Arial" w:eastAsia="Arial" w:hAnsi="Arial"/>
                <w:sz w:val="16"/>
                <w:szCs w:val="16"/>
                <w:color w:val="auto"/>
              </w:rPr>
              <w:t>(79)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233,484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72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10,526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center"/>
              <w:ind w:left="72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72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Other comprehensive loss, net of tax</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center"/>
              <w:ind w:left="782"/>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72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11,788</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BALANCE — June 28, 2020</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21,031,670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51,051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192,256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center"/>
              <w:ind w:left="782"/>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243,429</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8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June 27,</w:t>
            </w:r>
          </w:p>
        </w:tc>
        <w:tc>
          <w:tcPr>
            <w:tcW w:w="260" w:type="dxa"/>
            <w:vAlign w:val="bottom"/>
          </w:tcPr>
          <w:p>
            <w:pPr>
              <w:spacing w:after="0"/>
              <w:rPr>
                <w:sz w:val="13"/>
                <w:szCs w:val="13"/>
                <w:color w:val="auto"/>
              </w:rPr>
            </w:pPr>
          </w:p>
        </w:tc>
        <w:tc>
          <w:tcPr>
            <w:tcW w:w="1220" w:type="dxa"/>
            <w:vAlign w:val="bottom"/>
          </w:tcPr>
          <w:p>
            <w:pPr>
              <w:jc w:val="right"/>
              <w:ind w:right="339"/>
              <w:spacing w:after="0" w:line="158" w:lineRule="exact"/>
              <w:rPr>
                <w:sz w:val="20"/>
                <w:szCs w:val="20"/>
                <w:color w:val="auto"/>
              </w:rPr>
            </w:pPr>
            <w:r>
              <w:rPr>
                <w:rFonts w:ascii="Arial" w:cs="Arial" w:eastAsia="Arial" w:hAnsi="Arial"/>
                <w:sz w:val="16"/>
                <w:szCs w:val="16"/>
                <w:b w:val="1"/>
                <w:bCs w:val="1"/>
                <w:color w:val="auto"/>
              </w:rPr>
              <w:t>June 28,</w:t>
            </w:r>
          </w:p>
        </w:tc>
      </w:tr>
      <w:tr>
        <w:trPr>
          <w:trHeight w:val="215"/>
        </w:trPr>
        <w:tc>
          <w:tcPr>
            <w:tcW w:w="8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16,628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11,788</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5,484</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Gain on deferred compensation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Trade receivables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(1,992)</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(8,952)</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(2,354)</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liabilities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(6,689)</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Lease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4,263</w:t>
            </w:r>
          </w:p>
        </w:tc>
      </w:tr>
      <w:tr>
        <w:trPr>
          <w:trHeight w:val="213"/>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w:t>
            </w:r>
          </w:p>
        </w:tc>
      </w:tr>
      <w:tr>
        <w:trPr>
          <w:trHeight w:val="213"/>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declared and paid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Shares surrendered for payroll taxes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(payments on) proceeds from revolving loan</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3,467</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10"/>
        </w:trPr>
        <w:tc>
          <w:tcPr>
            <w:tcW w:w="8060" w:type="dxa"/>
            <w:vAlign w:val="bottom"/>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334</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ind w:right="60"/>
        <w:spacing w:after="0" w:line="255"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18">
        <w:r>
          <w:rPr>
            <w:rFonts w:ascii="Arial" w:cs="Arial" w:eastAsia="Arial" w:hAnsi="Arial"/>
            <w:sz w:val="18"/>
            <w:szCs w:val="18"/>
            <w:u w:val="single" w:color="auto"/>
            <w:color w:val="0000FF"/>
          </w:rPr>
          <w:t>Annual Report on Form 10-K for the fiscal year ended March 28, 2021</w:t>
        </w:r>
      </w:hyperlink>
      <w:r>
        <w:rPr>
          <w:rFonts w:ascii="Arial" w:cs="Arial" w:eastAsia="Arial" w:hAnsi="Arial"/>
          <w:sz w:val="18"/>
          <w:szCs w:val="18"/>
          <w:color w:val="auto"/>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three months ended June 27, 2021 are not necessarily indicative of the results that may be expected for the full year.</w:t>
      </w:r>
    </w:p>
    <w:p>
      <w:pPr>
        <w:spacing w:after="0" w:line="23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References to fiscal 2020 refer to the fiscal year ended March 29, 2020, references to fiscal 2021 refer to the fiscal year ended March 28, 2021 and references to fiscal 2022 refer to the fiscal year ending April 3, 2022.</w:t>
      </w:r>
    </w:p>
    <w:p>
      <w:pPr>
        <w:spacing w:after="0" w:line="2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condensed consolidated financial statements in conformity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206" w:lineRule="exact"/>
        <w:rPr>
          <w:sz w:val="20"/>
          <w:szCs w:val="20"/>
          <w:color w:val="auto"/>
        </w:rPr>
      </w:pPr>
    </w:p>
    <w:p>
      <w:pPr>
        <w:jc w:val="both"/>
        <w:ind w:right="200"/>
        <w:spacing w:after="0" w:line="26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Policies. </w:t>
      </w:r>
      <w:r>
        <w:rPr>
          <w:rFonts w:ascii="Arial" w:cs="Arial" w:eastAsia="Arial" w:hAnsi="Arial"/>
          <w:sz w:val="18"/>
          <w:szCs w:val="18"/>
          <w:color w:val="auto"/>
        </w:rPr>
        <w:t>The accounting policies we follow are set forth in Note 1 – Nature of Business and Significant Accounting Policies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consolidated financial statements in our </w:t>
      </w:r>
      <w:hyperlink r:id="rId18">
        <w:r>
          <w:rPr>
            <w:rFonts w:ascii="Arial" w:cs="Arial" w:eastAsia="Arial" w:hAnsi="Arial"/>
            <w:sz w:val="18"/>
            <w:szCs w:val="18"/>
            <w:u w:val="single" w:color="auto"/>
            <w:color w:val="0000FF"/>
          </w:rPr>
          <w:t>Annual Report on Form 10-K for the fiscal year ended March 28, 2021</w:t>
        </w:r>
      </w:hyperlink>
      <w:r>
        <w:rPr>
          <w:rFonts w:ascii="Arial" w:cs="Arial" w:eastAsia="Arial" w:hAnsi="Arial"/>
          <w:sz w:val="18"/>
          <w:szCs w:val="18"/>
          <w:color w:val="auto"/>
        </w:rPr>
        <w:t>, previously filed with the SEC. There has been no significant change in our accounting policies since the end of fiscal 2021.</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2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Acquisition of C&amp;L Aqua Professionals, Inc. and LC Blending, Inc.</w:t>
      </w:r>
      <w:r>
        <w:rPr>
          <w:rFonts w:ascii="Arial" w:cs="Arial" w:eastAsia="Arial" w:hAnsi="Arial"/>
          <w:sz w:val="18"/>
          <w:szCs w:val="18"/>
          <w:color w:val="auto"/>
        </w:rPr>
        <w:t>: In the fourth quarter of fiscal 2021, we acquired substantially 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of C&amp;L Aqua Professionals, Inc. and LC Blending, Inc. (together, "C&amp;L Aqua") under the terms of an asset purchase agreement among us, C&amp;L Aqua and its shareholders. We paid $16 million for the acquisition, using funds available under our revolving credit facility to fund the acquisition. C&amp;L Aqua was a water treatment chemical distribution company operating primarily in Louisiana.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Acquisition of Property</w:t>
      </w:r>
      <w:r>
        <w:rPr>
          <w:rFonts w:ascii="Arial" w:cs="Arial" w:eastAsia="Arial" w:hAnsi="Arial"/>
          <w:sz w:val="18"/>
          <w:szCs w:val="18"/>
          <w:color w:val="auto"/>
        </w:rPr>
        <w:t>: In the third quarter of fiscal 2021, we acquired a manufacturing facility on 28 acres located adjacent to our facility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Rosemount, Minnesota to allow further expansion and growth in both our Industrial and Water Treatment segments. We paid $10 million for the property. The purchase of this facility added approximately 40,000 square feet of manufacturing and warehouse space to bring us to a total of 105,000 square feet of space on 56 acres of land in the area, with rail access at both of the sites to allow for future growth and provide for supply chain flexibility on certain raw materials to better serve our customers.</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Acquisition of American Development Corporation of Tennessee, Inc.</w:t>
      </w:r>
      <w:r>
        <w:rPr>
          <w:rFonts w:ascii="Arial" w:cs="Arial" w:eastAsia="Arial" w:hAnsi="Arial"/>
          <w:sz w:val="18"/>
          <w:szCs w:val="18"/>
          <w:color w:val="auto"/>
        </w:rPr>
        <w:t>: In the second quarter of fiscal 2021, we acquired substantially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assets of American Development Corporation of Tennessee, Inc. (“ADC”) under the terms of an asset purchase agreement among us, ADC and its shareholders. We paid $25 million for the acquisition, using funds available under our revolving credit facility with U.S. Bank National Association to fund the acquisition. ADC was a water treatment chemical distribution company operating primarily in Tennessee, Georgia and Kentucky.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Revenue</w:t>
      </w:r>
    </w:p>
    <w:p>
      <w:pPr>
        <w:spacing w:after="0" w:line="274"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tables disaggregate external customer net sales by major revenue stream for the three and three months ended June 27, 2021 and June 28, 2020:</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8"/>
          <w:szCs w:val="18"/>
          <w:b w:val="1"/>
          <w:bCs w:val="1"/>
          <w:color w:val="auto"/>
        </w:rPr>
        <w:t>Three months ended June 27,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9"/>
              </w:rPr>
              <w:t>Health and</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30,942</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47,338</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72,566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51,228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131,845</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181,241</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-334010</wp:posOffset>
            </wp:positionV>
            <wp:extent cx="710628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14"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Three months ended June 28,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9"/>
              </w:rPr>
              <w:t>Health and</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25,945</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38,644</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103,446</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143,172</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-334010</wp:posOffset>
            </wp:positionV>
            <wp:extent cx="710628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680"/>
          </w:cols>
          <w:pgMar w:left="320" w:top="603" w:right="339" w:bottom="1440" w:gutter="0" w:footer="0" w:header="0"/>
          <w:type w:val="continuous"/>
        </w:sectPr>
      </w:pPr>
    </w:p>
    <w:p>
      <w:pPr>
        <w:spacing w:after="0" w:line="112" w:lineRule="exact"/>
        <w:rPr>
          <w:sz w:val="20"/>
          <w:szCs w:val="20"/>
          <w:color w:val="auto"/>
        </w:rPr>
      </w:pPr>
    </w:p>
    <w:p>
      <w:pPr>
        <w:jc w:val="both"/>
        <w:ind w:left="660" w:right="60" w:hanging="328"/>
        <w:spacing w:after="0" w:line="246"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ind w:left="660" w:right="140" w:hanging="328"/>
        <w:spacing w:after="0" w:line="253"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(“EPS”) is computed by dividing net earnings by the weighted-average number of common shares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EPS includes the dilutive impact of incremental shares assumed to be issued as performance units and restricted stock.</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60" w:type="dxa"/>
            <w:vAlign w:val="bottom"/>
          </w:tcPr>
          <w:p>
            <w:pPr>
              <w:spacing w:after="0"/>
              <w:rPr>
                <w:sz w:val="20"/>
                <w:szCs w:val="20"/>
                <w:color w:val="auto"/>
              </w:rPr>
            </w:pPr>
            <w:r>
              <w:rPr>
                <w:rFonts w:ascii="Arial" w:cs="Arial" w:eastAsia="Arial" w:hAnsi="Arial"/>
                <w:sz w:val="18"/>
                <w:szCs w:val="18"/>
                <w:color w:val="auto"/>
              </w:rPr>
              <w:t>Basic and diluted EPS were calculated using the following:</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3"/>
        </w:trPr>
        <w:tc>
          <w:tcPr>
            <w:tcW w:w="8460" w:type="dxa"/>
            <w:vAlign w:val="bottom"/>
          </w:tcPr>
          <w:p>
            <w:pPr>
              <w:spacing w:after="0"/>
              <w:rPr>
                <w:sz w:val="22"/>
                <w:szCs w:val="22"/>
                <w:color w:val="auto"/>
              </w:rPr>
            </w:pPr>
          </w:p>
        </w:tc>
        <w:tc>
          <w:tcPr>
            <w:tcW w:w="27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846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27, 2021</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June 28, 2020</w:t>
            </w:r>
          </w:p>
        </w:tc>
      </w:tr>
      <w:tr>
        <w:trPr>
          <w:trHeight w:val="223"/>
        </w:trPr>
        <w:tc>
          <w:tcPr>
            <w:tcW w:w="8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21,034,302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21,031,456</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performance units and restricted stock</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144,018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253,890</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outstanding—diluted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21,178,320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21,285,346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periods presented, there were no shares excluded from the calculation of weighted-average common shares for diluted EPS.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94" w:lineRule="exact"/>
        <w:rPr>
          <w:sz w:val="20"/>
          <w:szCs w:val="20"/>
          <w:color w:val="auto"/>
        </w:rPr>
      </w:pPr>
    </w:p>
    <w:p>
      <w:pPr>
        <w:ind w:left="900"/>
        <w:spacing w:after="0"/>
        <w:tabs>
          <w:tab w:leader="none" w:pos="18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23" w:lineRule="exact"/>
        <w:rPr>
          <w:sz w:val="20"/>
          <w:szCs w:val="20"/>
          <w:color w:val="auto"/>
        </w:rPr>
      </w:pPr>
    </w:p>
    <w:p>
      <w:pPr>
        <w:ind w:left="1820" w:right="640" w:hanging="908"/>
        <w:spacing w:after="0" w:line="219" w:lineRule="auto"/>
        <w:tabs>
          <w:tab w:leader="none" w:pos="1800" w:val="left"/>
        </w:tabs>
        <w:rPr>
          <w:sz w:val="20"/>
          <w:szCs w:val="20"/>
          <w:color w:val="auto"/>
        </w:rPr>
      </w:pPr>
      <w:r>
        <w:rPr>
          <w:rFonts w:ascii="Arial" w:cs="Arial" w:eastAsia="Arial" w:hAnsi="Arial"/>
          <w:sz w:val="18"/>
          <w:szCs w:val="18"/>
          <w:color w:val="auto"/>
        </w:rPr>
        <w:t>Level 2:</w:t>
        <w:tab/>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4" w:lineRule="exact"/>
        <w:rPr>
          <w:sz w:val="20"/>
          <w:szCs w:val="20"/>
          <w:color w:val="auto"/>
        </w:rPr>
      </w:pPr>
    </w:p>
    <w:p>
      <w:pPr>
        <w:ind w:left="1820" w:right="700" w:hanging="908"/>
        <w:spacing w:after="0" w:line="219" w:lineRule="auto"/>
        <w:tabs>
          <w:tab w:leader="none" w:pos="1800" w:val="left"/>
        </w:tabs>
        <w:rPr>
          <w:sz w:val="20"/>
          <w:szCs w:val="20"/>
          <w:color w:val="auto"/>
        </w:rPr>
      </w:pPr>
      <w:r>
        <w:rPr>
          <w:rFonts w:ascii="Arial" w:cs="Arial" w:eastAsia="Arial" w:hAnsi="Arial"/>
          <w:sz w:val="18"/>
          <w:szCs w:val="18"/>
          <w:color w:val="auto"/>
        </w:rPr>
        <w:t>Level 3:</w:t>
        <w:tab/>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00" w:lineRule="exact"/>
        <w:rPr>
          <w:sz w:val="20"/>
          <w:szCs w:val="20"/>
          <w:color w:val="auto"/>
        </w:rPr>
      </w:pPr>
    </w:p>
    <w:p>
      <w:pPr>
        <w:spacing w:after="0" w:line="3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4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financial assets that are measured at fair value on a recurring basis are assets held in a deferred compensation retirement plan. As of June 27, 2021 and March 28, 2021, the assets held in a deferred compensation retirement plan were classified as other long-term assets on our balance sheet, with the portion of the plan assets expected to be paid within twelve months classified as current assets on our balance sheet.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24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tables summarize the balances of assets and liabilities measured at fair value on a recurring basis as of June 27, 2021 and March 28,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27, 2021</w:t>
            </w:r>
          </w:p>
        </w:tc>
        <w:tc>
          <w:tcPr>
            <w:tcW w:w="240" w:type="dxa"/>
            <w:vAlign w:val="bottom"/>
          </w:tcPr>
          <w:p>
            <w:pPr>
              <w:spacing w:after="0"/>
              <w:rPr>
                <w:sz w:val="20"/>
                <w:szCs w:val="20"/>
                <w:color w:val="auto"/>
              </w:rPr>
            </w:pPr>
          </w:p>
        </w:tc>
        <w:tc>
          <w:tcPr>
            <w:tcW w:w="17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28, 2021</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Deferred compensation plan assets</w:t>
            </w:r>
          </w:p>
        </w:tc>
        <w:tc>
          <w:tcPr>
            <w:tcW w:w="2540" w:type="dxa"/>
            <w:vAlign w:val="bottom"/>
          </w:tcPr>
          <w:p>
            <w:pPr>
              <w:ind w:left="1440"/>
              <w:spacing w:after="0"/>
              <w:rPr>
                <w:sz w:val="20"/>
                <w:szCs w:val="20"/>
                <w:color w:val="auto"/>
              </w:rPr>
            </w:pPr>
            <w:r>
              <w:rPr>
                <w:rFonts w:ascii="Arial" w:cs="Arial" w:eastAsia="Arial" w:hAnsi="Arial"/>
                <w:sz w:val="18"/>
                <w:szCs w:val="18"/>
                <w:color w:val="auto"/>
              </w:rPr>
              <w:t>Level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5,946</w:t>
            </w:r>
          </w:p>
        </w:tc>
      </w:tr>
      <w:tr>
        <w:trPr>
          <w:trHeight w:val="540"/>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Note 6– Assets Held for Sale</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4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Included in assets held for sale as of March 28, 2021 was $ 0.7 million for an office building in St. Louis, Missouri which was utilized in the administration of our Industrial segment and $0.2 million for a water treatment branch located in Eldridge, Iowa, which has been relocated to another owned facility. Both were sold in the first quarter of fiscal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r>
              <w:rPr>
                <w:rFonts w:ascii="Arial" w:cs="Arial" w:eastAsia="Arial" w:hAnsi="Arial"/>
                <w:sz w:val="18"/>
                <w:szCs w:val="18"/>
                <w:b w:val="1"/>
                <w:bCs w:val="1"/>
                <w:color w:val="auto"/>
              </w:rPr>
              <w:t>Note 7 – Inventories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7840" w:type="dxa"/>
            <w:vAlign w:val="bottom"/>
          </w:tcPr>
          <w:p>
            <w:pPr>
              <w:spacing w:after="0"/>
              <w:rPr>
                <w:sz w:val="20"/>
                <w:szCs w:val="20"/>
                <w:color w:val="auto"/>
              </w:rPr>
            </w:pPr>
            <w:r>
              <w:rPr>
                <w:rFonts w:ascii="Arial" w:cs="Arial" w:eastAsia="Arial" w:hAnsi="Arial"/>
                <w:sz w:val="18"/>
                <w:szCs w:val="18"/>
                <w:color w:val="auto"/>
              </w:rPr>
              <w:t>Inventories at June 27, 2021 and March 28, 2021 consisted of the following:</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7"/>
        </w:trPr>
        <w:tc>
          <w:tcPr>
            <w:tcW w:w="7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27,</w:t>
            </w:r>
          </w:p>
        </w:tc>
        <w:tc>
          <w:tcPr>
            <w:tcW w:w="260" w:type="dxa"/>
            <w:vAlign w:val="bottom"/>
          </w:tcPr>
          <w:p>
            <w:pPr>
              <w:spacing w:after="0"/>
              <w:rPr>
                <w:sz w:val="24"/>
                <w:szCs w:val="24"/>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28,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reserve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$51.0 million at June 27, 2021 and $46.8 million at March 28, 2021. The remainder of the inventory was valued and accounted for under the FIFO method.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7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carrying amount of goodwill was $70.8 million as of June 27, 2021 and $70.7 million as of March 28, 2021, of which $44.9 million was related to our Health and Nutrition segment, $19.3 million was related to our Water Treatment segment, and $6.5 million was related to our Industrial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June 27, 2021 and March 28, 2021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June 27, 2021</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28, 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84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99,588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(27,949)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71,639</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99,588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(26,522)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74,787</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120" w:type="dxa"/>
            <w:vAlign w:val="bottom"/>
            <w:gridSpan w:val="7"/>
          </w:tcPr>
          <w:p>
            <w:pPr>
              <w:spacing w:after="0"/>
              <w:rPr>
                <w:sz w:val="20"/>
                <w:szCs w:val="20"/>
                <w:color w:val="auto"/>
              </w:rPr>
            </w:pPr>
            <w:r>
              <w:rPr>
                <w:rFonts w:ascii="Arial" w:cs="Arial" w:eastAsia="Arial" w:hAnsi="Arial"/>
                <w:sz w:val="18"/>
                <w:szCs w:val="18"/>
                <w:color w:val="auto"/>
              </w:rPr>
              <w:t>Debt at June 27, 2021 and March 28, 2021 consisted of the following:</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5"/>
          </w:tcPr>
          <w:p>
            <w:pPr>
              <w:ind w:left="400"/>
              <w:spacing w:after="0"/>
              <w:rPr>
                <w:sz w:val="20"/>
                <w:szCs w:val="20"/>
                <w:color w:val="auto"/>
              </w:rPr>
            </w:pPr>
            <w:r>
              <w:rPr>
                <w:rFonts w:ascii="Arial" w:cs="Arial" w:eastAsia="Arial" w:hAnsi="Arial"/>
                <w:sz w:val="18"/>
                <w:szCs w:val="18"/>
                <w:b w:val="1"/>
                <w:bCs w:val="1"/>
                <w:color w:val="auto"/>
              </w:rPr>
              <w:t>June 27,</w:t>
            </w:r>
          </w:p>
        </w:tc>
        <w:tc>
          <w:tcPr>
            <w:tcW w:w="300" w:type="dxa"/>
            <w:vAlign w:val="bottom"/>
          </w:tcPr>
          <w:p>
            <w:pPr>
              <w:spacing w:after="0"/>
              <w:rPr>
                <w:sz w:val="24"/>
                <w:szCs w:val="24"/>
                <w:color w:val="auto"/>
              </w:rPr>
            </w:pPr>
          </w:p>
        </w:tc>
        <w:tc>
          <w:tcPr>
            <w:tcW w:w="12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March 28,</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Senior secured revolving loan</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96,000</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3620" w:type="dxa"/>
            <w:vAlign w:val="bottom"/>
          </w:tcPr>
          <w:p>
            <w:pPr>
              <w:ind w:left="140"/>
              <w:spacing w:after="0"/>
              <w:rPr>
                <w:sz w:val="20"/>
                <w:szCs w:val="20"/>
                <w:color w:val="auto"/>
              </w:rPr>
            </w:pPr>
            <w:r>
              <w:rPr>
                <w:rFonts w:ascii="Arial" w:cs="Arial" w:eastAsia="Arial" w:hAnsi="Arial"/>
                <w:sz w:val="18"/>
                <w:szCs w:val="18"/>
                <w:color w:val="auto"/>
              </w:rPr>
              <w:t>Total debt, net of debt issuance costs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95,775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98,752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85,868</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88,845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74"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1, 2018 are closed to examination by the Internal Revenue Service, and with few exceptions, state and local</w:t>
      </w:r>
    </w:p>
    <w:p>
      <w:pPr>
        <w:spacing w:after="0" w:line="1"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income tax jurisdictions. Our effective tax rate for the three months ended June 27, 2021 was 24.4% and was 26.5% for the three months ended June 28, 2020. The effective tax rate is impacted by projected levels of annual taxable income, permanent items, and state taxes.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5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June 27, 2021, we were obligated under operating lease agreements for certain manufacturing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warehouse space, the land on which some of our facilities sit, vehicles and information technology equipment. Our leases have remaining lease terms of 1 year to 23 years, some of which include options to extend the lease for up to 10 years.</w:t>
      </w:r>
    </w:p>
    <w:p>
      <w:pPr>
        <w:spacing w:after="0" w:line="22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of June 27, 2021, our operating lease components with initial or remaining terms in excess of one year were classified on the condensed consolidated balance sheet within right of use assets, short-term lease liability and long-term lease liability.</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Expense for leases less than 12 months was not material for the three months ended June 27, 2021 and June 28, 2020. Total lease expense was $0.7 million for both the three months ended June 27, 2021 and June 28,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w w:val="99"/>
              </w:rPr>
              <w:t>June 27, 2021</w:t>
            </w:r>
          </w:p>
        </w:tc>
        <w:tc>
          <w:tcPr>
            <w:tcW w:w="7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March 28, 2021</w:t>
            </w:r>
          </w:p>
        </w:tc>
      </w:tr>
      <w:tr>
        <w:trPr>
          <w:trHeight w:val="21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9"/>
        </w:trPr>
        <w:tc>
          <w:tcPr>
            <w:tcW w:w="8720" w:type="dxa"/>
            <w:vAlign w:val="bottom"/>
            <w:gridSpan w:val="2"/>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9.55</w:t>
            </w:r>
          </w:p>
        </w:tc>
        <w:tc>
          <w:tcPr>
            <w:tcW w:w="182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30"/>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2.6 %</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bl>
    <w:p>
      <w:pPr>
        <w:spacing w:after="0" w:line="200" w:lineRule="exact"/>
        <w:rPr>
          <w:sz w:val="20"/>
          <w:szCs w:val="20"/>
          <w:color w:val="auto"/>
        </w:rPr>
      </w:pP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Maturities of lease liabilities as of June 27, 2021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Operating Leases</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fiscal 2022</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Performance-Based Restricted Stock Units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(the “Board”)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during the first quarters of each of fiscal 2022 and fiscal 2021.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88,524 shares in the aggregate for fiscal 2022.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three months ended June 27,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4"/>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4"/>
                <w:szCs w:val="14"/>
                <w:color w:val="auto"/>
              </w:rPr>
            </w:pPr>
          </w:p>
        </w:tc>
        <w:tc>
          <w:tcPr>
            <w:tcW w:w="148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215"/>
        </w:trPr>
        <w:tc>
          <w:tcPr>
            <w:tcW w:w="78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14"/>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4"/>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rPr>
              <w:t>239,120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center"/>
              <w:ind w:left="452"/>
              <w:spacing w:after="0"/>
              <w:rPr>
                <w:sz w:val="20"/>
                <w:szCs w:val="20"/>
                <w:color w:val="auto"/>
              </w:rPr>
            </w:pPr>
            <w:r>
              <w:rPr>
                <w:rFonts w:ascii="Arial" w:cs="Arial" w:eastAsia="Arial" w:hAnsi="Arial"/>
                <w:sz w:val="18"/>
                <w:szCs w:val="18"/>
                <w:color w:val="auto"/>
              </w:rPr>
              <w:t>111,618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color w:val="auto"/>
                <w:w w:val="98"/>
              </w:rPr>
              <w:t>(123,002)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rPr>
              <w:t>227,736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We recorded compensation expense related to performance share units and restricted stock of $0.6 million for the three months ended June 27, 2021 and $0.5 million for the three June 28, 2020. Substantially all of the compensation expense was recorded in selling, general and administrative expenses in the condensed consolidated statements of income.</w:t>
      </w:r>
    </w:p>
    <w:p>
      <w:pPr>
        <w:spacing w:after="0" w:line="208"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retainers, each director who is not an executive officer receives an annual grant of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their service on our Board. The restricted stock awards are expensed over the requisite vesting period, which is generally one year from the date of issuance, based on the market value on the date of grant. As of June 27, 2021, there were 11,228 shares of restricted stock with an average grant date fair value of $25.60 outstanding under this program. Compensation expense for both the three months ended June 27, 2021 and June 28, 2020 related to restricted stock awards to the Board was $0.1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 Repurchase Program</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Board has authorized the repurchase of up to 1,600,000 shares of our outstanding common stock for cash on the open market or in privately negotiated transactions subject to applicable securities laws and regulations. Upon purchase of the shares, we reduce our common stock for the par value of the shares with the excess applied against additional paid-in capital. During the three months ended June 27, 2021, we repurchased 100,954 shares at an aggregate purchase price of $3.4 million. During the three months ended June 28, 2020, no shares were repurchased. As of June 27, 2021, 450,552 shares remained available to be repurchased under the share repurchase program.</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74" w:lineRule="exact"/>
        <w:rPr>
          <w:sz w:val="20"/>
          <w:szCs w:val="20"/>
          <w:color w:val="auto"/>
        </w:rPr>
      </w:pPr>
    </w:p>
    <w:p>
      <w:pPr>
        <w:ind w:right="140"/>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We have three reportable segments: Industrial, Water Treatment, and Health and Nutrition. The accounting policies of the segments are the </w:t>
      </w:r>
      <w:hyperlink r:id="rId18">
        <w:r>
          <w:rPr>
            <w:rFonts w:ascii="Arial" w:cs="Arial" w:eastAsia="Arial" w:hAnsi="Arial"/>
            <w:sz w:val="18"/>
            <w:szCs w:val="18"/>
            <w:color w:val="auto"/>
          </w:rPr>
          <w:t xml:space="preserve">same as those described in the summary of significant accounting policies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March 28, 2021</w:t>
        </w:r>
        <w:r>
          <w:rPr>
            <w:rFonts w:ascii="Arial" w:cs="Arial" w:eastAsia="Arial" w:hAnsi="Arial"/>
            <w:sz w:val="18"/>
            <w:szCs w:val="18"/>
            <w:color w:val="000000"/>
          </w:rPr>
          <w:t>.</w:t>
        </w:r>
      </w:hyperlink>
    </w:p>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Treatment</w:t>
            </w:r>
          </w:p>
        </w:tc>
        <w:tc>
          <w:tcPr>
            <w:tcW w:w="16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27, 2021:</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85,850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56,238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39,153</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181,241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38,974</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16,856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Three months ended June 28, 2020: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143,172</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11,339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30,976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15,038</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15,938</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three months ended June 27, 2021.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 w:name="page14"/>
    <w:bookmarkEnd w:id="13"/>
    <w:p>
      <w:pPr>
        <w:spacing w:after="0"/>
        <w:tabs>
          <w:tab w:leader="none" w:pos="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47" w:lineRule="exact"/>
        <w:rPr>
          <w:sz w:val="20"/>
          <w:szCs w:val="20"/>
          <w:color w:val="auto"/>
        </w:rPr>
      </w:pPr>
    </w:p>
    <w:p>
      <w:pPr>
        <w:ind w:right="1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following is a discussion and analysis of our financial condition and results of operations for the three months ended June 27, 2021 as compared to the similar period ended June 28, 2020. This discussion should be read in conjunction with the condensed consolidated financial statements and notes to condensed consolidated financial statements included in this quarterly report on Form 10-Q and Item 8 of our </w:t>
      </w:r>
      <w:hyperlink r:id="rId18">
        <w:r>
          <w:rPr>
            <w:rFonts w:ascii="Arial" w:cs="Arial" w:eastAsia="Arial" w:hAnsi="Arial"/>
            <w:sz w:val="18"/>
            <w:szCs w:val="18"/>
            <w:u w:val="single" w:color="auto"/>
            <w:color w:val="0000FF"/>
          </w:rPr>
          <w:t>Annual Report on Form 10-K for the fiscal year ended March 28, 2021</w:t>
        </w:r>
      </w:hyperlink>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Acquisitions</w:t>
      </w:r>
    </w:p>
    <w:p>
      <w:pPr>
        <w:spacing w:after="0" w:line="25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the fourth quarter of fiscal 2021, we acquired substantially all the assets of C&amp;L Aqua Professionals, Inc. and LC Blending, Inc. (together, “C&amp;L Aqua”) under the terms of an asset purchase agreement among us, C&amp;L Aqua and its shareholders. C&amp;L Aqua was a water treatment chemical distribution company operating primarily in Louisiana. The results of operations and the assets are included as part of our Water Treatment segment.</w:t>
      </w:r>
    </w:p>
    <w:p>
      <w:pPr>
        <w:spacing w:after="0" w:line="232" w:lineRule="exact"/>
        <w:rPr>
          <w:sz w:val="20"/>
          <w:szCs w:val="20"/>
          <w:color w:val="auto"/>
        </w:rPr>
      </w:pPr>
    </w:p>
    <w:p>
      <w:pPr>
        <w:jc w:val="both"/>
        <w:ind w:right="560"/>
        <w:spacing w:after="0" w:line="238" w:lineRule="auto"/>
        <w:rPr>
          <w:sz w:val="20"/>
          <w:szCs w:val="20"/>
          <w:color w:val="auto"/>
        </w:rPr>
      </w:pPr>
      <w:r>
        <w:rPr>
          <w:rFonts w:ascii="Arial" w:cs="Arial" w:eastAsia="Arial" w:hAnsi="Arial"/>
          <w:sz w:val="18"/>
          <w:szCs w:val="18"/>
          <w:color w:val="auto"/>
        </w:rPr>
        <w:t>In the second quarter of fiscal 2021, we acquired substantially all the assets of American Development Corporation of Tennessee, Inc. (“ADC”) under the terms of an asset purchase agreement among us, ADC and its shareholders. ADC was a water treatment chemical distribution company operating primarily in Tennessee, Georgia and Kentucky. The results of operations since the acquisition date are included in our Water Treatment segment.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annual revenue from C&amp;L Aqua and ADC in the twelve months prior to our acquisitions totaled approximately $25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25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the fourth quarter of fiscal 2021, we effected a two-for-one split of our common stock, and adjusted the par value from $0.05 per share to $0.01 per share. At the same time, we increased the number of authorized shares from 30 million to 60 million. Our consolidated financial statements, related notes, and other financial data contained in this report have been adjusted to give retroactive effect to the stock split for all periods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on COVID-19</w:t>
      </w:r>
    </w:p>
    <w:p>
      <w:pPr>
        <w:spacing w:after="0" w:line="25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pandemic caused by COVID-19, federal, state and local governments around the world implemented stringent measures to help control the spread of the virus, including, from time to time, quarantines, “shelter in place” and “stay at home” orders, travel restrictions or bans, business curtailments, school closures, and other protective measures. While most restrictions have eased since the start of the COVID-19 pandemic, certain restrictions remain in place or new restrictions may be implemented in the future.</w:t>
      </w:r>
    </w:p>
    <w:p>
      <w:pPr>
        <w:spacing w:after="0" w:line="231" w:lineRule="exact"/>
        <w:rPr>
          <w:sz w:val="20"/>
          <w:szCs w:val="20"/>
          <w:color w:val="auto"/>
        </w:rPr>
      </w:pPr>
    </w:p>
    <w:p>
      <w:pPr>
        <w:ind w:right="260"/>
        <w:spacing w:after="0" w:line="308" w:lineRule="auto"/>
        <w:rPr>
          <w:sz w:val="20"/>
          <w:szCs w:val="20"/>
          <w:color w:val="auto"/>
        </w:rPr>
      </w:pPr>
      <w:r>
        <w:rPr>
          <w:rFonts w:ascii="Arial" w:cs="Arial" w:eastAsia="Arial" w:hAnsi="Arial"/>
          <w:sz w:val="18"/>
          <w:szCs w:val="18"/>
          <w:color w:val="auto"/>
        </w:rPr>
        <w:t>All of our manufacturing facilities have qualified as essential operations (or the equivalent) under applicable federal and state orders. As a result, all of our manufacturing sites and facilities have continued to operate, with no significant impact to our output levels.</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this public health crisis, we remained focused on the health and safety of our employees, customers and suppliers and maintaining safe and reliable operations of our manufacturing sites. As our operations and products are essential to critical national infrastructure, it is imperative that we continue to supply materials including the products needed to maintain safe drinking water, ingredients essential for large-scale food, pharmaceutical and other health product manufacturing and nutrition products needed to support our critical infrastructure. Our manufacturing sites have continued to operate during the COVID-19 pandemic, with no significant impact to manufacturing.</w:t>
      </w:r>
    </w:p>
    <w:p>
      <w:pPr>
        <w:spacing w:after="0" w:line="23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financial impact of the COVID-19 pandemic to our company has been mixed, as sales to certain end-markets such as food, bottled bleach and health and nutrition have benefited our reporting segments, while decreased sales to other end-markets such as ethanol, pools</w:t>
      </w:r>
    </w:p>
    <w:p>
      <w:pPr>
        <w:spacing w:after="0" w:line="2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and resorts have negatively impacted them. In addition, certain expenses, such as travel and entertainment and trade show expenses, were lower than historical levels during fiscal 2021. We expect mixed results to continue until conditions normalize following the end of the pandemic.</w:t>
      </w:r>
    </w:p>
    <w:p>
      <w:pPr>
        <w:sectPr>
          <w:pgSz w:w="11900" w:h="16838" w:orient="portrait"/>
          <w:cols w:equalWidth="0" w:num="1">
            <w:col w:w="11200"/>
          </w:cols>
          <w:pgMar w:left="320" w:top="58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Financial Results</w:t>
      </w:r>
    </w:p>
    <w:p>
      <w:pPr>
        <w:spacing w:after="0" w:line="25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the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the FIFO method.</w:t>
      </w:r>
    </w:p>
    <w:p>
      <w:pPr>
        <w:spacing w:after="0" w:line="23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17"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auto"/>
        </w:rPr>
        <w:t>Three Months Ended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June 27, 2021</w:t>
            </w:r>
          </w:p>
        </w:tc>
        <w:tc>
          <w:tcPr>
            <w:tcW w:w="16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June 28, 2020</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Sales</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60" w:type="dxa"/>
            <w:vAlign w:val="bottom"/>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21.6 %</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60" w:type="dxa"/>
            <w:vAlign w:val="bottom"/>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11.1 %</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4020"/>
        <w:spacing w:after="0" w:line="451" w:lineRule="auto"/>
        <w:rPr>
          <w:sz w:val="20"/>
          <w:szCs w:val="20"/>
          <w:color w:val="auto"/>
        </w:rPr>
      </w:pPr>
      <w:r>
        <w:rPr>
          <w:rFonts w:ascii="Arial" w:cs="Arial" w:eastAsia="Arial" w:hAnsi="Arial"/>
          <w:sz w:val="18"/>
          <w:szCs w:val="18"/>
          <w:b w:val="1"/>
          <w:bCs w:val="1"/>
          <w:i w:val="1"/>
          <w:iCs w:val="1"/>
          <w:color w:val="auto"/>
        </w:rPr>
        <w:t xml:space="preserve">Three Months Ended June 27, 2021 Compared to Three Months Ended June 28, 2020 </w:t>
      </w:r>
      <w:r>
        <w:rPr>
          <w:rFonts w:ascii="Arial" w:cs="Arial" w:eastAsia="Arial" w:hAnsi="Arial"/>
          <w:sz w:val="18"/>
          <w:szCs w:val="18"/>
          <w:i w:val="1"/>
          <w:iCs w:val="1"/>
          <w:color w:val="auto"/>
        </w:rPr>
        <w:t>Sales</w:t>
      </w:r>
    </w:p>
    <w:p>
      <w:pPr>
        <w:ind w:right="380"/>
        <w:spacing w:after="0" w:line="261" w:lineRule="auto"/>
        <w:rPr>
          <w:sz w:val="20"/>
          <w:szCs w:val="20"/>
          <w:color w:val="auto"/>
        </w:rPr>
      </w:pPr>
      <w:r>
        <w:rPr>
          <w:rFonts w:ascii="Arial" w:cs="Arial" w:eastAsia="Arial" w:hAnsi="Arial"/>
          <w:sz w:val="18"/>
          <w:szCs w:val="18"/>
          <w:color w:val="auto"/>
        </w:rPr>
        <w:t>Sales were $181.2 million for the three months ended June 27, 2021, an increase of $38.0 million, or 27%, from sales of $143.2 million a year ago.</w:t>
      </w:r>
    </w:p>
    <w:p>
      <w:pPr>
        <w:spacing w:after="0" w:line="207"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$14.3 million, or 20%, to $85.9 million for the three months ended June 27, 2021,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$71.5 million in the same period a year ago. Sales of bulk commodity products in the Industrial segment were approximately 14% of sales dollars in the three months ended June 27, 2021 and 12% in the same period of the prior year. Sales of our bleach products decreased from the prior year, as prior year sales were high due to increased customer demand as a result of the pandemic. However, this decrease was more than offset by increased sales of both our bulk and our other manufactured, blended and repackaged products, in particular certain of our agricultural and food ingredient products.</w:t>
      </w:r>
    </w:p>
    <w:p>
      <w:pPr>
        <w:spacing w:after="0" w:line="211"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$16.5 million, or 42%, to $56.2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27, 2021, as compared to $ 39.7 million in the same period a year ago. Sales of bulk commodity products in the Water Treatment segment were approximately 8% of sales dollars in the three months ended June 27, 2021 and 10% in the same period of the prior year. Sales increased over the prior year due to increased demand for many of our products. Sales also increased as a result of the added sales from the acquisitions of ADC and C&amp;L Aqua in fiscal 2021.</w:t>
      </w:r>
    </w:p>
    <w:p>
      <w:pPr>
        <w:spacing w:after="0" w:line="131"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increased $ 7.2 million, or 23%, to $39.2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27, 2021, as compared to $32.0 million in the same period a year ago. The increase in sales was driven by increased sales of both our manufactured and specialty distributed products largely as a result of increased consumer demand for health and immunity products.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Gross Profit</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profit increased $8.0 million, or 26%, to $39.0 million, or 22% of sales, for the three months ended June 27, 2021, from $31.0 million, or 22% of sales, for the same period a year ago. During the three months ended June 27, 2021, the LIFO reserve increased, and gross profit decreased, by $1.8 million. In the same quarter a year ago, the LIFO reserve increased, and gross profit decreased, by $0.1 million.</w:t>
      </w:r>
    </w:p>
    <w:p>
      <w:pPr>
        <w:spacing w:after="0" w:line="21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$1.8 million, or 14%, to $14.3 million, or 17% of sales,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27, 2021, from $12.5 million, or 17% of sales, in the same period of the prior year. During the three months ended June 27, 2021, the LIFO reserve increased, and gross profit decreased, by $ 1.4 million. In the same quarter a year ago, the change in the LIFO reserve had a nominal impact on gross profit. Gross profit increased as a result of the increase in sales, partially offset by the negative impact to gross profit as a result of the increase in the LIFO reserve.</w:t>
      </w:r>
    </w:p>
    <w:p>
      <w:pPr>
        <w:spacing w:after="0" w:line="212"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$ 4.9 million, or 43%, to $16.2 million, or 29%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27, 2021, from $11.3 million, or 29% of sales, in the same period of the prior year. During the three months ended June 27, 2021, the LIFO reserve increased, and gross profit decreased, by $0.4 million. In the same quarter a year ago, the change in the LIFO reserve had a nominal impact on gross profit. Gross profit increased as a result of the increased sales as well as the added gross profit from the sales in the acquired businesses of ADC and C&amp;L Aqua.</w:t>
      </w:r>
    </w:p>
    <w:p>
      <w:pPr>
        <w:spacing w:after="0" w:line="131"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increased $1.3 million, or 18%, to $ 8.5 million, or 22%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three months ended June 27, 2021, from $ 7.2 million, or 23% of sales, for the same period of the prior year. The increase in gross profit was a result of higher sales compared to the prior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7"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Selling, general and administrative (“SG&amp;A”) expenses increased $1.8 million to $16.9 million, or 9% of sales, for the three months ended June 27, 2021, from $15.0 million, or 11% of sales, for the same period of the prior year. Expenses increased primarily due to the added costs from the acquired businesses of ADC and C&amp;L Aqua, including $0.4 million of expense for amortization of intangibles.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8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Operating income increased $6.2 million, or 39%, to $22.1 million, or 12% of sales, for the three months ended June 27, 2021, from $15.9 million, or 11% of sales, for the same period of the prior year due to the combined impact of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7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Interest expense was $0.3 million for the three months ended June 27, 2021, a decrease of $0.1 million from interest expense of $0.4 million for the same period a year ago. The additional interest cost as a result of the increase in outstanding borrowings was more than offset by lower borrowing rates compared to the prior year.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57"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Other income of $0.2 million was $0.3 million lower than other income of $0.5 million a year ago. This represents gains recorded on investments held for our non-qualified deferred compensation plan. The amount recorded as a gain was offset by a similar amount recorded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an increase to compensation expense within SG&amp;A expenses</w:t>
      </w:r>
      <w:r>
        <w:rPr>
          <w:rFonts w:ascii="Arial" w:cs="Arial" w:eastAsia="Arial" w:hAnsi="Arial"/>
          <w:sz w:val="21"/>
          <w:szCs w:val="21"/>
          <w:i w:val="1"/>
          <w:iCs w:val="1"/>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effective income tax rate was 24.4% for the three months ended June 27, 2021, compared to 26.5% in the same period of the prior year. The effective tax rate is impacted by projected levels of annual taxable income, permanent items, and state taxes. Our effective tax rate for the full year is currently expected to be approximately 26-27%.</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6"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Cash was $5.2 million at June 27, 2021, an increase of $2.2 million as compared with the $3.0 million available as of March 28, 2021.</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Cash provided by operating activities was $ 14.8 million for the three months ended June 27, 2021, compared to cash provided by operating activities of $1.6 million for the same period of the prior year. The year-over-year increase in cash provided by operating activities was primarily driven by year-over-year changes in uses of working capital, including less cash expended in the current quarter for inventory, combined with an increase in net income for the three months ended June 27, 2021 compared to the same period a year ago.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because we receive the majority of barges during this period.</w:t>
      </w:r>
    </w:p>
    <w:p>
      <w:pPr>
        <w:spacing w:after="0" w:line="15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Cash used in investing activities was $2.1 million for the three months ended June 27, 2021, compared to $ 4.8 million for the same period of the prior year. Capital expenditures were $2.2 million for the three months ended June 27, 2021, compared to $4.8 million in the same period of the prior year. In the first three months of the prior year, we had larger investments in facility improvements and new and replacement equipment compared to the first three months of the current year.</w:t>
      </w:r>
    </w:p>
    <w:p>
      <w:pPr>
        <w:spacing w:after="0" w:line="2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Cash used in financing activities was $10.5 million for the three months ended June 27, 2021, compared to $3.5 million of cash provided by financing activities in the same period of the prior year. Included in financing activities in the first three months of the current year were net debt repayments of $3.0 million, compared to net debt borrowings of $6.0 million in the first three months of the prior year. In addition, we repurchased $3.4 million of shares of our common stock in the first three months of the current fiscal year, compared to no shares repurchased in the same period in the prior year.</w:t>
      </w: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Board has authorized the repurchase of up to 1.6 million shares of our outstanding common stock.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three months ended June 27, 2021, we repurchased 100,954 shares of common stock with an aggregate purchase price of $3.4 million. During the three months ended June 28, 2020, no shares were repurchased. As of June 27, 2021, 450,552 shares remained available to be repurchased under the share repurchase program.</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party to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revolving credit facilities (the “Revolving Loan Facility”) totaling $150.0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2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our leverage ratio: (a) LIBOR for an interest period of one, two, three or nine months as selected by us, reset at the end of the selected interest period, or (b) a base rate determined by reference to the highest of (1) U. S. Bank’s prime rate, (2) the Federal Funds Effective Rate plus 0.5%, or (3) one-month LIBOR for U.S. dollars plus 1.0%. The LIBOR margin is between 0.85% - 1.35%, depending on our leverage ratio. The base rate margin is between 0.00% - 0.35%, depending on our leverage ratio. In the event that the ICE Benchmark Administration (or any person that takes over administration of such rate) determines that LIBOR is no longer available, including as a result of the intended phase out of LIBOR by the end of 2021, our Revolving Loan Facility provides for an alternative rate of interest to be jointly determined by us and U.S. Bank, as administrative agent, that gives due consideration to the then prevailing market convention for determining a rate of interest for syndicated loans in the United States. Once such successor rate has been approved by us and U.S. Bank, the Revolving Credit Loan Facility would be amended to use such successor rate without any further action or consent of any other lender, so long as the administrative agent does not receive any objection from any other lender. At June 27, 2021, the effective interest rate on our borrowings was 1.1%.</w:t>
      </w:r>
    </w:p>
    <w:p>
      <w:pPr>
        <w:spacing w:after="0" w:line="23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- 0.25%, depending on our leverage ratio.</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7" w:name="page18"/>
    <w:bookmarkEnd w:id="17"/>
    <w:p>
      <w:pPr>
        <w:ind w:right="460"/>
        <w:spacing w:after="0" w:line="261"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June 27, 2021, the unamortized balance of these costs was $0.2 million, and is reflected as a reduction of debt on our balance sheet.</w:t>
      </w:r>
    </w:p>
    <w:p>
      <w:pPr>
        <w:spacing w:after="0" w:line="22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June 27, 2021.</w:t>
      </w:r>
    </w:p>
    <w:p>
      <w:pPr>
        <w:spacing w:after="0" w:line="2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Revolving Loan Facility.</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3" w:lineRule="exact"/>
        <w:rPr>
          <w:sz w:val="20"/>
          <w:szCs w:val="20"/>
          <w:color w:val="auto"/>
        </w:rPr>
      </w:pPr>
    </w:p>
    <w:p>
      <w:pPr>
        <w:ind w:right="380"/>
        <w:spacing w:after="0" w:line="261" w:lineRule="auto"/>
        <w:rPr>
          <w:rFonts w:ascii="Arial" w:cs="Arial" w:eastAsia="Arial" w:hAnsi="Arial"/>
          <w:sz w:val="18"/>
          <w:szCs w:val="18"/>
          <w:color w:val="0000FF"/>
        </w:rPr>
      </w:pPr>
      <w:hyperlink r:id="rId18">
        <w:r>
          <w:rPr>
            <w:rFonts w:ascii="Arial" w:cs="Arial" w:eastAsia="Arial" w:hAnsi="Arial"/>
            <w:sz w:val="18"/>
            <w:szCs w:val="18"/>
            <w:color w:val="auto"/>
          </w:rPr>
          <w:t xml:space="preserve">There were no material changes in our critical accounting estimates since the filing of our </w:t>
        </w:r>
        <w:r>
          <w:rPr>
            <w:rFonts w:ascii="Arial" w:cs="Arial" w:eastAsia="Arial" w:hAnsi="Arial"/>
            <w:sz w:val="18"/>
            <w:szCs w:val="18"/>
            <w:u w:val="single" w:color="auto"/>
            <w:color w:val="0000FF"/>
          </w:rPr>
          <w:t>Annual Report on Form 10-K for the fiscal year</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ended March 28, 2021</w:t>
        </w:r>
        <w:r>
          <w:rPr>
            <w:rFonts w:ascii="Arial" w:cs="Arial" w:eastAsia="Arial" w:hAnsi="Arial"/>
            <w:sz w:val="18"/>
            <w:szCs w:val="18"/>
            <w:color w:val="000000"/>
          </w:rPr>
          <w:t>.</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93" w:lineRule="exact"/>
        <w:rPr>
          <w:sz w:val="20"/>
          <w:szCs w:val="20"/>
          <w:color w:val="auto"/>
        </w:rPr>
      </w:pPr>
    </w:p>
    <w:p>
      <w:pPr>
        <w:spacing w:after="0" w:line="251" w:lineRule="auto"/>
        <w:rPr>
          <w:rFonts w:ascii="Arial" w:cs="Arial" w:eastAsia="Arial" w:hAnsi="Arial"/>
          <w:sz w:val="18"/>
          <w:szCs w:val="18"/>
          <w:color w:val="0000FF"/>
        </w:rPr>
      </w:pPr>
      <w:r>
        <w:rPr>
          <w:rFonts w:ascii="Arial" w:cs="Arial" w:eastAsia="Arial" w:hAnsi="Arial"/>
          <w:sz w:val="18"/>
          <w:szCs w:val="18"/>
          <w:color w:val="auto"/>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w:t>
      </w:r>
      <w:hyperlink r:id="rId18">
        <w:r>
          <w:rPr>
            <w:rFonts w:ascii="Arial" w:cs="Arial" w:eastAsia="Arial" w:hAnsi="Arial"/>
            <w:sz w:val="18"/>
            <w:szCs w:val="18"/>
            <w:color w:val="auto"/>
          </w:rPr>
          <w:t xml:space="preserve">information concerning potential factors that could affect future financial results is included in our </w:t>
        </w:r>
        <w:r>
          <w:rPr>
            <w:rFonts w:ascii="Arial" w:cs="Arial" w:eastAsia="Arial" w:hAnsi="Arial"/>
            <w:sz w:val="18"/>
            <w:szCs w:val="18"/>
            <w:u w:val="single" w:color="auto"/>
            <w:color w:val="0000FF"/>
          </w:rPr>
          <w:t>Annual Report on Form 10-K for the fiscal</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year ended March 28, 2021</w:t>
        </w:r>
        <w:r>
          <w:rPr>
            <w:rFonts w:ascii="Arial" w:cs="Arial" w:eastAsia="Arial" w:hAnsi="Arial"/>
            <w:sz w:val="18"/>
            <w:szCs w:val="18"/>
            <w:color w:val="000000"/>
          </w:rPr>
          <w:t>. We caution you not to place undue reliance on these forward-looking statements, which reflect our</w:t>
        </w:r>
      </w:hyperlink>
      <w:r>
        <w:rPr>
          <w:rFonts w:ascii="Arial" w:cs="Arial" w:eastAsia="Arial" w:hAnsi="Arial"/>
          <w:sz w:val="18"/>
          <w:szCs w:val="18"/>
          <w:color w:val="0000FF"/>
        </w:rPr>
        <w:t xml:space="preserve"> </w:t>
      </w:r>
      <w:r>
        <w:rPr>
          <w:rFonts w:ascii="Arial" w:cs="Arial" w:eastAsia="Arial" w:hAnsi="Arial"/>
          <w:sz w:val="18"/>
          <w:szCs w:val="18"/>
          <w:color w:val="000000"/>
        </w:rPr>
        <w:t>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229"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Revolving Loan Facility. A 25-basis point change in interest rates would potentially increase or decrease our annual interest expense by approximately $0.2 million.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June 27, 2021.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2022 that has materially affected, or is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171" w:lineRule="exact"/>
        <w:rPr>
          <w:sz w:val="20"/>
          <w:szCs w:val="20"/>
          <w:color w:val="auto"/>
        </w:rPr>
      </w:pPr>
    </w:p>
    <w:p>
      <w:pPr>
        <w:ind w:right="260"/>
        <w:spacing w:after="0" w:line="261" w:lineRule="auto"/>
        <w:rPr>
          <w:rFonts w:ascii="Arial" w:cs="Arial" w:eastAsia="Arial" w:hAnsi="Arial"/>
          <w:sz w:val="18"/>
          <w:szCs w:val="18"/>
          <w:color w:val="0000FF"/>
        </w:rPr>
      </w:pPr>
      <w:hyperlink r:id="rId18">
        <w:r>
          <w:rPr>
            <w:rFonts w:ascii="Arial" w:cs="Arial" w:eastAsia="Arial" w:hAnsi="Arial"/>
            <w:sz w:val="18"/>
            <w:szCs w:val="18"/>
            <w:color w:val="auto"/>
          </w:rPr>
          <w:t xml:space="preserve">There have been no material changes to our risk factors from those disclosed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March 28, 2021</w:t>
        </w:r>
        <w:r>
          <w:rPr>
            <w:rFonts w:ascii="Arial" w:cs="Arial" w:eastAsia="Arial" w:hAnsi="Arial"/>
            <w:sz w:val="18"/>
            <w:szCs w:val="18"/>
            <w:color w:val="000000"/>
          </w:rPr>
          <w:t>.</w:t>
        </w:r>
      </w:hyperlink>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announced, our Board has authorized the repurchase of up to 1,600,000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June 27, 2021:</w:t>
      </w:r>
    </w:p>
    <w:tbl>
      <w:tblPr>
        <w:tblLayout w:type="fixed"/>
        <w:tblInd w:w="50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5"/>
                <w:szCs w:val="15"/>
                <w:color w:val="auto"/>
              </w:rPr>
            </w:pPr>
          </w:p>
        </w:tc>
        <w:tc>
          <w:tcPr>
            <w:tcW w:w="21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jc w:val="right"/>
              <w:ind w:right="53"/>
              <w:spacing w:after="0"/>
              <w:rPr>
                <w:sz w:val="20"/>
                <w:szCs w:val="20"/>
                <w:color w:val="auto"/>
              </w:rPr>
            </w:pPr>
            <w:r>
              <w:rPr>
                <w:rFonts w:ascii="Arial" w:cs="Arial" w:eastAsia="Arial" w:hAnsi="Arial"/>
                <w:sz w:val="16"/>
                <w:szCs w:val="16"/>
                <w:b w:val="1"/>
                <w:bCs w:val="1"/>
                <w:color w:val="auto"/>
              </w:rPr>
              <w:t>Total Number of</w:t>
            </w:r>
          </w:p>
        </w:tc>
        <w:tc>
          <w:tcPr>
            <w:tcW w:w="36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 a</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2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Plans or</w:t>
            </w:r>
          </w:p>
        </w:tc>
        <w:tc>
          <w:tcPr>
            <w:tcW w:w="0" w:type="dxa"/>
            <w:vAlign w:val="bottom"/>
          </w:tcPr>
          <w:p>
            <w:pPr>
              <w:spacing w:after="0"/>
              <w:rPr>
                <w:sz w:val="1"/>
                <w:szCs w:val="1"/>
                <w:color w:val="auto"/>
              </w:rPr>
            </w:pPr>
          </w:p>
        </w:tc>
      </w:tr>
      <w:tr>
        <w:trPr>
          <w:trHeight w:val="215"/>
        </w:trPr>
        <w:tc>
          <w:tcPr>
            <w:tcW w:w="2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 Purchased</w:t>
            </w: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Per Share</w:t>
            </w: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 or Program</w:t>
            </w:r>
          </w:p>
        </w:tc>
        <w:tc>
          <w:tcPr>
            <w:tcW w:w="1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03/29/2021-04/25/2021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45,390</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3"/>
              </w:rPr>
              <w:t>(1)</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551,506</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04/26/2021-05/23/2021</w:t>
            </w:r>
          </w:p>
        </w:tc>
        <w:tc>
          <w:tcPr>
            <w:tcW w:w="120" w:type="dxa"/>
            <w:vAlign w:val="bottom"/>
          </w:tcPr>
          <w:p>
            <w:pPr>
              <w:spacing w:after="0"/>
              <w:rPr>
                <w:sz w:val="19"/>
                <w:szCs w:val="19"/>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551,506</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05/24/2021-06/27/2021</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100,954</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100,954</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450,552</w:t>
            </w:r>
          </w:p>
        </w:tc>
        <w:tc>
          <w:tcPr>
            <w:tcW w:w="0" w:type="dxa"/>
            <w:vAlign w:val="bottom"/>
          </w:tcPr>
          <w:p>
            <w:pPr>
              <w:spacing w:after="0"/>
              <w:rPr>
                <w:sz w:val="1"/>
                <w:szCs w:val="1"/>
                <w:color w:val="auto"/>
              </w:rPr>
            </w:pPr>
          </w:p>
        </w:tc>
      </w:tr>
      <w:tr>
        <w:trPr>
          <w:trHeight w:val="223"/>
        </w:trPr>
        <w:tc>
          <w:tcPr>
            <w:tcW w:w="258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146,344</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jc w:val="right"/>
              <w:ind w:right="15"/>
              <w:spacing w:after="0"/>
              <w:rPr>
                <w:sz w:val="20"/>
                <w:szCs w:val="20"/>
                <w:color w:val="auto"/>
              </w:rPr>
            </w:pPr>
            <w:r>
              <w:rPr>
                <w:rFonts w:ascii="Arial" w:cs="Arial" w:eastAsia="Arial" w:hAnsi="Arial"/>
                <w:sz w:val="18"/>
                <w:szCs w:val="18"/>
                <w:color w:val="auto"/>
              </w:rPr>
              <w:t>100,954</w:t>
            </w: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(1) The shares of common stock represent shares that were surrendered to us by stock plan participants in order to satisfy minimum withholding tax obligations related to the vesting of restricted stock awards and are not shares purchased under the Board authorization described above.</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7"/>
        </w:trPr>
        <w:tc>
          <w:tcPr>
            <w:tcW w:w="840" w:type="dxa"/>
            <w:vAlign w:val="bottom"/>
          </w:tcPr>
          <w:p>
            <w:pPr>
              <w:jc w:val="right"/>
              <w:ind w:right="112"/>
              <w:spacing w:after="0"/>
              <w:rPr>
                <w:sz w:val="20"/>
                <w:szCs w:val="20"/>
                <w:color w:val="auto"/>
              </w:rPr>
            </w:pPr>
            <w:r>
              <w:rPr>
                <w:rFonts w:ascii="Arial" w:cs="Arial" w:eastAsia="Arial" w:hAnsi="Arial"/>
                <w:sz w:val="18"/>
                <w:szCs w:val="18"/>
                <w:color w:val="auto"/>
                <w:w w:val="98"/>
              </w:rPr>
              <w:t>ITEM 6.</w:t>
            </w:r>
          </w:p>
        </w:tc>
        <w:tc>
          <w:tcPr>
            <w:tcW w:w="7900" w:type="dxa"/>
            <w:vAlign w:val="bottom"/>
            <w:gridSpan w:val="7"/>
          </w:tcPr>
          <w:p>
            <w:pPr>
              <w:ind w:left="200"/>
              <w:spacing w:after="0"/>
              <w:rPr>
                <w:sz w:val="20"/>
                <w:szCs w:val="20"/>
                <w:color w:val="auto"/>
              </w:rPr>
            </w:pPr>
            <w:r>
              <w:rPr>
                <w:rFonts w:ascii="Arial" w:cs="Arial" w:eastAsia="Arial" w:hAnsi="Arial"/>
                <w:sz w:val="18"/>
                <w:szCs w:val="18"/>
                <w:color w:val="auto"/>
              </w:rPr>
              <w:t>EXHIBITS</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89"/>
        </w:trPr>
        <w:tc>
          <w:tcPr>
            <w:tcW w:w="840" w:type="dxa"/>
            <w:vAlign w:val="bottom"/>
          </w:tcPr>
          <w:p>
            <w:pPr>
              <w:jc w:val="right"/>
              <w:ind w:right="52"/>
              <w:spacing w:after="0"/>
              <w:rPr>
                <w:sz w:val="20"/>
                <w:szCs w:val="20"/>
                <w:color w:val="auto"/>
              </w:rPr>
            </w:pPr>
            <w:r>
              <w:rPr>
                <w:rFonts w:ascii="Arial" w:cs="Arial" w:eastAsia="Arial" w:hAnsi="Arial"/>
                <w:sz w:val="14"/>
                <w:szCs w:val="14"/>
                <w:color w:val="auto"/>
              </w:rPr>
              <w:t>Exhibit</w:t>
            </w:r>
          </w:p>
        </w:tc>
        <w:tc>
          <w:tcPr>
            <w:tcW w:w="2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w w:val="97"/>
              </w:rPr>
              <w:t>Description</w:t>
            </w:r>
          </w:p>
        </w:tc>
        <w:tc>
          <w:tcPr>
            <w:tcW w:w="3640" w:type="dxa"/>
            <w:vAlign w:val="bottom"/>
            <w:gridSpan w:val="3"/>
          </w:tcPr>
          <w:p>
            <w:pPr>
              <w:spacing w:after="0"/>
              <w:rPr>
                <w:sz w:val="16"/>
                <w:szCs w:val="16"/>
                <w:color w:val="auto"/>
              </w:rPr>
            </w:pPr>
          </w:p>
        </w:tc>
        <w:tc>
          <w:tcPr>
            <w:tcW w:w="2300" w:type="dxa"/>
            <w:vAlign w:val="bottom"/>
            <w:gridSpan w:val="3"/>
          </w:tcPr>
          <w:p>
            <w:pPr>
              <w:jc w:val="center"/>
              <w:ind w:left="72"/>
              <w:spacing w:after="0"/>
              <w:rPr>
                <w:sz w:val="20"/>
                <w:szCs w:val="20"/>
                <w:color w:val="auto"/>
              </w:rPr>
            </w:pPr>
            <w:r>
              <w:rPr>
                <w:rFonts w:ascii="Arial" w:cs="Arial" w:eastAsia="Arial" w:hAnsi="Arial"/>
                <w:sz w:val="14"/>
                <w:szCs w:val="14"/>
                <w:color w:val="auto"/>
              </w:rPr>
              <w:t>Method of Filing</w:t>
            </w:r>
          </w:p>
        </w:tc>
      </w:tr>
      <w:tr>
        <w:trPr>
          <w:trHeight w:val="20"/>
        </w:trPr>
        <w:tc>
          <w:tcPr>
            <w:tcW w:w="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40" w:type="dxa"/>
            <w:vAlign w:val="bottom"/>
          </w:tcPr>
          <w:p>
            <w:pPr>
              <w:jc w:val="right"/>
              <w:ind w:right="112"/>
              <w:spacing w:after="0" w:line="196" w:lineRule="exact"/>
              <w:rPr>
                <w:sz w:val="20"/>
                <w:szCs w:val="20"/>
                <w:color w:val="auto"/>
              </w:rPr>
            </w:pPr>
            <w:r>
              <w:rPr>
                <w:rFonts w:ascii="Arial" w:cs="Arial" w:eastAsia="Arial" w:hAnsi="Arial"/>
                <w:sz w:val="18"/>
                <w:szCs w:val="18"/>
                <w:color w:val="auto"/>
              </w:rPr>
              <w:t>3.1</w:t>
            </w:r>
          </w:p>
        </w:tc>
        <w:tc>
          <w:tcPr>
            <w:tcW w:w="3540" w:type="dxa"/>
            <w:vAlign w:val="bottom"/>
            <w:gridSpan w:val="2"/>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 xml:space="preserve">Restated Articles of Incorporation. </w:t>
              </w:r>
            </w:hyperlink>
            <w:r>
              <w:rPr>
                <w:rFonts w:ascii="Arial" w:cs="Arial" w:eastAsia="Arial" w:hAnsi="Arial"/>
                <w:sz w:val="18"/>
                <w:szCs w:val="18"/>
                <w:color w:val="000000"/>
              </w:rPr>
              <w:t>(1)</w:t>
            </w:r>
          </w:p>
        </w:tc>
        <w:tc>
          <w:tcPr>
            <w:tcW w:w="720" w:type="dxa"/>
            <w:vAlign w:val="bottom"/>
            <w:gridSpan w:val="2"/>
          </w:tcPr>
          <w:p>
            <w:pPr>
              <w:spacing w:after="0"/>
              <w:rPr>
                <w:sz w:val="17"/>
                <w:szCs w:val="17"/>
                <w:color w:val="auto"/>
              </w:rPr>
            </w:pPr>
          </w:p>
        </w:tc>
        <w:tc>
          <w:tcPr>
            <w:tcW w:w="3640" w:type="dxa"/>
            <w:vAlign w:val="bottom"/>
            <w:gridSpan w:val="3"/>
          </w:tcPr>
          <w:p>
            <w:pPr>
              <w:spacing w:after="0"/>
              <w:rPr>
                <w:sz w:val="17"/>
                <w:szCs w:val="17"/>
                <w:color w:val="auto"/>
              </w:rPr>
            </w:pPr>
          </w:p>
        </w:tc>
        <w:tc>
          <w:tcPr>
            <w:tcW w:w="2300" w:type="dxa"/>
            <w:vAlign w:val="bottom"/>
            <w:gridSpan w:val="3"/>
          </w:tcPr>
          <w:p>
            <w:pPr>
              <w:jc w:val="center"/>
              <w:ind w:left="72"/>
              <w:spacing w:after="0" w:line="196" w:lineRule="exact"/>
              <w:rPr>
                <w:sz w:val="20"/>
                <w:szCs w:val="20"/>
                <w:color w:val="auto"/>
              </w:rPr>
            </w:pPr>
            <w:r>
              <w:rPr>
                <w:rFonts w:ascii="Arial" w:cs="Arial" w:eastAsia="Arial" w:hAnsi="Arial"/>
                <w:sz w:val="18"/>
                <w:szCs w:val="18"/>
                <w:color w:val="auto"/>
              </w:rPr>
              <w:t>Incorporated by Reference</w:t>
            </w:r>
          </w:p>
        </w:tc>
      </w:tr>
      <w:tr>
        <w:trPr>
          <w:trHeight w:val="20"/>
        </w:trPr>
        <w:tc>
          <w:tcPr>
            <w:tcW w:w="84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7900" w:type="dxa"/>
            <w:vAlign w:val="bottom"/>
            <w:gridSpan w:val="7"/>
          </w:tcPr>
          <w:p>
            <w:pPr>
              <w:spacing w:after="0"/>
              <w:rPr>
                <w:rFonts w:ascii="Arial" w:cs="Arial" w:eastAsia="Arial" w:hAnsi="Arial"/>
                <w:sz w:val="18"/>
                <w:szCs w:val="18"/>
                <w:color w:val="0000FF"/>
              </w:rPr>
            </w:pPr>
            <w:hyperlink r:id="rId37">
              <w:r>
                <w:rPr>
                  <w:rFonts w:ascii="Arial" w:cs="Arial" w:eastAsia="Arial" w:hAnsi="Arial"/>
                  <w:sz w:val="18"/>
                  <w:szCs w:val="18"/>
                  <w:color w:val="0000FF"/>
                </w:rPr>
                <w:t xml:space="preserve">Amended and Restated By-Laws. </w:t>
              </w:r>
            </w:hyperlink>
            <w:r>
              <w:rPr>
                <w:rFonts w:ascii="Arial" w:cs="Arial" w:eastAsia="Arial" w:hAnsi="Arial"/>
                <w:sz w:val="18"/>
                <w:szCs w:val="18"/>
                <w:color w:val="000000"/>
              </w:rPr>
              <w:t>(2)</w:t>
            </w:r>
          </w:p>
        </w:tc>
        <w:tc>
          <w:tcPr>
            <w:tcW w:w="2300" w:type="dxa"/>
            <w:vAlign w:val="bottom"/>
            <w:gridSpan w:val="3"/>
          </w:tcPr>
          <w:p>
            <w:pPr>
              <w:jc w:val="center"/>
              <w:ind w:left="72"/>
              <w:spacing w:after="0"/>
              <w:rPr>
                <w:sz w:val="20"/>
                <w:szCs w:val="20"/>
                <w:color w:val="auto"/>
              </w:rPr>
            </w:pPr>
            <w:r>
              <w:rPr>
                <w:rFonts w:ascii="Arial" w:cs="Arial" w:eastAsia="Arial" w:hAnsi="Arial"/>
                <w:sz w:val="18"/>
                <w:szCs w:val="18"/>
                <w:color w:val="auto"/>
              </w:rPr>
              <w:t>Incorporated by Reference</w:t>
            </w:r>
          </w:p>
        </w:tc>
      </w:tr>
      <w:tr>
        <w:trPr>
          <w:trHeight w:val="20"/>
        </w:trPr>
        <w:tc>
          <w:tcPr>
            <w:tcW w:w="84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31.1</w:t>
            </w:r>
          </w:p>
        </w:tc>
        <w:tc>
          <w:tcPr>
            <w:tcW w:w="7900" w:type="dxa"/>
            <w:vAlign w:val="bottom"/>
            <w:gridSpan w:val="7"/>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Certification by Chief Executive Officer pursuant to Rule 13a-14(a) of the Exchange Act.</w:t>
              </w:r>
            </w:hyperlink>
          </w:p>
        </w:tc>
        <w:tc>
          <w:tcPr>
            <w:tcW w:w="2300" w:type="dxa"/>
            <w:vAlign w:val="bottom"/>
            <w:gridSpan w:val="3"/>
          </w:tcPr>
          <w:p>
            <w:pPr>
              <w:jc w:val="center"/>
              <w:ind w:left="72"/>
              <w:spacing w:after="0"/>
              <w:rPr>
                <w:sz w:val="20"/>
                <w:szCs w:val="20"/>
                <w:color w:val="auto"/>
              </w:rPr>
            </w:pPr>
            <w:r>
              <w:rPr>
                <w:rFonts w:ascii="Arial" w:cs="Arial" w:eastAsia="Arial" w:hAnsi="Arial"/>
                <w:sz w:val="18"/>
                <w:szCs w:val="18"/>
                <w:color w:val="auto"/>
                <w:w w:val="99"/>
              </w:rPr>
              <w:t>Filed Electronically</w:t>
            </w:r>
          </w:p>
        </w:tc>
      </w:tr>
      <w:tr>
        <w:trPr>
          <w:trHeight w:val="210"/>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31.2</w:t>
            </w:r>
          </w:p>
        </w:tc>
        <w:tc>
          <w:tcPr>
            <w:tcW w:w="6980" w:type="dxa"/>
            <w:vAlign w:val="bottom"/>
            <w:tcBorders>
              <w:top w:val="single" w:sz="8" w:color="0000FF"/>
            </w:tcBorders>
            <w:gridSpan w:val="6"/>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Certification by Chief Financial Officer pursuant to Rule 13a-14(a) of the Exchange Act.</w:t>
              </w:r>
            </w:hyperlink>
          </w:p>
        </w:tc>
        <w:tc>
          <w:tcPr>
            <w:tcW w:w="920" w:type="dxa"/>
            <w:vAlign w:val="bottom"/>
          </w:tcPr>
          <w:p>
            <w:pPr>
              <w:spacing w:after="0"/>
              <w:rPr>
                <w:sz w:val="18"/>
                <w:szCs w:val="18"/>
                <w:color w:val="auto"/>
              </w:rPr>
            </w:pPr>
          </w:p>
        </w:tc>
        <w:tc>
          <w:tcPr>
            <w:tcW w:w="2300" w:type="dxa"/>
            <w:vAlign w:val="bottom"/>
            <w:gridSpan w:val="3"/>
          </w:tcPr>
          <w:p>
            <w:pPr>
              <w:jc w:val="center"/>
              <w:ind w:left="72"/>
              <w:spacing w:after="0"/>
              <w:rPr>
                <w:sz w:val="20"/>
                <w:szCs w:val="20"/>
                <w:color w:val="auto"/>
              </w:rPr>
            </w:pPr>
            <w:r>
              <w:rPr>
                <w:rFonts w:ascii="Arial" w:cs="Arial" w:eastAsia="Arial" w:hAnsi="Arial"/>
                <w:sz w:val="18"/>
                <w:szCs w:val="18"/>
                <w:color w:val="auto"/>
                <w:w w:val="99"/>
              </w:rPr>
              <w:t>Filed Electronically</w:t>
            </w:r>
          </w:p>
        </w:tc>
      </w:tr>
      <w:tr>
        <w:trPr>
          <w:trHeight w:val="210"/>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42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9"/>
              </w:rPr>
            </w:pPr>
            <w:hyperlink w:anchor="page25">
              <w:r>
                <w:rPr>
                  <w:rFonts w:ascii="Arial" w:cs="Arial" w:eastAsia="Arial" w:hAnsi="Arial"/>
                  <w:sz w:val="18"/>
                  <w:szCs w:val="18"/>
                  <w:color w:val="0000FF"/>
                  <w:w w:val="99"/>
                </w:rPr>
                <w:t>Section 1350 Certification by Chief Executive Officer.</w:t>
              </w:r>
            </w:hyperlink>
          </w:p>
        </w:tc>
        <w:tc>
          <w:tcPr>
            <w:tcW w:w="2660" w:type="dxa"/>
            <w:vAlign w:val="bottom"/>
            <w:tcBorders>
              <w:top w:val="single" w:sz="8" w:color="0000FF"/>
            </w:tcBorders>
          </w:tcPr>
          <w:p>
            <w:pPr>
              <w:spacing w:after="0"/>
              <w:rPr>
                <w:sz w:val="18"/>
                <w:szCs w:val="18"/>
                <w:color w:val="auto"/>
              </w:rPr>
            </w:pPr>
          </w:p>
        </w:tc>
        <w:tc>
          <w:tcPr>
            <w:tcW w:w="980" w:type="dxa"/>
            <w:vAlign w:val="bottom"/>
            <w:gridSpan w:val="2"/>
          </w:tcPr>
          <w:p>
            <w:pPr>
              <w:spacing w:after="0"/>
              <w:rPr>
                <w:sz w:val="18"/>
                <w:szCs w:val="18"/>
                <w:color w:val="auto"/>
              </w:rPr>
            </w:pPr>
          </w:p>
        </w:tc>
        <w:tc>
          <w:tcPr>
            <w:tcW w:w="2300" w:type="dxa"/>
            <w:vAlign w:val="bottom"/>
            <w:gridSpan w:val="3"/>
          </w:tcPr>
          <w:p>
            <w:pPr>
              <w:jc w:val="center"/>
              <w:ind w:left="72"/>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32.2</w:t>
            </w:r>
          </w:p>
        </w:tc>
        <w:tc>
          <w:tcPr>
            <w:tcW w:w="416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26">
              <w:r>
                <w:rPr>
                  <w:rFonts w:ascii="Arial" w:cs="Arial" w:eastAsia="Arial" w:hAnsi="Arial"/>
                  <w:sz w:val="18"/>
                  <w:szCs w:val="18"/>
                  <w:color w:val="0000FF"/>
                  <w:w w:val="99"/>
                </w:rPr>
                <w:t>Section 1350 Certification by Chief Financial Officer.</w:t>
              </w:r>
            </w:hyperlink>
          </w:p>
        </w:tc>
        <w:tc>
          <w:tcPr>
            <w:tcW w:w="3740" w:type="dxa"/>
            <w:vAlign w:val="bottom"/>
            <w:gridSpan w:val="4"/>
          </w:tcPr>
          <w:p>
            <w:pPr>
              <w:spacing w:after="0"/>
              <w:rPr>
                <w:sz w:val="18"/>
                <w:szCs w:val="18"/>
                <w:color w:val="auto"/>
              </w:rPr>
            </w:pPr>
          </w:p>
        </w:tc>
        <w:tc>
          <w:tcPr>
            <w:tcW w:w="2300" w:type="dxa"/>
            <w:vAlign w:val="bottom"/>
            <w:gridSpan w:val="3"/>
          </w:tcPr>
          <w:p>
            <w:pPr>
              <w:jc w:val="center"/>
              <w:ind w:left="72"/>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7900" w:type="dxa"/>
            <w:vAlign w:val="bottom"/>
            <w:gridSpan w:val="7"/>
          </w:tcPr>
          <w:p>
            <w:pPr>
              <w:spacing w:after="0"/>
              <w:rPr>
                <w:sz w:val="20"/>
                <w:szCs w:val="20"/>
                <w:color w:val="auto"/>
              </w:rPr>
            </w:pPr>
            <w:r>
              <w:rPr>
                <w:rFonts w:ascii="Arial" w:cs="Arial" w:eastAsia="Arial" w:hAnsi="Arial"/>
                <w:sz w:val="18"/>
                <w:szCs w:val="18"/>
                <w:color w:val="auto"/>
              </w:rPr>
              <w:t>Financial statements from the Quarterly Report on Form 10-Q of Hawkins, Inc. for the period</w:t>
            </w:r>
          </w:p>
        </w:tc>
        <w:tc>
          <w:tcPr>
            <w:tcW w:w="2300" w:type="dxa"/>
            <w:vAlign w:val="bottom"/>
            <w:gridSpan w:val="3"/>
          </w:tcPr>
          <w:p>
            <w:pPr>
              <w:jc w:val="center"/>
              <w:ind w:left="72"/>
              <w:spacing w:after="0"/>
              <w:rPr>
                <w:sz w:val="20"/>
                <w:szCs w:val="20"/>
                <w:color w:val="auto"/>
              </w:rPr>
            </w:pPr>
            <w:r>
              <w:rPr>
                <w:rFonts w:ascii="Arial" w:cs="Arial" w:eastAsia="Arial" w:hAnsi="Arial"/>
                <w:sz w:val="18"/>
                <w:szCs w:val="18"/>
                <w:color w:val="auto"/>
                <w:w w:val="99"/>
              </w:rPr>
              <w:t>Filed Electronically</w:t>
            </w:r>
          </w:p>
        </w:tc>
      </w:tr>
      <w:tr>
        <w:trPr>
          <w:trHeight w:val="175"/>
        </w:trPr>
        <w:tc>
          <w:tcPr>
            <w:tcW w:w="840" w:type="dxa"/>
            <w:vAlign w:val="bottom"/>
          </w:tcPr>
          <w:p>
            <w:pPr>
              <w:spacing w:after="0"/>
              <w:rPr>
                <w:sz w:val="15"/>
                <w:szCs w:val="15"/>
                <w:color w:val="auto"/>
              </w:rPr>
            </w:pPr>
          </w:p>
        </w:tc>
        <w:tc>
          <w:tcPr>
            <w:tcW w:w="7900" w:type="dxa"/>
            <w:vAlign w:val="bottom"/>
            <w:gridSpan w:val="7"/>
          </w:tcPr>
          <w:p>
            <w:pPr>
              <w:spacing w:after="0" w:line="176" w:lineRule="exact"/>
              <w:rPr>
                <w:sz w:val="20"/>
                <w:szCs w:val="20"/>
                <w:color w:val="auto"/>
              </w:rPr>
            </w:pPr>
            <w:r>
              <w:rPr>
                <w:rFonts w:ascii="Arial" w:cs="Arial" w:eastAsia="Arial" w:hAnsi="Arial"/>
                <w:sz w:val="18"/>
                <w:szCs w:val="18"/>
                <w:color w:val="auto"/>
              </w:rPr>
              <w:t>ended June 27, 2021 filed with the SEC on July 29, 2021 formatted in Inline Extensible Business</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00" w:type="dxa"/>
            <w:vAlign w:val="bottom"/>
            <w:gridSpan w:val="7"/>
          </w:tcPr>
          <w:p>
            <w:pPr>
              <w:spacing w:after="0" w:line="176" w:lineRule="exact"/>
              <w:rPr>
                <w:sz w:val="20"/>
                <w:szCs w:val="20"/>
                <w:color w:val="auto"/>
              </w:rPr>
            </w:pPr>
            <w:r>
              <w:rPr>
                <w:rFonts w:ascii="Arial" w:cs="Arial" w:eastAsia="Arial" w:hAnsi="Arial"/>
                <w:sz w:val="18"/>
                <w:szCs w:val="18"/>
                <w:color w:val="auto"/>
              </w:rPr>
              <w:t>Reporting Language (iXBRL); (i) the Condensed Consolidated Balance Sheets at June 27, 2021</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7900" w:type="dxa"/>
            <w:vAlign w:val="bottom"/>
            <w:gridSpan w:val="7"/>
          </w:tcPr>
          <w:p>
            <w:pPr>
              <w:spacing w:after="0" w:line="176" w:lineRule="exact"/>
              <w:rPr>
                <w:sz w:val="20"/>
                <w:szCs w:val="20"/>
                <w:color w:val="auto"/>
              </w:rPr>
            </w:pPr>
            <w:r>
              <w:rPr>
                <w:rFonts w:ascii="Arial" w:cs="Arial" w:eastAsia="Arial" w:hAnsi="Arial"/>
                <w:sz w:val="18"/>
                <w:szCs w:val="18"/>
                <w:color w:val="auto"/>
              </w:rPr>
              <w:t>and March 28, 2021, (ii) the Condensed Consolidated Statements of Income for the three months</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00" w:type="dxa"/>
            <w:vAlign w:val="bottom"/>
            <w:gridSpan w:val="7"/>
          </w:tcPr>
          <w:p>
            <w:pPr>
              <w:spacing w:after="0" w:line="176" w:lineRule="exact"/>
              <w:rPr>
                <w:sz w:val="20"/>
                <w:szCs w:val="20"/>
                <w:color w:val="auto"/>
              </w:rPr>
            </w:pPr>
            <w:r>
              <w:rPr>
                <w:rFonts w:ascii="Arial" w:cs="Arial" w:eastAsia="Arial" w:hAnsi="Arial"/>
                <w:sz w:val="18"/>
                <w:szCs w:val="18"/>
                <w:color w:val="auto"/>
              </w:rPr>
              <w:t>ended June 27, 2021 and June 28, 2020, (iii) the Condensed Consolidated Statements of</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7900" w:type="dxa"/>
            <w:vAlign w:val="bottom"/>
            <w:gridSpan w:val="7"/>
          </w:tcPr>
          <w:p>
            <w:pPr>
              <w:spacing w:after="0" w:line="176" w:lineRule="exact"/>
              <w:rPr>
                <w:sz w:val="20"/>
                <w:szCs w:val="20"/>
                <w:color w:val="auto"/>
              </w:rPr>
            </w:pPr>
            <w:r>
              <w:rPr>
                <w:rFonts w:ascii="Arial" w:cs="Arial" w:eastAsia="Arial" w:hAnsi="Arial"/>
                <w:sz w:val="18"/>
                <w:szCs w:val="18"/>
                <w:color w:val="auto"/>
              </w:rPr>
              <w:t>Comprehensive Income for the three months ended June 27, 2021 and June 28, 2020, (iv) the</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00" w:type="dxa"/>
            <w:vAlign w:val="bottom"/>
            <w:gridSpan w:val="7"/>
          </w:tcPr>
          <w:p>
            <w:pPr>
              <w:spacing w:after="0" w:line="176" w:lineRule="exact"/>
              <w:rPr>
                <w:sz w:val="20"/>
                <w:szCs w:val="20"/>
                <w:color w:val="auto"/>
              </w:rPr>
            </w:pPr>
            <w:r>
              <w:rPr>
                <w:rFonts w:ascii="Arial" w:cs="Arial" w:eastAsia="Arial" w:hAnsi="Arial"/>
                <w:sz w:val="18"/>
                <w:szCs w:val="18"/>
                <w:color w:val="auto"/>
              </w:rPr>
              <w:t>Condensed Consolidated Statements of Shareholder's Equity for the three months ended June</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00" w:type="dxa"/>
            <w:vAlign w:val="bottom"/>
            <w:gridSpan w:val="7"/>
          </w:tcPr>
          <w:p>
            <w:pPr>
              <w:spacing w:after="0" w:line="176" w:lineRule="exact"/>
              <w:rPr>
                <w:sz w:val="20"/>
                <w:szCs w:val="20"/>
                <w:color w:val="auto"/>
              </w:rPr>
            </w:pPr>
            <w:r>
              <w:rPr>
                <w:rFonts w:ascii="Arial" w:cs="Arial" w:eastAsia="Arial" w:hAnsi="Arial"/>
                <w:sz w:val="18"/>
                <w:szCs w:val="18"/>
                <w:color w:val="auto"/>
              </w:rPr>
              <w:t>27, 2021 and June 28, 2020, (v) the Condensed Consolidated Statements of Cash Flows for the</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7900" w:type="dxa"/>
            <w:vAlign w:val="bottom"/>
            <w:gridSpan w:val="7"/>
          </w:tcPr>
          <w:p>
            <w:pPr>
              <w:spacing w:after="0" w:line="176" w:lineRule="exact"/>
              <w:rPr>
                <w:sz w:val="20"/>
                <w:szCs w:val="20"/>
                <w:color w:val="auto"/>
              </w:rPr>
            </w:pPr>
            <w:r>
              <w:rPr>
                <w:rFonts w:ascii="Arial" w:cs="Arial" w:eastAsia="Arial" w:hAnsi="Arial"/>
                <w:sz w:val="18"/>
                <w:szCs w:val="18"/>
                <w:color w:val="auto"/>
              </w:rPr>
              <w:t>three months ended June 27, 2021 and June 28, 2020, and (vi) Notes to Condensed</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7"/>
        </w:trPr>
        <w:tc>
          <w:tcPr>
            <w:tcW w:w="840" w:type="dxa"/>
            <w:vAlign w:val="bottom"/>
          </w:tcPr>
          <w:p>
            <w:pPr>
              <w:spacing w:after="0"/>
              <w:rPr>
                <w:sz w:val="18"/>
                <w:szCs w:val="18"/>
                <w:color w:val="auto"/>
              </w:rPr>
            </w:pPr>
          </w:p>
        </w:tc>
        <w:tc>
          <w:tcPr>
            <w:tcW w:w="7900" w:type="dxa"/>
            <w:vAlign w:val="bottom"/>
            <w:gridSpan w:val="7"/>
          </w:tcPr>
          <w:p>
            <w:pPr>
              <w:spacing w:after="0"/>
              <w:rPr>
                <w:sz w:val="20"/>
                <w:szCs w:val="20"/>
                <w:color w:val="auto"/>
              </w:rPr>
            </w:pPr>
            <w:r>
              <w:rPr>
                <w:rFonts w:ascii="Arial" w:cs="Arial" w:eastAsia="Arial" w:hAnsi="Arial"/>
                <w:sz w:val="18"/>
                <w:szCs w:val="18"/>
                <w:color w:val="auto"/>
              </w:rPr>
              <w:t>Consolidated Financial Statements.</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790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300" w:type="dxa"/>
            <w:vAlign w:val="bottom"/>
            <w:gridSpan w:val="3"/>
          </w:tcPr>
          <w:p>
            <w:pPr>
              <w:jc w:val="center"/>
              <w:ind w:left="72"/>
              <w:spacing w:after="0"/>
              <w:rPr>
                <w:sz w:val="20"/>
                <w:szCs w:val="20"/>
                <w:color w:val="auto"/>
              </w:rPr>
            </w:pPr>
            <w:r>
              <w:rPr>
                <w:rFonts w:ascii="Arial" w:cs="Arial" w:eastAsia="Arial" w:hAnsi="Arial"/>
                <w:sz w:val="18"/>
                <w:szCs w:val="18"/>
                <w:color w:val="auto"/>
                <w:w w:val="99"/>
              </w:rPr>
              <w:t>Filed Electronically</w:t>
            </w:r>
          </w:p>
        </w:tc>
      </w:tr>
    </w:tbl>
    <w:p>
      <w:pPr>
        <w:spacing w:after="0" w:line="200" w:lineRule="exact"/>
        <w:rPr>
          <w:sz w:val="20"/>
          <w:szCs w:val="20"/>
          <w:color w:val="auto"/>
        </w:rPr>
      </w:pPr>
    </w:p>
    <w:p>
      <w:pPr>
        <w:spacing w:after="0" w:line="380" w:lineRule="exact"/>
        <w:rPr>
          <w:sz w:val="20"/>
          <w:szCs w:val="20"/>
          <w:color w:val="auto"/>
        </w:rPr>
      </w:pPr>
    </w:p>
    <w:p>
      <w:pPr>
        <w:ind w:left="580" w:right="260" w:hanging="329"/>
        <w:spacing w:after="0" w:line="250" w:lineRule="auto"/>
        <w:tabs>
          <w:tab w:leader="none" w:pos="59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Current Report on Form 8-K dated February 26, 2021 and filed March 2, 2021.</w:t>
      </w:r>
    </w:p>
    <w:p>
      <w:pPr>
        <w:ind w:left="580" w:hanging="329"/>
        <w:spacing w:after="0" w:line="261" w:lineRule="auto"/>
        <w:tabs>
          <w:tab w:leader="none" w:pos="59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8"/>
          <w:szCs w:val="18"/>
          <w:color w:val="auto"/>
        </w:rPr>
        <w:t>HAWKINS, INC.</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Jeffrey P. Oldenkamp</w:t>
            </w:r>
          </w:p>
        </w:tc>
      </w:tr>
      <w:tr>
        <w:trPr>
          <w:trHeight w:val="223"/>
        </w:trPr>
        <w:tc>
          <w:tcPr>
            <w:tcW w:w="8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8"/>
              </w:rPr>
              <w:t>Jeffrey P. Oldenkamp</w:t>
            </w:r>
          </w:p>
        </w:tc>
      </w:tr>
      <w:tr>
        <w:trPr>
          <w:trHeight w:val="229"/>
        </w:trPr>
        <w:tc>
          <w:tcPr>
            <w:tcW w:w="8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Chief Financial Officer</w:t>
            </w:r>
          </w:p>
        </w:tc>
      </w:tr>
      <w:tr>
        <w:trPr>
          <w:trHeight w:val="188"/>
        </w:trPr>
        <w:tc>
          <w:tcPr>
            <w:tcW w:w="800" w:type="dxa"/>
            <w:vAlign w:val="bottom"/>
          </w:tcPr>
          <w:p>
            <w:pPr>
              <w:spacing w:after="0"/>
              <w:rPr>
                <w:sz w:val="16"/>
                <w:szCs w:val="16"/>
                <w:color w:val="auto"/>
              </w:rPr>
            </w:pPr>
          </w:p>
        </w:tc>
        <w:tc>
          <w:tcPr>
            <w:tcW w:w="5140" w:type="dxa"/>
            <w:vAlign w:val="bottom"/>
          </w:tcPr>
          <w:p>
            <w:pPr>
              <w:jc w:val="center"/>
              <w:spacing w:after="0" w:line="189" w:lineRule="exact"/>
              <w:rPr>
                <w:sz w:val="20"/>
                <w:szCs w:val="20"/>
                <w:color w:val="auto"/>
              </w:rPr>
            </w:pPr>
            <w:r>
              <w:rPr>
                <w:rFonts w:ascii="Arial" w:cs="Arial" w:eastAsia="Arial" w:hAnsi="Arial"/>
                <w:sz w:val="18"/>
                <w:szCs w:val="18"/>
                <w:color w:val="auto"/>
              </w:rPr>
              <w:t>(On behalf of the registrant and as principal financial and</w:t>
            </w:r>
          </w:p>
        </w:tc>
      </w:tr>
      <w:tr>
        <w:trPr>
          <w:trHeight w:val="217"/>
        </w:trPr>
        <w:tc>
          <w:tcPr>
            <w:tcW w:w="80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rPr>
              <w:t>accounting officer)</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Dated: July 29, 2021</w:t>
      </w:r>
    </w:p>
    <w:p>
      <w:pPr>
        <w:sectPr>
          <w:pgSz w:w="11900" w:h="16838" w:orient="portrait"/>
          <w:cols w:equalWidth="0" w:num="1">
            <w:col w:w="11120"/>
          </w:cols>
          <w:pgMar w:left="320" w:top="886" w:right="4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3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311"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300" w:right="300" w:hanging="320"/>
        <w:spacing w:after="0" w:line="256" w:lineRule="auto"/>
        <w:tabs>
          <w:tab w:leader="none" w:pos="1315"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40" w:hanging="320"/>
        <w:spacing w:after="0" w:line="256" w:lineRule="auto"/>
        <w:tabs>
          <w:tab w:leader="none" w:pos="1311"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1300" w:right="800" w:hanging="320"/>
        <w:spacing w:after="0" w:line="261"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6350</wp:posOffset>
            </wp:positionV>
            <wp:extent cx="34207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86"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311"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1300" w:right="300" w:hanging="644"/>
        <w:spacing w:after="0" w:line="256" w:lineRule="auto"/>
        <w:tabs>
          <w:tab w:leader="none" w:pos="1315"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1300" w:right="60" w:hanging="644"/>
        <w:spacing w:after="0" w:line="256"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jc w:val="both"/>
        <w:ind w:left="1300" w:right="440" w:hanging="644"/>
        <w:spacing w:after="0" w:line="256" w:lineRule="auto"/>
        <w:tabs>
          <w:tab w:leader="none" w:pos="1311"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8"/>
          <w:szCs w:val="18"/>
          <w:color w:val="auto"/>
        </w:rPr>
      </w:pPr>
    </w:p>
    <w:p>
      <w:pPr>
        <w:ind w:left="1300" w:right="800" w:hanging="644"/>
        <w:spacing w:after="0" w:line="261"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3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33261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Oldenkamp</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886"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27, 2021,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/s/ Patrick H. Hawkins</w:t>
      </w:r>
    </w:p>
    <w:p>
      <w:pPr>
        <w:spacing w:after="0" w:line="36"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Patrick H. Hawkins</w:t>
      </w:r>
    </w:p>
    <w:p>
      <w:pPr>
        <w:spacing w:after="0" w:line="22" w:lineRule="exact"/>
        <w:rPr>
          <w:rFonts w:ascii="Arial" w:cs="Arial" w:eastAsia="Arial" w:hAnsi="Arial"/>
          <w:sz w:val="18"/>
          <w:szCs w:val="18"/>
          <w:color w:val="auto"/>
        </w:rPr>
      </w:pPr>
    </w:p>
    <w:p>
      <w:pPr>
        <w:ind w:left="80" w:right="8180"/>
        <w:spacing w:after="0" w:line="277" w:lineRule="auto"/>
        <w:rPr>
          <w:rFonts w:ascii="Arial" w:cs="Arial" w:eastAsia="Arial" w:hAnsi="Arial"/>
          <w:sz w:val="18"/>
          <w:szCs w:val="18"/>
          <w:color w:val="auto"/>
        </w:rPr>
      </w:pPr>
      <w:r>
        <w:rPr>
          <w:rFonts w:ascii="Arial" w:cs="Arial" w:eastAsia="Arial" w:hAnsi="Arial"/>
          <w:sz w:val="18"/>
          <w:szCs w:val="18"/>
          <w:color w:val="auto"/>
        </w:rPr>
        <w:t>Chief Executive Officer and President 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-464820</wp:posOffset>
            </wp:positionV>
            <wp:extent cx="2588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June 27, 2021,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/s/ Jeffrey P. Oldenkamp</w:t>
      </w:r>
    </w:p>
    <w:p>
      <w:pPr>
        <w:spacing w:after="0" w:line="36"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Jeffrey P. Oldenkamp</w:t>
      </w:r>
    </w:p>
    <w:p>
      <w:pPr>
        <w:spacing w:after="0" w:line="22" w:lineRule="exact"/>
        <w:rPr>
          <w:rFonts w:ascii="Arial" w:cs="Arial" w:eastAsia="Arial" w:hAnsi="Arial"/>
          <w:sz w:val="18"/>
          <w:szCs w:val="18"/>
          <w:color w:val="auto"/>
        </w:rPr>
      </w:pPr>
    </w:p>
    <w:p>
      <w:pPr>
        <w:ind w:left="80" w:right="6940"/>
        <w:spacing w:after="0" w:line="277" w:lineRule="auto"/>
        <w:rPr>
          <w:rFonts w:ascii="Arial" w:cs="Arial" w:eastAsia="Arial" w:hAnsi="Arial"/>
          <w:sz w:val="18"/>
          <w:szCs w:val="18"/>
          <w:color w:val="auto"/>
        </w:rPr>
      </w:pPr>
      <w:r>
        <w:rPr>
          <w:rFonts w:ascii="Arial" w:cs="Arial" w:eastAsia="Arial" w:hAnsi="Arial"/>
          <w:sz w:val="18"/>
          <w:szCs w:val="18"/>
          <w:color w:val="auto"/>
        </w:rPr>
        <w:t>Vice President, Chief Financial Officer, and Treasurer July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-464820</wp:posOffset>
            </wp:positionV>
            <wp:extent cx="32575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18" Type="http://schemas.openxmlformats.org/officeDocument/2006/relationships/hyperlink" Target="http://www.sec.gov/ix?doc=/Archives/edgar/data/46250/000004625021000019/hwkn-20210328.htm" TargetMode="External"/><Relationship Id="rId36" Type="http://schemas.openxmlformats.org/officeDocument/2006/relationships/hyperlink" Target="http://www.sec.gov/Archives/edgar/data/46250/000004625021000012/exhibit32.htm" TargetMode="External"/><Relationship Id="rId37"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2021-07-29T16:27:25Z</dcterms:created>
  <dcterms:modified xsi:type="dcterms:W3CDTF">2021-07-29T16:27:25Z</dcterms:modified>
</cp:coreProperties>
</file>