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3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3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August 2, 2018</w:t>
      </w: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7"/>
          <w:szCs w:val="37"/>
          <w:b w:val="1"/>
          <w:bCs w:val="1"/>
          <w:color w:val="auto"/>
        </w:rPr>
        <w:t>HAWKINS, INC.</w:t>
      </w:r>
    </w:p>
    <w:p>
      <w:pPr>
        <w:spacing w:after="0" w:line="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sectPr>
          <w:pgSz w:w="11900" w:h="16838" w:orient="portrait"/>
          <w:cols w:equalWidth="0" w:num="1">
            <w:col w:w="11280"/>
          </w:cols>
          <w:pgMar w:left="240" w:top="473" w:right="379" w:bottom="1440" w:gutter="0" w:footer="0" w:header="0"/>
        </w:sectPr>
      </w:pPr>
    </w:p>
    <w:p>
      <w:pPr>
        <w:spacing w:after="0" w:line="200" w:lineRule="exact"/>
        <w:rPr>
          <w:sz w:val="24"/>
          <w:szCs w:val="24"/>
          <w:color w:val="auto"/>
        </w:rPr>
      </w:pPr>
    </w:p>
    <w:p>
      <w:pPr>
        <w:spacing w:after="0" w:line="39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41-0771293</w:t>
      </w:r>
    </w:p>
    <w:p>
      <w:pPr>
        <w:spacing w:after="0" w:line="69" w:lineRule="exact"/>
        <w:rPr>
          <w:sz w:val="24"/>
          <w:szCs w:val="24"/>
          <w:color w:val="auto"/>
        </w:rPr>
      </w:pPr>
    </w:p>
    <w:p>
      <w:pPr>
        <w:sectPr>
          <w:pgSz w:w="11900" w:h="16838" w:orient="portrait"/>
          <w:cols w:equalWidth="0" w:num="3">
            <w:col w:w="4900" w:space="720"/>
            <w:col w:w="2880" w:space="720"/>
            <w:col w:w="2060"/>
          </w:cols>
          <w:pgMar w:left="240" w:top="473" w:right="37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3">
            <w:col w:w="4760" w:space="720"/>
            <w:col w:w="2920" w:space="720"/>
            <w:col w:w="2160"/>
          </w:cols>
          <w:pgMar w:left="240" w:top="473" w:right="3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2381 Rosegate</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Roseville, MN 55113</w:t>
      </w: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17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(612) 331-6910</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ectPr>
          <w:pgSz w:w="11900" w:h="16838" w:orient="portrait"/>
          <w:cols w:equalWidth="0" w:num="1">
            <w:col w:w="11280"/>
          </w:cols>
          <w:pgMar w:left="240" w:top="473" w:right="379" w:bottom="1440" w:gutter="0" w:footer="0" w:header="0"/>
          <w:type w:val="continuous"/>
        </w:sectPr>
      </w:pP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480" w:hanging="463"/>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71" w:lineRule="exact"/>
        <w:rPr>
          <w:rFonts w:ascii="MS PGothic" w:cs="MS PGothic" w:eastAsia="MS PGothic" w:hAnsi="MS PGothic"/>
          <w:sz w:val="16"/>
          <w:szCs w:val="16"/>
          <w:color w:val="auto"/>
        </w:rPr>
      </w:pPr>
    </w:p>
    <w:p>
      <w:pPr>
        <w:ind w:left="480" w:hanging="463"/>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71" w:lineRule="exact"/>
        <w:rPr>
          <w:rFonts w:ascii="MS PGothic" w:cs="MS PGothic" w:eastAsia="MS PGothic" w:hAnsi="MS PGothic"/>
          <w:sz w:val="16"/>
          <w:szCs w:val="16"/>
          <w:color w:val="auto"/>
        </w:rPr>
      </w:pPr>
    </w:p>
    <w:p>
      <w:pPr>
        <w:ind w:left="480" w:hanging="463"/>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71" w:lineRule="exact"/>
        <w:rPr>
          <w:rFonts w:ascii="MS PGothic" w:cs="MS PGothic" w:eastAsia="MS PGothic" w:hAnsi="MS PGothic"/>
          <w:sz w:val="16"/>
          <w:szCs w:val="16"/>
          <w:color w:val="auto"/>
        </w:rPr>
      </w:pPr>
    </w:p>
    <w:p>
      <w:pPr>
        <w:ind w:left="480" w:hanging="463"/>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32" w:lineRule="exact"/>
        <w:rPr>
          <w:sz w:val="24"/>
          <w:szCs w:val="24"/>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(17 CFR 230.405) or Rule 12b-2 of the Exchange Act (17 CFR 240.12b 2).</w:t>
      </w:r>
    </w:p>
    <w:p>
      <w:pPr>
        <w:spacing w:after="0" w:line="4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2" w:lineRule="exact"/>
        <w:rPr>
          <w:sz w:val="24"/>
          <w:szCs w:val="24"/>
          <w:color w:val="auto"/>
        </w:rPr>
      </w:pPr>
    </w:p>
    <w:p>
      <w:pPr>
        <w:ind w:right="460"/>
        <w:spacing w:after="0" w:line="26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80"/>
          </w:cols>
          <w:pgMar w:left="240" w:top="473" w:right="37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95" w:lineRule="exact"/>
        <w:rPr>
          <w:sz w:val="20"/>
          <w:szCs w:val="20"/>
          <w:color w:val="auto"/>
        </w:rPr>
      </w:pPr>
    </w:p>
    <w:p>
      <w:pPr>
        <w:ind w:right="260" w:firstLine="561"/>
        <w:spacing w:after="0" w:line="270" w:lineRule="auto"/>
        <w:rPr>
          <w:sz w:val="20"/>
          <w:szCs w:val="20"/>
          <w:color w:val="auto"/>
        </w:rPr>
      </w:pPr>
      <w:r>
        <w:rPr>
          <w:rFonts w:ascii="Times New Roman" w:cs="Times New Roman" w:eastAsia="Times New Roman" w:hAnsi="Times New Roman"/>
          <w:sz w:val="19"/>
          <w:szCs w:val="19"/>
          <w:color w:val="auto"/>
        </w:rPr>
        <w:t>At our annual meeting of shareholders held August 2, 2018, the following proposals, each as described in further detail in the definitive proxy statement filed by our company on June 29, 2018 (File No. 000-07647), were voted upon by our shareholders as set forth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Proposal One – Election of Directors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Our shareholders elected each of the eight nominees to our Board of Directors, based on the following votes: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Director Nominee</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62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Broker Non-Vote</w:t>
            </w:r>
          </w:p>
        </w:tc>
      </w:tr>
      <w:tr>
        <w:trPr>
          <w:trHeight w:val="24"/>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0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John S. McKeon</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7,686,406</w:t>
            </w:r>
          </w:p>
        </w:tc>
        <w:tc>
          <w:tcPr>
            <w:tcW w:w="12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236,997</w:t>
            </w:r>
          </w:p>
        </w:tc>
        <w:tc>
          <w:tcPr>
            <w:tcW w:w="10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Patrick H. Hawkins</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7,789,434</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133,969</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A. Faulconbridge</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7,627,557</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295,846</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Duane M. Jergenson</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7,828,366</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95,037</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 J. Schumacher</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7,815,476</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107,927</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Daniel J. Stauber</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7,632,723</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290,680</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T. Thompson</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7,716,429</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206,974</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Jeffrey L. Wright</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7,556,513</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366,890</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Proposal Two – Approval of Amendment to Employee Stock Purchase Plan</w:t>
      </w:r>
    </w:p>
    <w:p>
      <w:pPr>
        <w:spacing w:after="0" w:line="382" w:lineRule="exact"/>
        <w:rPr>
          <w:sz w:val="20"/>
          <w:szCs w:val="20"/>
          <w:color w:val="auto"/>
        </w:rPr>
      </w:pPr>
    </w:p>
    <w:p>
      <w:pPr>
        <w:ind w:right="100" w:firstLine="561"/>
        <w:spacing w:after="0" w:line="270" w:lineRule="auto"/>
        <w:rPr>
          <w:sz w:val="20"/>
          <w:szCs w:val="20"/>
          <w:color w:val="auto"/>
        </w:rPr>
      </w:pPr>
      <w:r>
        <w:rPr>
          <w:rFonts w:ascii="Times New Roman" w:cs="Times New Roman" w:eastAsia="Times New Roman" w:hAnsi="Times New Roman"/>
          <w:sz w:val="19"/>
          <w:szCs w:val="19"/>
          <w:color w:val="auto"/>
        </w:rPr>
        <w:t>Our shareholders approved an amendment to the Company’s Employee Stock Purchase Plan to increase the number of shares of Common Stock reserved for issuance thereunder by 250,000 shares, based on the votes listed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Broker Non-Vote</w:t>
            </w:r>
          </w:p>
        </w:tc>
      </w:tr>
      <w:tr>
        <w:trPr>
          <w:trHeight w:val="24"/>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01"/>
        </w:trPr>
        <w:tc>
          <w:tcPr>
            <w:tcW w:w="2860" w:type="dxa"/>
            <w:vAlign w:val="bottom"/>
          </w:tcPr>
          <w:p>
            <w:pPr>
              <w:jc w:val="right"/>
              <w:ind w:right="1042"/>
              <w:spacing w:after="0"/>
              <w:rPr>
                <w:sz w:val="20"/>
                <w:szCs w:val="20"/>
                <w:color w:val="auto"/>
              </w:rPr>
            </w:pPr>
            <w:r>
              <w:rPr>
                <w:rFonts w:ascii="Times New Roman" w:cs="Times New Roman" w:eastAsia="Times New Roman" w:hAnsi="Times New Roman"/>
                <w:sz w:val="16"/>
                <w:szCs w:val="16"/>
                <w:color w:val="auto"/>
              </w:rPr>
              <w:t>7,646,786</w:t>
            </w:r>
          </w:p>
        </w:tc>
        <w:tc>
          <w:tcPr>
            <w:tcW w:w="120" w:type="dxa"/>
            <w:vAlign w:val="bottom"/>
          </w:tcPr>
          <w:p>
            <w:pPr>
              <w:spacing w:after="0"/>
              <w:rPr>
                <w:sz w:val="17"/>
                <w:szCs w:val="17"/>
                <w:color w:val="auto"/>
              </w:rPr>
            </w:pPr>
          </w:p>
        </w:tc>
        <w:tc>
          <w:tcPr>
            <w:tcW w:w="2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264,455</w:t>
            </w:r>
          </w:p>
        </w:tc>
        <w:tc>
          <w:tcPr>
            <w:tcW w:w="120" w:type="dxa"/>
            <w:vAlign w:val="bottom"/>
          </w:tcPr>
          <w:p>
            <w:pPr>
              <w:spacing w:after="0"/>
              <w:rPr>
                <w:sz w:val="17"/>
                <w:szCs w:val="17"/>
                <w:color w:val="auto"/>
              </w:rPr>
            </w:pPr>
          </w:p>
        </w:tc>
        <w:tc>
          <w:tcPr>
            <w:tcW w:w="2740" w:type="dxa"/>
            <w:vAlign w:val="bottom"/>
          </w:tcPr>
          <w:p>
            <w:pPr>
              <w:jc w:val="right"/>
              <w:ind w:right="1082"/>
              <w:spacing w:after="0"/>
              <w:rPr>
                <w:sz w:val="20"/>
                <w:szCs w:val="20"/>
                <w:color w:val="auto"/>
              </w:rPr>
            </w:pPr>
            <w:r>
              <w:rPr>
                <w:rFonts w:ascii="Times New Roman" w:cs="Times New Roman" w:eastAsia="Times New Roman" w:hAnsi="Times New Roman"/>
                <w:sz w:val="16"/>
                <w:szCs w:val="16"/>
                <w:color w:val="auto"/>
              </w:rPr>
              <w:t>12,162</w:t>
            </w:r>
          </w:p>
        </w:tc>
        <w:tc>
          <w:tcPr>
            <w:tcW w:w="12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Proposal Three – Advisory Vote to Approve Executive Compensation</w:t>
      </w:r>
    </w:p>
    <w:p>
      <w:pPr>
        <w:spacing w:after="0" w:line="195" w:lineRule="exact"/>
        <w:rPr>
          <w:sz w:val="20"/>
          <w:szCs w:val="20"/>
          <w:color w:val="auto"/>
        </w:rPr>
      </w:pPr>
    </w:p>
    <w:p>
      <w:pPr>
        <w:ind w:right="720" w:firstLine="561"/>
        <w:spacing w:after="0" w:line="270" w:lineRule="auto"/>
        <w:rPr>
          <w:sz w:val="20"/>
          <w:szCs w:val="20"/>
          <w:color w:val="auto"/>
        </w:rPr>
      </w:pPr>
      <w:r>
        <w:rPr>
          <w:rFonts w:ascii="Times New Roman" w:cs="Times New Roman" w:eastAsia="Times New Roman" w:hAnsi="Times New Roman"/>
          <w:sz w:val="19"/>
          <w:szCs w:val="19"/>
          <w:color w:val="auto"/>
        </w:rPr>
        <w:t>Our shareholders approved, on an advisory basis, the compensation of our executive officers as disclosed in the above-referenced proxy statement, based on the votes listed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Broker Non-Vote</w:t>
            </w:r>
          </w:p>
        </w:tc>
      </w:tr>
      <w:tr>
        <w:trPr>
          <w:trHeight w:val="24"/>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01"/>
        </w:trPr>
        <w:tc>
          <w:tcPr>
            <w:tcW w:w="2860" w:type="dxa"/>
            <w:vAlign w:val="bottom"/>
          </w:tcPr>
          <w:p>
            <w:pPr>
              <w:jc w:val="right"/>
              <w:ind w:right="1042"/>
              <w:spacing w:after="0"/>
              <w:rPr>
                <w:sz w:val="20"/>
                <w:szCs w:val="20"/>
                <w:color w:val="auto"/>
              </w:rPr>
            </w:pPr>
            <w:r>
              <w:rPr>
                <w:rFonts w:ascii="Times New Roman" w:cs="Times New Roman" w:eastAsia="Times New Roman" w:hAnsi="Times New Roman"/>
                <w:sz w:val="16"/>
                <w:szCs w:val="16"/>
                <w:color w:val="auto"/>
              </w:rPr>
              <w:t>7,511,041</w:t>
            </w:r>
          </w:p>
        </w:tc>
        <w:tc>
          <w:tcPr>
            <w:tcW w:w="120" w:type="dxa"/>
            <w:vAlign w:val="bottom"/>
          </w:tcPr>
          <w:p>
            <w:pPr>
              <w:spacing w:after="0"/>
              <w:rPr>
                <w:sz w:val="17"/>
                <w:szCs w:val="17"/>
                <w:color w:val="auto"/>
              </w:rPr>
            </w:pPr>
          </w:p>
        </w:tc>
        <w:tc>
          <w:tcPr>
            <w:tcW w:w="27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379,465</w:t>
            </w:r>
          </w:p>
        </w:tc>
        <w:tc>
          <w:tcPr>
            <w:tcW w:w="120" w:type="dxa"/>
            <w:vAlign w:val="bottom"/>
          </w:tcPr>
          <w:p>
            <w:pPr>
              <w:spacing w:after="0"/>
              <w:rPr>
                <w:sz w:val="17"/>
                <w:szCs w:val="17"/>
                <w:color w:val="auto"/>
              </w:rPr>
            </w:pPr>
          </w:p>
        </w:tc>
        <w:tc>
          <w:tcPr>
            <w:tcW w:w="2740" w:type="dxa"/>
            <w:vAlign w:val="bottom"/>
          </w:tcPr>
          <w:p>
            <w:pPr>
              <w:jc w:val="right"/>
              <w:ind w:right="1082"/>
              <w:spacing w:after="0"/>
              <w:rPr>
                <w:sz w:val="20"/>
                <w:szCs w:val="20"/>
                <w:color w:val="auto"/>
              </w:rPr>
            </w:pPr>
            <w:r>
              <w:rPr>
                <w:rFonts w:ascii="Times New Roman" w:cs="Times New Roman" w:eastAsia="Times New Roman" w:hAnsi="Times New Roman"/>
                <w:sz w:val="16"/>
                <w:szCs w:val="16"/>
                <w:color w:val="auto"/>
              </w:rPr>
              <w:t>32,897</w:t>
            </w:r>
          </w:p>
        </w:tc>
        <w:tc>
          <w:tcPr>
            <w:tcW w:w="12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ectPr>
          <w:pgSz w:w="11900" w:h="16838" w:orient="portrait"/>
          <w:cols w:equalWidth="0" w:num="1">
            <w:col w:w="11440"/>
          </w:cols>
          <w:pgMar w:left="240" w:top="755"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color w:val="auto"/>
        </w:rPr>
        <w:t>SIGNATURES</w:t>
      </w:r>
    </w:p>
    <w:p>
      <w:pPr>
        <w:spacing w:after="0" w:line="191" w:lineRule="exact"/>
        <w:rPr>
          <w:sz w:val="20"/>
          <w:szCs w:val="20"/>
          <w:color w:val="auto"/>
        </w:rPr>
      </w:pPr>
    </w:p>
    <w:p>
      <w:pPr>
        <w:ind w:firstLine="561"/>
        <w:spacing w:after="0" w:line="270"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color w:val="auto"/>
        </w:rPr>
        <w:t>HAWKINS, INC.</w:t>
      </w:r>
    </w:p>
    <w:p>
      <w:pPr>
        <w:spacing w:after="0" w:line="30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HAWKINS, INC.</w:t>
      </w:r>
    </w:p>
    <w:p>
      <w:pPr>
        <w:sectPr>
          <w:pgSz w:w="11900" w:h="16838" w:orient="portrait"/>
          <w:cols w:equalWidth="0" w:num="1">
            <w:col w:w="11440"/>
          </w:cols>
          <w:pgMar w:left="240" w:top="561" w:right="219" w:bottom="1440" w:gutter="0" w:footer="0" w:header="0"/>
        </w:sectPr>
      </w:pPr>
    </w:p>
    <w:p>
      <w:pPr>
        <w:spacing w:after="0" w:line="15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Date: August 7, 2018</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4"/>
          <w:szCs w:val="14"/>
          <w:color w:val="auto"/>
        </w:rPr>
        <w:t>/s/Richard G. Erstad</w:t>
      </w:r>
    </w:p>
    <w:p>
      <w:pPr>
        <w:spacing w:after="0" w:line="7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6"/>
          <w:szCs w:val="16"/>
          <w:color w:val="auto"/>
        </w:rPr>
        <w:t>Richard G. Erstad</w:t>
      </w:r>
    </w:p>
    <w:p>
      <w:pPr>
        <w:spacing w:after="0" w:line="50" w:lineRule="exact"/>
        <w:rPr>
          <w:sz w:val="20"/>
          <w:szCs w:val="20"/>
          <w:color w:val="auto"/>
        </w:rPr>
      </w:pPr>
    </w:p>
    <w:p>
      <w:pPr>
        <w:sectPr>
          <w:pgSz w:w="11900" w:h="16838" w:orient="portrait"/>
          <w:cols w:equalWidth="0" w:num="3">
            <w:col w:w="6900" w:space="720"/>
            <w:col w:w="800" w:space="720"/>
            <w:col w:w="2300"/>
          </w:cols>
          <w:pgMar w:left="240" w:top="561" w:right="219" w:bottom="1440" w:gutter="0" w:footer="0" w:header="0"/>
          <w:type w:val="continuous"/>
        </w:sectPr>
      </w:pPr>
    </w:p>
    <w:p>
      <w:pPr>
        <w:ind w:left="8040"/>
        <w:spacing w:after="0"/>
        <w:rPr>
          <w:sz w:val="20"/>
          <w:szCs w:val="20"/>
          <w:color w:val="auto"/>
        </w:rPr>
      </w:pPr>
      <w:r>
        <w:rPr>
          <w:rFonts w:ascii="Times New Roman" w:cs="Times New Roman" w:eastAsia="Times New Roman" w:hAnsi="Times New Roman"/>
          <w:sz w:val="14"/>
          <w:szCs w:val="14"/>
          <w:color w:val="auto"/>
        </w:rPr>
        <w:t>Vice President, General Counsel and Secretary</w:t>
      </w:r>
    </w:p>
    <w:sectPr>
      <w:pgSz w:w="11900" w:h="16838" w:orient="portrait"/>
      <w:cols w:equalWidth="0" w:num="1">
        <w:col w:w="11440"/>
      </w:cols>
      <w:pgMar w:left="240" w:top="561"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2019-12-05T06:16:06Z</dcterms:created>
  <dcterms:modified xsi:type="dcterms:W3CDTF">2019-12-05T06:16:06Z</dcterms:modified>
</cp:coreProperties>
</file>