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322820" cy="5582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58228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900"/>
          </w:cols>
          <w:pgMar w:left="240" w:top="220"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Erstad Richard G</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3100 EAST HENNEPIN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u w:val="single" w:color="auto"/>
            <w:color w:val="0000EE"/>
          </w:rPr>
          <w:t>HAWKINS INC</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HWKN</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30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08/06/2012</w:t>
      </w:r>
    </w:p>
    <w:p>
      <w:pPr>
        <w:spacing w:after="0" w:line="20" w:lineRule="exact"/>
        <w:rPr>
          <w:sz w:val="24"/>
          <w:szCs w:val="24"/>
          <w:color w:val="auto"/>
        </w:rPr>
      </w:pPr>
      <w:r>
        <w:rPr>
          <w:sz w:val="24"/>
          <w:szCs w:val="24"/>
          <w:color w:val="auto"/>
        </w:rPr>
        <w:br w:type="column"/>
      </w:r>
    </w:p>
    <w:p>
      <w:pPr>
        <w:ind w:left="3" w:right="6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 w:lineRule="exact"/>
        <w:rPr>
          <w:sz w:val="24"/>
          <w:szCs w:val="24"/>
          <w:color w:val="auto"/>
        </w:rPr>
      </w:pPr>
    </w:p>
    <w:tbl>
      <w:tblPr>
        <w:tblLayout w:type="fixed"/>
        <w:tblInd w:w="20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71"/>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663"/>
        <w:spacing w:after="0"/>
        <w:rPr>
          <w:sz w:val="20"/>
          <w:szCs w:val="20"/>
          <w:color w:val="auto"/>
        </w:rPr>
      </w:pPr>
      <w:r>
        <w:rPr>
          <w:rFonts w:ascii="Times New Roman" w:cs="Times New Roman" w:eastAsia="Times New Roman" w:hAnsi="Times New Roman"/>
          <w:sz w:val="18"/>
          <w:szCs w:val="18"/>
          <w:color w:val="0000FF"/>
        </w:rPr>
        <w:t>VP, General Counsel &amp; Sec</w:t>
      </w:r>
    </w:p>
    <w:p>
      <w:pPr>
        <w:spacing w:after="0" w:line="317" w:lineRule="exact"/>
        <w:rPr>
          <w:sz w:val="24"/>
          <w:szCs w:val="24"/>
          <w:color w:val="auto"/>
        </w:rPr>
      </w:pPr>
    </w:p>
    <w:p>
      <w:pPr>
        <w:sectPr>
          <w:pgSz w:w="11900" w:h="16838" w:orient="portrait"/>
          <w:cols w:equalWidth="0" w:num="3">
            <w:col w:w="3360" w:space="720"/>
            <w:col w:w="3257" w:space="720"/>
            <w:col w:w="3463"/>
          </w:cols>
          <w:pgMar w:left="240" w:top="220" w:right="13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MINNEAPOLIS MN</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55413</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305" w:lineRule="exact"/>
        <w:rPr>
          <w:sz w:val="24"/>
          <w:szCs w:val="24"/>
          <w:color w:val="auto"/>
        </w:rPr>
      </w:pPr>
    </w:p>
    <w:p>
      <w:pPr>
        <w:sectPr>
          <w:pgSz w:w="11900" w:h="16838" w:orient="portrait"/>
          <w:cols w:equalWidth="0" w:num="2">
            <w:col w:w="3920" w:space="160"/>
            <w:col w:w="7440"/>
          </w:cols>
          <w:pgMar w:left="240" w:top="220"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22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2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0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 or</w:t>
            </w: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3"/>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vMerge w:val="continue"/>
          </w:tcPr>
          <w:p>
            <w:pPr>
              <w:spacing w:after="0"/>
              <w:rPr>
                <w:sz w:val="11"/>
                <w:szCs w:val="11"/>
                <w:color w:val="auto"/>
              </w:rPr>
            </w:pPr>
          </w:p>
        </w:tc>
        <w:tc>
          <w:tcPr>
            <w:tcW w:w="6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3"/>
                <w:szCs w:val="23"/>
                <w:color w:val="auto"/>
              </w:rPr>
            </w:pPr>
          </w:p>
        </w:tc>
        <w:tc>
          <w:tcPr>
            <w:tcW w:w="158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0000FF"/>
              </w:rPr>
              <w:t>08/06/2012</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4"/>
                <w:szCs w:val="14"/>
                <w:color w:val="0000FF"/>
              </w:rPr>
              <w:t>M</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3"/>
              </w:rPr>
              <w:t>9,333</w:t>
            </w:r>
          </w:p>
        </w:tc>
        <w:tc>
          <w:tcPr>
            <w:tcW w:w="580" w:type="dxa"/>
            <w:vAlign w:val="bottom"/>
          </w:tcPr>
          <w:p>
            <w:pPr>
              <w:ind w:left="220"/>
              <w:spacing w:after="0"/>
              <w:rPr>
                <w:sz w:val="20"/>
                <w:szCs w:val="20"/>
                <w:color w:val="auto"/>
              </w:rPr>
            </w:pPr>
            <w:r>
              <w:rPr>
                <w:rFonts w:ascii="Times New Roman" w:cs="Times New Roman" w:eastAsia="Times New Roman" w:hAnsi="Times New Roman"/>
                <w:sz w:val="18"/>
                <w:szCs w:val="18"/>
                <w:color w:val="0000FF"/>
              </w:rPr>
              <w:t>A</w:t>
            </w:r>
          </w:p>
        </w:tc>
        <w:tc>
          <w:tcPr>
            <w:tcW w:w="680" w:type="dxa"/>
            <w:vAlign w:val="bottom"/>
          </w:tcPr>
          <w:p>
            <w:pPr>
              <w:jc w:val="center"/>
              <w:ind w:left="88"/>
              <w:spacing w:after="0"/>
              <w:rPr>
                <w:sz w:val="20"/>
                <w:szCs w:val="20"/>
                <w:color w:val="auto"/>
              </w:rPr>
            </w:pPr>
            <w:r>
              <w:rPr>
                <w:rFonts w:ascii="Arial" w:cs="Arial" w:eastAsia="Arial" w:hAnsi="Arial"/>
                <w:sz w:val="18"/>
                <w:szCs w:val="18"/>
                <w:color w:val="auto"/>
                <w:w w:val="96"/>
              </w:rPr>
              <w:t>$</w:t>
            </w:r>
            <w:r>
              <w:rPr>
                <w:rFonts w:ascii="Times New Roman" w:cs="Times New Roman" w:eastAsia="Times New Roman" w:hAnsi="Times New Roman"/>
                <w:sz w:val="18"/>
                <w:szCs w:val="18"/>
                <w:color w:val="0000FF"/>
                <w:w w:val="96"/>
              </w:rPr>
              <w:t>19.9</w:t>
            </w: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gridSpan w:val="2"/>
          </w:tcPr>
          <w:p>
            <w:pPr>
              <w:jc w:val="right"/>
              <w:ind w:right="319"/>
              <w:spacing w:after="0"/>
              <w:rPr>
                <w:sz w:val="20"/>
                <w:szCs w:val="20"/>
                <w:color w:val="auto"/>
              </w:rPr>
            </w:pPr>
            <w:r>
              <w:rPr>
                <w:rFonts w:ascii="Times New Roman" w:cs="Times New Roman" w:eastAsia="Times New Roman" w:hAnsi="Times New Roman"/>
                <w:sz w:val="18"/>
                <w:szCs w:val="18"/>
                <w:color w:val="0000FF"/>
                <w:w w:val="96"/>
              </w:rPr>
              <w:t>20,553</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right"/>
              <w:ind w:right="118"/>
              <w:spacing w:after="0"/>
              <w:rPr>
                <w:sz w:val="20"/>
                <w:szCs w:val="20"/>
                <w:color w:val="auto"/>
              </w:rPr>
            </w:pPr>
            <w:r>
              <w:rPr>
                <w:rFonts w:ascii="Times New Roman" w:cs="Times New Roman" w:eastAsia="Times New Roman" w:hAnsi="Times New Roman"/>
                <w:sz w:val="18"/>
                <w:szCs w:val="18"/>
                <w:color w:val="0000FF"/>
              </w:rPr>
              <w:t>08/06/2012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4"/>
                <w:szCs w:val="14"/>
                <w:color w:val="0000FF"/>
              </w:rPr>
              <w:t>S</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3"/>
              </w:rPr>
              <w:t>4,913</w:t>
            </w:r>
          </w:p>
        </w:tc>
        <w:tc>
          <w:tcPr>
            <w:tcW w:w="5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8"/>
                <w:szCs w:val="18"/>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3"/>
              </w:rPr>
              <w:t>$</w:t>
            </w:r>
            <w:r>
              <w:rPr>
                <w:rFonts w:ascii="Times New Roman" w:cs="Times New Roman" w:eastAsia="Times New Roman" w:hAnsi="Times New Roman"/>
                <w:sz w:val="18"/>
                <w:szCs w:val="18"/>
                <w:color w:val="0000FF"/>
                <w:w w:val="93"/>
              </w:rPr>
              <w:t>38.6339</w:t>
            </w:r>
            <w:r>
              <w:rPr>
                <w:rFonts w:ascii="Times New Roman" w:cs="Times New Roman" w:eastAsia="Times New Roman" w:hAnsi="Times New Roman"/>
                <w:sz w:val="22"/>
                <w:szCs w:val="22"/>
                <w:color w:val="008000"/>
                <w:w w:val="93"/>
                <w:vertAlign w:val="superscript"/>
              </w:rPr>
              <w:t>(1)</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19"/>
              <w:spacing w:after="0"/>
              <w:rPr>
                <w:sz w:val="20"/>
                <w:szCs w:val="20"/>
                <w:color w:val="auto"/>
              </w:rPr>
            </w:pPr>
            <w:r>
              <w:rPr>
                <w:rFonts w:ascii="Times New Roman" w:cs="Times New Roman" w:eastAsia="Times New Roman" w:hAnsi="Times New Roman"/>
                <w:sz w:val="18"/>
                <w:szCs w:val="18"/>
                <w:color w:val="0000FF"/>
                <w:w w:val="96"/>
              </w:rPr>
              <w:t>15,640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right"/>
              <w:ind w:right="118"/>
              <w:spacing w:after="0"/>
              <w:rPr>
                <w:sz w:val="20"/>
                <w:szCs w:val="20"/>
                <w:color w:val="auto"/>
              </w:rPr>
            </w:pPr>
            <w:r>
              <w:rPr>
                <w:rFonts w:ascii="Times New Roman" w:cs="Times New Roman" w:eastAsia="Times New Roman" w:hAnsi="Times New Roman"/>
                <w:sz w:val="18"/>
                <w:szCs w:val="18"/>
                <w:color w:val="0000FF"/>
              </w:rPr>
              <w:t>08/07/2012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4"/>
                <w:szCs w:val="14"/>
                <w:color w:val="0000FF"/>
              </w:rPr>
              <w:t>S</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3"/>
              </w:rPr>
              <w:t>4,420</w:t>
            </w:r>
          </w:p>
        </w:tc>
        <w:tc>
          <w:tcPr>
            <w:tcW w:w="5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8"/>
                <w:szCs w:val="18"/>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3"/>
              </w:rPr>
              <w:t>$</w:t>
            </w:r>
            <w:r>
              <w:rPr>
                <w:rFonts w:ascii="Times New Roman" w:cs="Times New Roman" w:eastAsia="Times New Roman" w:hAnsi="Times New Roman"/>
                <w:sz w:val="18"/>
                <w:szCs w:val="18"/>
                <w:color w:val="0000FF"/>
                <w:w w:val="93"/>
              </w:rPr>
              <w:t>37.4072</w:t>
            </w:r>
            <w:r>
              <w:rPr>
                <w:rFonts w:ascii="Times New Roman" w:cs="Times New Roman" w:eastAsia="Times New Roman" w:hAnsi="Times New Roman"/>
                <w:sz w:val="22"/>
                <w:szCs w:val="22"/>
                <w:color w:val="008000"/>
                <w:w w:val="93"/>
                <w:vertAlign w:val="superscript"/>
              </w:rPr>
              <w:t>(2)</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19"/>
              <w:spacing w:after="0"/>
              <w:rPr>
                <w:sz w:val="20"/>
                <w:szCs w:val="20"/>
                <w:color w:val="auto"/>
              </w:rPr>
            </w:pPr>
            <w:r>
              <w:rPr>
                <w:rFonts w:ascii="Times New Roman" w:cs="Times New Roman" w:eastAsia="Times New Roman" w:hAnsi="Times New Roman"/>
                <w:sz w:val="18"/>
                <w:szCs w:val="18"/>
                <w:color w:val="0000FF"/>
                <w:w w:val="96"/>
              </w:rPr>
              <w:t>11,220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580" w:type="dxa"/>
            <w:vAlign w:val="bottom"/>
            <w:gridSpan w:val="8"/>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Security</w:t>
            </w:r>
          </w:p>
        </w:tc>
        <w:tc>
          <w:tcPr>
            <w:tcW w:w="18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5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(Instr. 5)</w:t>
            </w:r>
          </w:p>
        </w:tc>
        <w:tc>
          <w:tcPr>
            <w:tcW w:w="18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8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vMerge w:val="continue"/>
          </w:tcPr>
          <w:p>
            <w:pPr>
              <w:spacing w:after="0"/>
              <w:rPr>
                <w:sz w:val="14"/>
                <w:szCs w:val="14"/>
                <w:color w:val="auto"/>
              </w:rPr>
            </w:pP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Option</w:t>
            </w:r>
          </w:p>
        </w:tc>
        <w:tc>
          <w:tcPr>
            <w:tcW w:w="82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19.9</w:t>
            </w:r>
          </w:p>
        </w:tc>
        <w:tc>
          <w:tcPr>
            <w:tcW w:w="1140" w:type="dxa"/>
            <w:vAlign w:val="bottom"/>
          </w:tcPr>
          <w:p>
            <w:pPr>
              <w:ind w:left="260"/>
              <w:spacing w:after="0"/>
              <w:rPr>
                <w:sz w:val="20"/>
                <w:szCs w:val="20"/>
                <w:color w:val="auto"/>
              </w:rPr>
            </w:pPr>
            <w:r>
              <w:rPr>
                <w:rFonts w:ascii="Times New Roman" w:cs="Times New Roman" w:eastAsia="Times New Roman" w:hAnsi="Times New Roman"/>
                <w:sz w:val="14"/>
                <w:szCs w:val="14"/>
                <w:color w:val="0000FF"/>
              </w:rPr>
              <w:t>08/06/2012</w:t>
            </w:r>
          </w:p>
        </w:tc>
        <w:tc>
          <w:tcPr>
            <w:tcW w:w="1140" w:type="dxa"/>
            <w:vAlign w:val="bottom"/>
          </w:tcPr>
          <w:p>
            <w:pPr>
              <w:spacing w:after="0"/>
              <w:rPr>
                <w:sz w:val="17"/>
                <w:szCs w:val="17"/>
                <w:color w:val="auto"/>
              </w:rPr>
            </w:pPr>
          </w:p>
        </w:tc>
        <w:tc>
          <w:tcPr>
            <w:tcW w:w="440" w:type="dxa"/>
            <w:vAlign w:val="bottom"/>
          </w:tcPr>
          <w:p>
            <w:pPr>
              <w:jc w:val="right"/>
              <w:ind w:right="98"/>
              <w:spacing w:after="0"/>
              <w:rPr>
                <w:sz w:val="20"/>
                <w:szCs w:val="20"/>
                <w:color w:val="auto"/>
              </w:rPr>
            </w:pPr>
            <w:r>
              <w:rPr>
                <w:rFonts w:ascii="Times New Roman" w:cs="Times New Roman" w:eastAsia="Times New Roman" w:hAnsi="Times New Roman"/>
                <w:sz w:val="14"/>
                <w:szCs w:val="14"/>
                <w:color w:val="0000FF"/>
              </w:rPr>
              <w:t>M</w:t>
            </w:r>
          </w:p>
        </w:tc>
        <w:tc>
          <w:tcPr>
            <w:tcW w:w="420" w:type="dxa"/>
            <w:vAlign w:val="bottom"/>
          </w:tcPr>
          <w:p>
            <w:pPr>
              <w:spacing w:after="0"/>
              <w:rPr>
                <w:sz w:val="17"/>
                <w:szCs w:val="17"/>
                <w:color w:val="auto"/>
              </w:rPr>
            </w:pPr>
          </w:p>
        </w:tc>
        <w:tc>
          <w:tcPr>
            <w:tcW w:w="720" w:type="dxa"/>
            <w:vAlign w:val="bottom"/>
          </w:tcPr>
          <w:p>
            <w:pPr>
              <w:ind w:left="360"/>
              <w:spacing w:after="0"/>
              <w:rPr>
                <w:sz w:val="20"/>
                <w:szCs w:val="20"/>
                <w:color w:val="auto"/>
              </w:rPr>
            </w:pPr>
            <w:r>
              <w:rPr>
                <w:rFonts w:ascii="Times New Roman" w:cs="Times New Roman" w:eastAsia="Times New Roman" w:hAnsi="Times New Roman"/>
                <w:sz w:val="14"/>
                <w:szCs w:val="14"/>
                <w:color w:val="0000FF"/>
              </w:rPr>
              <w:t>9,333</w:t>
            </w:r>
          </w:p>
        </w:tc>
        <w:tc>
          <w:tcPr>
            <w:tcW w:w="820" w:type="dxa"/>
            <w:vAlign w:val="bottom"/>
          </w:tcPr>
          <w:p>
            <w:pPr>
              <w:ind w:left="120"/>
              <w:spacing w:after="0"/>
              <w:rPr>
                <w:sz w:val="20"/>
                <w:szCs w:val="20"/>
                <w:color w:val="auto"/>
              </w:rPr>
            </w:pPr>
            <w:r>
              <w:rPr>
                <w:rFonts w:ascii="Times New Roman" w:cs="Times New Roman" w:eastAsia="Times New Roman" w:hAnsi="Times New Roman"/>
                <w:sz w:val="14"/>
                <w:szCs w:val="14"/>
                <w:color w:val="0000FF"/>
              </w:rPr>
              <w:t>06/10/2012</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3"/>
              </w:rPr>
              <w:t>06/10/2019</w:t>
            </w:r>
          </w:p>
        </w:tc>
        <w:tc>
          <w:tcPr>
            <w:tcW w:w="580" w:type="dxa"/>
            <w:vAlign w:val="bottom"/>
          </w:tcPr>
          <w:p>
            <w:pPr>
              <w:ind w:left="80"/>
              <w:spacing w:after="0"/>
              <w:rPr>
                <w:sz w:val="20"/>
                <w:szCs w:val="20"/>
                <w:color w:val="auto"/>
              </w:rPr>
            </w:pPr>
            <w:r>
              <w:rPr>
                <w:rFonts w:ascii="Times New Roman" w:cs="Times New Roman" w:eastAsia="Times New Roman" w:hAnsi="Times New Roman"/>
                <w:sz w:val="14"/>
                <w:szCs w:val="14"/>
                <w:color w:val="0000FF"/>
                <w:w w:val="91"/>
              </w:rPr>
              <w:t>Common</w:t>
            </w:r>
          </w:p>
        </w:tc>
        <w:tc>
          <w:tcPr>
            <w:tcW w:w="68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0000FF"/>
              </w:rPr>
              <w:t>9,333</w:t>
            </w:r>
          </w:p>
        </w:tc>
        <w:tc>
          <w:tcPr>
            <w:tcW w:w="54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180" w:type="dxa"/>
            <w:vAlign w:val="bottom"/>
          </w:tcPr>
          <w:p>
            <w:pPr>
              <w:spacing w:after="0"/>
              <w:rPr>
                <w:sz w:val="17"/>
                <w:szCs w:val="17"/>
                <w:color w:val="auto"/>
              </w:rPr>
            </w:pPr>
          </w:p>
        </w:tc>
        <w:tc>
          <w:tcPr>
            <w:tcW w:w="700" w:type="dxa"/>
            <w:vAlign w:val="bottom"/>
          </w:tcPr>
          <w:p>
            <w:pPr>
              <w:ind w:left="460"/>
              <w:spacing w:after="0"/>
              <w:rPr>
                <w:sz w:val="20"/>
                <w:szCs w:val="20"/>
                <w:color w:val="auto"/>
              </w:rPr>
            </w:pPr>
            <w:r>
              <w:rPr>
                <w:rFonts w:ascii="Times New Roman" w:cs="Times New Roman" w:eastAsia="Times New Roman" w:hAnsi="Times New Roman"/>
                <w:sz w:val="14"/>
                <w:szCs w:val="14"/>
                <w:color w:val="0000FF"/>
              </w:rPr>
              <w:t>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Times New Roman" w:cs="Times New Roman" w:eastAsia="Times New Roman" w:hAnsi="Times New Roman"/>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Times New Roman" w:cs="Times New Roman" w:eastAsia="Times New Roman" w:hAnsi="Times New Roman"/>
                <w:sz w:val="12"/>
                <w:szCs w:val="12"/>
                <w:color w:val="0000FF"/>
              </w:rPr>
              <w:t>(right to</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ind w:left="160"/>
              <w:spacing w:after="0" w:line="110" w:lineRule="exact"/>
              <w:rPr>
                <w:sz w:val="20"/>
                <w:szCs w:val="20"/>
                <w:color w:val="auto"/>
              </w:rPr>
            </w:pPr>
            <w:r>
              <w:rPr>
                <w:rFonts w:ascii="Times New Roman" w:cs="Times New Roman" w:eastAsia="Times New Roman" w:hAnsi="Times New Roman"/>
                <w:sz w:val="12"/>
                <w:szCs w:val="12"/>
                <w:color w:val="0000FF"/>
              </w:rPr>
              <w:t>Stock</w:t>
            </w: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4"/>
          <w:szCs w:val="14"/>
          <w:color w:val="0000FF"/>
        </w:rPr>
        <w:t>buy)</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4"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Reflects the weighted average price of 4,913 shares of common stock of the Issuer sold by reporting person in multiple transactions on August 6, 2012 with the sale prices ranging from $38.50 to $39.59 per share. The reporting person undertakes to provide upon request by the U.S. Securities Exchange Commission staff, the Issuer, or a securityholder of the Issuer, full information regarding the number of shares sold at each separate price.</w:t>
      </w:r>
    </w:p>
    <w:p>
      <w:pPr>
        <w:spacing w:after="0" w:line="28" w:lineRule="exact"/>
        <w:rPr>
          <w:rFonts w:ascii="Times New Roman" w:cs="Times New Roman" w:eastAsia="Times New Roman" w:hAnsi="Times New Roman"/>
          <w:sz w:val="14"/>
          <w:szCs w:val="14"/>
          <w:color w:val="008000"/>
        </w:rPr>
      </w:pPr>
    </w:p>
    <w:p>
      <w:pPr>
        <w:ind w:left="40" w:right="300" w:firstLine="9"/>
        <w:spacing w:after="0" w:line="234"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Reflects the weighted average price of 4,420 shares of common stock of the Issuer sold by reporting person in multiple transactions on August 7, 2012 with the sale prices ranging from $37.25 to $38.6711 per share. The reporting person undertakes to provide upon request by the U.S. Securities Exchange Commission staff, the Issuer, or a securityholder of the Issuer, full information regarding the number of shares sold at each separate price.</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w w:val="97"/>
              </w:rPr>
              <w:t>/s/ Joshua L. Colburn,</w:t>
            </w:r>
          </w:p>
        </w:tc>
        <w:tc>
          <w:tcPr>
            <w:tcW w:w="5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0000FF"/>
                <w:w w:val="95"/>
              </w:rPr>
              <w:t>08/08/2012</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0"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24251" TargetMode="External"/><Relationship Id="rId13"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2019-12-17T10:23:06Z</dcterms:created>
  <dcterms:modified xsi:type="dcterms:W3CDTF">2019-12-17T10:23:06Z</dcterms:modified>
</cp:coreProperties>
</file>