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8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208280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4820"/>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231140</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tbl>
      <w:tblPr>
        <w:tblLayout w:type="fixed"/>
        <w:tblInd w:w="38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w w:val="96"/>
              </w:rPr>
              <w:t>Date of Report (Date of earliest event reported)</w:t>
            </w:r>
          </w:p>
        </w:tc>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January 14, 2011</w:t>
            </w:r>
          </w:p>
        </w:tc>
      </w:tr>
      <w:tr>
        <w:trPr>
          <w:trHeight w:val="334"/>
        </w:trPr>
        <w:tc>
          <w:tcPr>
            <w:tcW w:w="2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520" w:type="dxa"/>
            <w:vAlign w:val="bottom"/>
          </w:tcPr>
          <w:p>
            <w:pPr>
              <w:spacing w:after="0"/>
              <w:rPr>
                <w:sz w:val="24"/>
                <w:szCs w:val="24"/>
                <w:color w:val="auto"/>
              </w:rPr>
            </w:pPr>
          </w:p>
        </w:tc>
      </w:tr>
      <w:tr>
        <w:trPr>
          <w:trHeight w:val="617"/>
        </w:trPr>
        <w:tc>
          <w:tcPr>
            <w:tcW w:w="2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36"/>
                <w:szCs w:val="36"/>
                <w:b w:val="1"/>
                <w:bCs w:val="1"/>
                <w:color w:val="auto"/>
                <w:w w:val="93"/>
              </w:rPr>
              <w:t>Hawkins, Inc.</w:t>
            </w:r>
          </w:p>
        </w:tc>
        <w:tc>
          <w:tcPr>
            <w:tcW w:w="3520" w:type="dxa"/>
            <w:vAlign w:val="bottom"/>
          </w:tcPr>
          <w:p>
            <w:pPr>
              <w:spacing w:after="0"/>
              <w:rPr>
                <w:sz w:val="24"/>
                <w:szCs w:val="24"/>
                <w:color w:val="auto"/>
              </w:rPr>
            </w:pPr>
          </w:p>
        </w:tc>
      </w:tr>
      <w:tr>
        <w:trPr>
          <w:trHeight w:val="230"/>
        </w:trPr>
        <w:tc>
          <w:tcPr>
            <w:tcW w:w="2680" w:type="dxa"/>
            <w:vAlign w:val="bottom"/>
          </w:tcPr>
          <w:p>
            <w:pPr>
              <w:spacing w:after="0"/>
              <w:rPr>
                <w:sz w:val="20"/>
                <w:szCs w:val="20"/>
                <w:color w:val="auto"/>
              </w:rPr>
            </w:pPr>
          </w:p>
        </w:tc>
        <w:tc>
          <w:tcPr>
            <w:tcW w:w="7320" w:type="dxa"/>
            <w:vAlign w:val="bottom"/>
            <w:gridSpan w:val="3"/>
          </w:tcPr>
          <w:p>
            <w:pPr>
              <w:jc w:val="center"/>
              <w:ind w:right="191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9"/>
              </w:rPr>
              <w:t>Minnesota</w:t>
            </w:r>
          </w:p>
        </w:tc>
        <w:tc>
          <w:tcPr>
            <w:tcW w:w="380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w w:val="89"/>
              </w:rPr>
              <w:t>0-7647</w:t>
            </w:r>
          </w:p>
        </w:tc>
        <w:tc>
          <w:tcPr>
            <w:tcW w:w="3520" w:type="dxa"/>
            <w:vAlign w:val="bottom"/>
          </w:tcPr>
          <w:p>
            <w:pPr>
              <w:jc w:val="center"/>
              <w:ind w:left="2090"/>
              <w:spacing w:after="0"/>
              <w:rPr>
                <w:sz w:val="20"/>
                <w:szCs w:val="20"/>
                <w:color w:val="auto"/>
              </w:rPr>
            </w:pPr>
            <w:r>
              <w:rPr>
                <w:rFonts w:ascii="Arial" w:cs="Arial" w:eastAsia="Arial" w:hAnsi="Arial"/>
                <w:sz w:val="18"/>
                <w:szCs w:val="18"/>
                <w:b w:val="1"/>
                <w:bCs w:val="1"/>
                <w:color w:val="auto"/>
                <w:w w:val="89"/>
              </w:rPr>
              <w:t>41-0771293</w:t>
            </w:r>
          </w:p>
        </w:tc>
      </w:tr>
      <w:tr>
        <w:trPr>
          <w:trHeight w:val="216"/>
        </w:trPr>
        <w:tc>
          <w:tcPr>
            <w:tcW w:w="2680" w:type="dxa"/>
            <w:vAlign w:val="bottom"/>
          </w:tcPr>
          <w:p>
            <w:pPr>
              <w:jc w:val="center"/>
              <w:spacing w:after="0"/>
              <w:rPr>
                <w:sz w:val="20"/>
                <w:szCs w:val="20"/>
                <w:color w:val="auto"/>
              </w:rPr>
            </w:pPr>
            <w:r>
              <w:rPr>
                <w:rFonts w:ascii="Arial" w:cs="Arial" w:eastAsia="Arial" w:hAnsi="Arial"/>
                <w:sz w:val="18"/>
                <w:szCs w:val="18"/>
                <w:color w:val="auto"/>
                <w:w w:val="92"/>
              </w:rPr>
              <w:t>(State of Incorporation)</w:t>
            </w:r>
          </w:p>
        </w:tc>
        <w:tc>
          <w:tcPr>
            <w:tcW w:w="15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520" w:type="dxa"/>
            <w:vAlign w:val="bottom"/>
          </w:tcPr>
          <w:p>
            <w:pPr>
              <w:jc w:val="center"/>
              <w:ind w:left="2090"/>
              <w:spacing w:after="0"/>
              <w:rPr>
                <w:sz w:val="20"/>
                <w:szCs w:val="20"/>
                <w:color w:val="auto"/>
              </w:rPr>
            </w:pPr>
            <w:r>
              <w:rPr>
                <w:rFonts w:ascii="Arial" w:cs="Arial" w:eastAsia="Arial" w:hAnsi="Arial"/>
                <w:sz w:val="18"/>
                <w:szCs w:val="18"/>
                <w:color w:val="auto"/>
                <w:w w:val="93"/>
              </w:rPr>
              <w:t>(IRS Employer</w:t>
            </w:r>
          </w:p>
        </w:tc>
      </w:tr>
      <w:tr>
        <w:trPr>
          <w:trHeight w:val="230"/>
        </w:trPr>
        <w:tc>
          <w:tcPr>
            <w:tcW w:w="2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520" w:type="dxa"/>
            <w:vAlign w:val="bottom"/>
          </w:tcPr>
          <w:p>
            <w:pPr>
              <w:jc w:val="center"/>
              <w:ind w:left="20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68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3100 East Hennepin Avenue</w:t>
            </w:r>
          </w:p>
        </w:tc>
        <w:tc>
          <w:tcPr>
            <w:tcW w:w="15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20"/>
        </w:trPr>
        <w:tc>
          <w:tcPr>
            <w:tcW w:w="268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Minneapolis, MN</w:t>
            </w:r>
          </w:p>
        </w:tc>
        <w:tc>
          <w:tcPr>
            <w:tcW w:w="15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20" w:type="dxa"/>
            <w:vAlign w:val="bottom"/>
          </w:tcPr>
          <w:p>
            <w:pPr>
              <w:jc w:val="right"/>
              <w:ind w:right="470"/>
              <w:spacing w:after="0"/>
              <w:rPr>
                <w:sz w:val="20"/>
                <w:szCs w:val="20"/>
                <w:color w:val="auto"/>
              </w:rPr>
            </w:pPr>
            <w:r>
              <w:rPr>
                <w:rFonts w:ascii="Arial" w:cs="Arial" w:eastAsia="Arial" w:hAnsi="Arial"/>
                <w:sz w:val="18"/>
                <w:szCs w:val="18"/>
                <w:b w:val="1"/>
                <w:bCs w:val="1"/>
                <w:color w:val="auto"/>
              </w:rPr>
              <w:t>55413</w:t>
            </w:r>
          </w:p>
        </w:tc>
      </w:tr>
      <w:tr>
        <w:trPr>
          <w:trHeight w:val="230"/>
        </w:trPr>
        <w:tc>
          <w:tcPr>
            <w:tcW w:w="6480" w:type="dxa"/>
            <w:vAlign w:val="bottom"/>
            <w:gridSpan w:val="3"/>
          </w:tcPr>
          <w:p>
            <w:pPr>
              <w:jc w:val="center"/>
              <w:ind w:right="3425"/>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jc w:val="center"/>
              <w:ind w:left="1870"/>
              <w:spacing w:after="0"/>
              <w:rPr>
                <w:sz w:val="20"/>
                <w:szCs w:val="20"/>
                <w:color w:val="auto"/>
              </w:rPr>
            </w:pPr>
            <w:r>
              <w:rPr>
                <w:rFonts w:ascii="Arial" w:cs="Arial" w:eastAsia="Arial" w:hAnsi="Arial"/>
                <w:sz w:val="18"/>
                <w:szCs w:val="18"/>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4351020</wp:posOffset>
            </wp:positionH>
            <wp:positionV relativeFrom="paragraph">
              <wp:posOffset>-1650365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-1650365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612) 331-6910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220980</wp:posOffset>
            </wp:positionV>
            <wp:extent cx="147066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ind w:firstLine="27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173" w:lineRule="exact"/>
        <w:rPr>
          <w:sz w:val="24"/>
          <w:szCs w:val="24"/>
          <w:color w:val="auto"/>
        </w:rPr>
      </w:pPr>
    </w:p>
    <w:p>
      <w:pPr>
        <w:ind w:left="28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spacing w:after="0" w:line="206" w:lineRule="exact"/>
        <w:rPr>
          <w:sz w:val="24"/>
          <w:szCs w:val="24"/>
          <w:color w:val="auto"/>
        </w:rPr>
      </w:pPr>
    </w:p>
    <w:p>
      <w:pPr>
        <w:ind w:left="280"/>
        <w:spacing w:after="0"/>
        <w:rPr>
          <w:sz w:val="20"/>
          <w:szCs w:val="20"/>
          <w:color w:val="auto"/>
        </w:rPr>
      </w:pPr>
      <w:r>
        <w:rPr>
          <w:rFonts w:ascii="Arial" w:cs="Arial" w:eastAsia="Arial" w:hAnsi="Arial"/>
          <w:sz w:val="22"/>
          <w:szCs w:val="22"/>
          <w:color w:val="auto"/>
        </w:rPr>
        <w:t>o Soliciting material pursuant to Rule 14a-12 under the Exchange Act (17 CFR 240.14a-12)</w:t>
      </w:r>
    </w:p>
    <w:p>
      <w:pPr>
        <w:spacing w:after="0" w:line="206" w:lineRule="exact"/>
        <w:rPr>
          <w:sz w:val="24"/>
          <w:szCs w:val="24"/>
          <w:color w:val="auto"/>
        </w:rPr>
      </w:pPr>
    </w:p>
    <w:p>
      <w:pPr>
        <w:ind w:left="280"/>
        <w:spacing w:after="0"/>
        <w:rPr>
          <w:sz w:val="20"/>
          <w:szCs w:val="20"/>
          <w:color w:val="auto"/>
        </w:rPr>
      </w:pPr>
      <w:r>
        <w:rPr>
          <w:rFonts w:ascii="Arial" w:cs="Arial" w:eastAsia="Arial" w:hAnsi="Arial"/>
          <w:sz w:val="19"/>
          <w:szCs w:val="19"/>
          <w:color w:val="auto"/>
        </w:rPr>
        <w:t>o Pre-commencement communications pursuant to Rule 14d-2(b) under the Exchange Act (17 CFR 240.14d-2(b))</w:t>
      </w:r>
    </w:p>
    <w:p>
      <w:pPr>
        <w:spacing w:after="0" w:line="241" w:lineRule="exact"/>
        <w:rPr>
          <w:sz w:val="24"/>
          <w:szCs w:val="24"/>
          <w:color w:val="auto"/>
        </w:rPr>
      </w:pPr>
    </w:p>
    <w:p>
      <w:pPr>
        <w:ind w:left="280"/>
        <w:spacing w:after="0"/>
        <w:rPr>
          <w:sz w:val="20"/>
          <w:szCs w:val="20"/>
          <w:color w:val="auto"/>
        </w:rPr>
      </w:pPr>
      <w:r>
        <w:rPr>
          <w:rFonts w:ascii="Arial" w:cs="Arial" w:eastAsia="Arial" w:hAnsi="Arial"/>
          <w:sz w:val="19"/>
          <w:szCs w:val="19"/>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522" w:right="10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2.01. Completion of Acquisition or Disposition of Assets.</w:t>
      </w:r>
    </w:p>
    <w:p>
      <w:pPr>
        <w:spacing w:after="0" w:line="219"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On January 14, 2011, pursuant to the terms and conditions of the Asset Purchase Agreement, dated as of January 10, 2011 (the “Asset Purchase Agreement”), by and among Vertex Chemical Corporation, Novel Wash Co., Inc., R.H.A. Corporation (collectively, “Vertex”), Hawkins, Inc. (“Hawkins”), and a wholly owned subsidiary of Hawkins (“Acquisition Sub”), the parties completed the asset purchase pursuant to which Acquisition Sub purchased and acquired from Vertex substantially all of the assets used in Vertex’s business. Vertex’s business is the manufacture and distribution of sodium hypochlorite and the distribution of caustic soda, hydrochloric acid and related products. Acquisition Sub paid Vertex $25.5 million and assumed certain liabilities of Vertex. Hawkins guaranteed the payment and performance by Acquisition Sub of all of its obligations under the Asset Purchase Agreement.</w:t>
      </w:r>
    </w:p>
    <w:p>
      <w:pPr>
        <w:spacing w:after="0" w:line="178"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This description of the Asset Purchase Agreement does not purport to be complete and is qualified in its entirety by reference to the Asset Purchase Agreement, which is attached as Exhibit 2.1 to this report and is incorporated herein by reference.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Businesses Acquired.</w:t>
      </w:r>
    </w:p>
    <w:p>
      <w:pPr>
        <w:spacing w:after="0" w:line="225"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financial statements required by this item will be filed by amendment to this Current Report on Form 8-K no later than 71 days after the date on which this Current Report on Form 8-K is required to be filed.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pro forma financial information required by this item will be filed by amendment to this Current Report on Form 8-K no later than 71 days after the date on which this Current Report on Form 8-K is required to be filed.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0260" w:type="dxa"/>
            <w:vAlign w:val="bottom"/>
          </w:tcPr>
          <w:p>
            <w:pPr>
              <w:spacing w:after="0"/>
              <w:rPr>
                <w:sz w:val="20"/>
                <w:szCs w:val="20"/>
                <w:color w:val="auto"/>
              </w:rPr>
            </w:pPr>
          </w:p>
        </w:tc>
      </w:tr>
      <w:tr>
        <w:trPr>
          <w:trHeight w:val="459"/>
        </w:trPr>
        <w:tc>
          <w:tcPr>
            <w:tcW w:w="1160" w:type="dxa"/>
            <w:vAlign w:val="bottom"/>
            <w:gridSpan w:val="2"/>
          </w:tcPr>
          <w:p>
            <w:pPr>
              <w:ind w:left="280"/>
              <w:spacing w:after="0"/>
              <w:rPr>
                <w:sz w:val="20"/>
                <w:szCs w:val="20"/>
                <w:color w:val="auto"/>
              </w:rPr>
            </w:pPr>
            <w:r>
              <w:rPr>
                <w:rFonts w:ascii="Arial" w:cs="Arial" w:eastAsia="Arial" w:hAnsi="Arial"/>
                <w:sz w:val="18"/>
                <w:szCs w:val="18"/>
                <w:color w:val="auto"/>
              </w:rPr>
              <w:t>No.</w:t>
            </w:r>
          </w:p>
        </w:tc>
        <w:tc>
          <w:tcPr>
            <w:tcW w:w="10260" w:type="dxa"/>
            <w:vAlign w:val="bottom"/>
          </w:tcPr>
          <w:p>
            <w:pPr>
              <w:spacing w:after="0"/>
              <w:rPr>
                <w:sz w:val="20"/>
                <w:szCs w:val="20"/>
                <w:color w:val="auto"/>
              </w:rPr>
            </w:pPr>
            <w:r>
              <w:rPr>
                <w:rFonts w:ascii="Arial" w:cs="Arial" w:eastAsia="Arial" w:hAnsi="Arial"/>
                <w:sz w:val="18"/>
                <w:szCs w:val="18"/>
                <w:color w:val="auto"/>
              </w:rPr>
              <w:t>Description</w:t>
            </w:r>
          </w:p>
        </w:tc>
      </w:tr>
      <w:tr>
        <w:trPr>
          <w:trHeight w:val="411"/>
        </w:trPr>
        <w:tc>
          <w:tcPr>
            <w:tcW w:w="82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Asset Purchase Agreement, dated as of January 10, 2011, among Vertex Chemical Corporation, Novel Wash Co., Inc., R.H.A. Corporation,</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Twain Acquisition Corp. and Hawkins, Inc. (incorporated by reference from Hawkins’ Current Report on Form 8-K filed on January 11, 2011)</w:t>
            </w:r>
          </w:p>
        </w:tc>
      </w:tr>
      <w:tr>
        <w:trPr>
          <w:trHeight w:val="632"/>
        </w:trPr>
        <w:tc>
          <w:tcPr>
            <w:tcW w:w="8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 w:name="page3"/>
    <w:bookmarkEnd w:id="2"/>
    <w:p>
      <w:pPr>
        <w:ind w:left="5020"/>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HAWKINS, INC.</w:t>
      </w:r>
    </w:p>
    <w:p>
      <w:pPr>
        <w:spacing w:after="0" w:line="374" w:lineRule="exact"/>
        <w:rPr>
          <w:sz w:val="20"/>
          <w:szCs w:val="20"/>
          <w:color w:val="auto"/>
        </w:rPr>
      </w:pPr>
    </w:p>
    <w:p>
      <w:pPr>
        <w:spacing w:after="0"/>
        <w:tabs>
          <w:tab w:leader="none" w:pos="6500" w:val="left"/>
          <w:tab w:leader="none" w:pos="7600" w:val="left"/>
        </w:tabs>
        <w:rPr>
          <w:sz w:val="20"/>
          <w:szCs w:val="20"/>
          <w:color w:val="auto"/>
        </w:rPr>
      </w:pPr>
      <w:r>
        <w:rPr>
          <w:rFonts w:ascii="Arial" w:cs="Arial" w:eastAsia="Arial" w:hAnsi="Arial"/>
          <w:sz w:val="18"/>
          <w:szCs w:val="18"/>
          <w:color w:val="auto"/>
        </w:rPr>
        <w:t>Date: January 14,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14605</wp:posOffset>
            </wp:positionV>
            <wp:extent cx="17494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5"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Richard G. Erstad</w:t>
      </w:r>
    </w:p>
    <w:p>
      <w:pPr>
        <w:spacing w:after="0" w:line="23"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Vice President, General Counsel,</w:t>
      </w:r>
    </w:p>
    <w:p>
      <w:pPr>
        <w:spacing w:after="0" w:line="9"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949" w:right="10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Exhibit Index</w:t>
            </w:r>
          </w:p>
        </w:tc>
        <w:tc>
          <w:tcPr>
            <w:tcW w:w="10260" w:type="dxa"/>
            <w:vAlign w:val="bottom"/>
          </w:tcPr>
          <w:p>
            <w:pPr>
              <w:spacing w:after="0"/>
              <w:rPr>
                <w:sz w:val="20"/>
                <w:szCs w:val="20"/>
                <w:color w:val="auto"/>
              </w:rPr>
            </w:pPr>
          </w:p>
        </w:tc>
      </w:tr>
      <w:tr>
        <w:trPr>
          <w:trHeight w:val="459"/>
        </w:trPr>
        <w:tc>
          <w:tcPr>
            <w:tcW w:w="1160" w:type="dxa"/>
            <w:vAlign w:val="bottom"/>
            <w:gridSpan w:val="2"/>
          </w:tcPr>
          <w:p>
            <w:pPr>
              <w:ind w:left="280"/>
              <w:spacing w:after="0"/>
              <w:rPr>
                <w:sz w:val="20"/>
                <w:szCs w:val="20"/>
                <w:color w:val="auto"/>
              </w:rPr>
            </w:pPr>
            <w:r>
              <w:rPr>
                <w:rFonts w:ascii="Arial" w:cs="Arial" w:eastAsia="Arial" w:hAnsi="Arial"/>
                <w:sz w:val="18"/>
                <w:szCs w:val="18"/>
                <w:color w:val="auto"/>
              </w:rPr>
              <w:t>No.</w:t>
            </w:r>
          </w:p>
        </w:tc>
        <w:tc>
          <w:tcPr>
            <w:tcW w:w="10260" w:type="dxa"/>
            <w:vAlign w:val="bottom"/>
          </w:tcPr>
          <w:p>
            <w:pPr>
              <w:spacing w:after="0"/>
              <w:rPr>
                <w:sz w:val="20"/>
                <w:szCs w:val="20"/>
                <w:color w:val="auto"/>
              </w:rPr>
            </w:pPr>
            <w:r>
              <w:rPr>
                <w:rFonts w:ascii="Arial" w:cs="Arial" w:eastAsia="Arial" w:hAnsi="Arial"/>
                <w:sz w:val="18"/>
                <w:szCs w:val="18"/>
                <w:color w:val="auto"/>
              </w:rPr>
              <w:t>Description</w:t>
            </w:r>
          </w:p>
        </w:tc>
      </w:tr>
      <w:tr>
        <w:trPr>
          <w:trHeight w:val="411"/>
        </w:trPr>
        <w:tc>
          <w:tcPr>
            <w:tcW w:w="82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Asset Purchase Agreement, dated as of January 10, 2011, among Vertex Chemical Corporation, Novel Wash Co., Inc., R.H.A. Corporation,</w:t>
            </w: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Twain Acquisition Corp. and Hawkins, Inc. (incorporated by reference from Hawkins’ Current Report on Form 8-K filed on January 11, 2011)</w:t>
            </w: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2019-12-10T00:11:09Z</dcterms:created>
  <dcterms:modified xsi:type="dcterms:W3CDTF">2019-12-10T00:11:09Z</dcterms:modified>
</cp:coreProperties>
</file>