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July 29, 2016</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10,604,490</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6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3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3, 2016 and April 3, 2016</w:t>
              </w:r>
            </w:hyperlink>
          </w:p>
        </w:tc>
        <w:tc>
          <w:tcPr>
            <w:tcW w:w="2340" w:type="dxa"/>
            <w:vAlign w:val="bottom"/>
            <w:gridSpan w:val="5"/>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372"/>
        </w:trPr>
        <w:tc>
          <w:tcPr>
            <w:tcW w:w="114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Income – Three Months Ended July 3, 2016 and June 28,</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8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Months Ended July 3,</w:t>
              </w:r>
            </w:hyperlink>
          </w:p>
        </w:tc>
        <w:tc>
          <w:tcPr>
            <w:tcW w:w="84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2016 and June 28, 2015</w:t>
              </w:r>
            </w:hyperlink>
          </w:p>
        </w:tc>
        <w:tc>
          <w:tcPr>
            <w:tcW w:w="59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6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Three Months Ended July 3, 2016 and</w:t>
              </w:r>
            </w:hyperlink>
          </w:p>
        </w:tc>
        <w:tc>
          <w:tcPr>
            <w:tcW w:w="1000" w:type="dxa"/>
            <w:vAlign w:val="bottom"/>
            <w:gridSpan w:val="3"/>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196"/>
        </w:trPr>
        <w:tc>
          <w:tcPr>
            <w:tcW w:w="1140" w:type="dxa"/>
            <w:vAlign w:val="bottom"/>
          </w:tcPr>
          <w:p>
            <w:pPr>
              <w:spacing w:after="0"/>
              <w:rPr>
                <w:sz w:val="17"/>
                <w:szCs w:val="17"/>
                <w:color w:val="auto"/>
              </w:rPr>
            </w:pPr>
          </w:p>
        </w:tc>
        <w:tc>
          <w:tcPr>
            <w:tcW w:w="76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June 28, 2015</w:t>
              </w:r>
            </w:hyperlink>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2540" w:type="dxa"/>
            <w:vAlign w:val="bottom"/>
            <w:gridSpan w:val="5"/>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PART II.</w:t>
            </w:r>
          </w:p>
        </w:tc>
        <w:tc>
          <w:tcPr>
            <w:tcW w:w="76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80" w:type="dxa"/>
            <w:vAlign w:val="bottom"/>
            <w:gridSpan w:val="11"/>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320" w:type="dxa"/>
            <w:vAlign w:val="bottom"/>
            <w:gridSpan w:val="1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11"/>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750"/>
        </w:trPr>
        <w:tc>
          <w:tcPr>
            <w:tcW w:w="114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4720" w:type="dxa"/>
            <w:vAlign w:val="bottom"/>
            <w:gridSpan w:val="12"/>
          </w:tcPr>
          <w:p>
            <w:pPr>
              <w:jc w:val="right"/>
              <w:ind w:right="7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21,227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20,014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receivables — less allowance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$596 as of July 3, 2016 and $602 as of April 3, 2016</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57,485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59,271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47,719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133,085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137,288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204,848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91,766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88,527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116,321</w:t>
            </w: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97,724</w:t>
            </w:r>
          </w:p>
        </w:tc>
        <w:tc>
          <w:tcPr>
            <w:tcW w:w="0" w:type="dxa"/>
            <w:vAlign w:val="bottom"/>
          </w:tcPr>
          <w:p>
            <w:pPr>
              <w:spacing w:after="0"/>
              <w:rPr>
                <w:sz w:val="1"/>
                <w:szCs w:val="1"/>
                <w:color w:val="auto"/>
              </w:rPr>
            </w:pP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Intangible assets — less accumulated amortization:</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$7,891 as of July 3, 2016 and $6,370 as of April 3, 2016</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182,882</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432,122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436,491</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trade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30,121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Dividends payable</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Due to sellers of acquired business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Container deposits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49,572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59,765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PENSION WITHDRAWAL LIABILITY</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42,242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222,454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235,516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Common stock; authorized: 30,000,000 shares of $0.05 par value; 10,531,524 and 10,512,471 shares issued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outstanding as of July 3, 2016 and April 3, 2016, respectively</w:t>
            </w:r>
          </w:p>
        </w:tc>
        <w:tc>
          <w:tcPr>
            <w:tcW w:w="2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48,189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159,869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152,265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209,668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200,975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436,491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4"/>
                <w:szCs w:val="14"/>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(80,761)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10,513,139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10,580,542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10,555,282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10,628,409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r>
      <w:tr>
        <w:trPr>
          <w:trHeight w:val="324"/>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580"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69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78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77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6,791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880" w:type="dxa"/>
            <w:vAlign w:val="bottom"/>
            <w:tcBorders>
              <w:top w:val="single" w:sz="8" w:color="auto"/>
            </w:tcBorders>
          </w:tcPr>
          <w:p>
            <w:pPr>
              <w:jc w:val="right"/>
              <w:ind w:right="68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7,604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6,846</w:t>
            </w:r>
          </w:p>
        </w:tc>
      </w:tr>
      <w:tr>
        <w:trPr>
          <w:trHeight w:val="27"/>
        </w:trPr>
        <w:tc>
          <w:tcPr>
            <w:tcW w:w="77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60"/>
          </w:cols>
          <w:pgMar w:left="240" w:top="580"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24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July 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28,</w:t>
            </w:r>
          </w:p>
        </w:tc>
      </w:tr>
      <w:tr>
        <w:trPr>
          <w:trHeight w:val="210"/>
        </w:trPr>
        <w:tc>
          <w:tcPr>
            <w:tcW w:w="7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33"/>
        </w:trPr>
        <w:tc>
          <w:tcPr>
            <w:tcW w:w="7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7,604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6,791</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3,564</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457</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loss from property disposals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(2,056)</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(1,995)</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333</w:t>
            </w:r>
          </w:p>
        </w:tc>
      </w:tr>
      <w:tr>
        <w:trPr>
          <w:trHeight w:val="33"/>
        </w:trPr>
        <w:tc>
          <w:tcPr>
            <w:tcW w:w="7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14,419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7,926</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 and maturities of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(2,199)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(8,283)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(3,525)</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(4,226)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(4,038)</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surrendered for payroll taxes</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repurchased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Repayment of debt</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(568)</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20,014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18,639</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21,227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18,071</w:t>
            </w:r>
          </w:p>
        </w:tc>
      </w:tr>
      <w:tr>
        <w:trPr>
          <w:trHeight w:val="73"/>
        </w:trPr>
        <w:tc>
          <w:tcPr>
            <w:tcW w:w="76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2,513</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r>
      <w:tr>
        <w:trPr>
          <w:trHeight w:val="33"/>
        </w:trPr>
        <w:tc>
          <w:tcPr>
            <w:tcW w:w="7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240" w:top="580" w:right="7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3, 2016,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3, 2016, previously filed with the SEC. There has been no significant change in our accounting policies since the end of fiscal 2016.</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July 3, 2016 are not necessarily indicative of the results that may be expected for the full year.</w:t>
      </w:r>
    </w:p>
    <w:p>
      <w:pPr>
        <w:spacing w:after="0" w:line="18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References to fiscal 2016 refer to the fiscal year ended April 3, 2016 and references to fiscal 2017 refer to the fiscal year ending April 2, 2017. As compared to our normal 52-week fiscal years, fiscal 2016 was a 53-week year, with the extra week recorded in our fourth quarter’s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and will be effective for years beginning after December 15, 2016 (our fiscal year ending April 1, 2018) and interim periods within those years. We are currently evaluating the impact of this accounting pronouncement on our results of operations and financial position.</w:t>
      </w:r>
    </w:p>
    <w:p>
      <w:pPr>
        <w:spacing w:after="0" w:line="31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March 2016, the FASB issued ASU 2016-02, which provides new accounting guidance requiring lessees to recognize most leases as assets and liabilities on the balance sheet. This guidance will be effective for interim periods beginning after December 15, 2018 (our fiscal year ended March 30, 2020). We are currently evaluating the impact of this accounting pronouncement on our results of operations and financial position.</w:t>
      </w:r>
    </w:p>
    <w:p>
      <w:pPr>
        <w:spacing w:after="0" w:line="2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of this accounting pronouncement on our results of operations and financial position.</w:t>
      </w:r>
    </w:p>
    <w:p>
      <w:pPr>
        <w:spacing w:after="0" w:line="3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July 2015, the FASB issued ASU 2015-11, which requires company to change the measurement principal for inventory measured using the FIFO or average cost method from the lower of cost or market to the lower of cost and net realizable value. Treatment of inventory valued under the last-in, first-out (“LIFO”) method is unchanged by this guidance. The new guidance will be applied prospectively and will be effective for fiscal years beginning after December 15, 2016 (our fiscal year ending April 1, 2018), and interim periods within those years. We are currently evaluating the impact of this accounting pronouncement on our results of operations and financial position.</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April 2015, the FASB issued ASU 2015-03, which simplifies the presentation of debt issuance costs. The new guidance requires debt issuance costs related to a recognized debt liability to be presented as a direct deduction from the debt liability on the balance sheet. We adopted this guidance in the third quarter of fiscal 2016.</w:t>
      </w:r>
    </w:p>
    <w:p>
      <w:pPr>
        <w:spacing w:after="0" w:line="12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September 2015, the FASB issued ASU 2015-16, which eliminates the requirement for an acquirer to retrospectively adjust the financial statements for measurement-period adjustments that occur in periods after a business combination is consummated. We adopted this guidance in the first quarter of fiscal 2017.</w:t>
      </w:r>
    </w:p>
    <w:p>
      <w:pPr>
        <w:spacing w:after="0" w:line="18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November 2015, the FASB issued ASU 2015-17, which requires entities with a classified balance sheet to present all deferred tax assets and liabilities as non-current. We adopted this guidance prospectively effective December 28, 2016, the beginning of the fourth quarter of fiscal 2016. Accordingly, all of our deferred tax assets and liabilities have been presented as long-term liabilities on our condensed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2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0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8080" w:type="dxa"/>
            <w:vAlign w:val="bottom"/>
          </w:tcPr>
          <w:p>
            <w:pPr>
              <w:spacing w:after="0"/>
              <w:rPr>
                <w:sz w:val="18"/>
                <w:szCs w:val="18"/>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July 3,</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808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10,513,139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10,580,542</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42,143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47,867</w:t>
            </w:r>
          </w:p>
        </w:tc>
      </w:tr>
      <w:tr>
        <w:trPr>
          <w:trHeight w:val="27"/>
        </w:trPr>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10,555,282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10,628,409</w:t>
            </w:r>
          </w:p>
        </w:tc>
      </w:tr>
      <w:tr>
        <w:trPr>
          <w:trHeight w:val="20"/>
        </w:trPr>
        <w:tc>
          <w:tcPr>
            <w:tcW w:w="8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each of the three months ended July 3, 2016 and June 28, 2015, there were no shares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Acquisition of Stauber Performance Ingredients: </w:t>
      </w:r>
      <w:r>
        <w:rPr>
          <w:rFonts w:ascii="Arial" w:cs="Arial" w:eastAsia="Arial" w:hAnsi="Arial"/>
          <w:sz w:val="18"/>
          <w:szCs w:val="18"/>
          <w:color w:val="auto"/>
        </w:rPr>
        <w:t>On December 23, 2015, we acquired Stauber Performance Ingredients (“Stauber”) for $157.0 million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cash-free, debt-free basis subject to a customary working capital adjustment. The total consideration for the acquisition was $158.2 million ($156.7 million net of cash acquired). We paid $156.0 million in cash at closing and paid an additional $2.2 million during the first quarter of fiscal 2017 based upon closing cash, debt and working capital balances. The purchase was funded with $131.0 million of proceeds from the credit facility described more fully in Note 6 as well as cash on hand.</w:t>
      </w:r>
    </w:p>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Stauber operates out of facilities in New York and California and blends and distributes specialty products and ingredients to the nutritional, food, pharmaceutical, cosmetic and pet care industries. The acquisition expanded our portfolio of value-added specialty products within new markets. Stauber had revenues of approximately $118.0 million for the twelve months ended December 23, 2015, the date of the acquisition. The results of operations since the acquisition date, and the assets, including the goodwill associated with the acquisition, are included in our newly-formed Health and Nutrition operating segment.</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acquisition was accounted for under the acquisition method of accounting. Accordingly, the cost to acquire Stauber was allocated to the underlying net assets in proportion to estimates of their respective fair values.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acquired property, plant and equipment of $11.0 million was valued using a cost approach with consideration given to the continuation of the property in the current operation at the present locations. The fair value of acquired identifiable intangible assets was $71.5 million. The acquired intangible assets, all of which are finite-lived, have a weighted average useful life of 16.3 years and are being amortized on a straight-line basis. The intangible assets include customer relationships of $66.0 million (17 year life), trade name of $4.0 million (10 year life), non-competition agreements of $1.3 million (3.3 year weighted average life) and order backlog of $0.1 million.</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acquired identifiable intangible assets was determined using the income approach. In performing these valuations, the key underlying probability-adjusted assumptions of the discounted cash flows were projected revenues, gross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7"/>
          <w:szCs w:val="17"/>
          <w:color w:val="auto"/>
        </w:rPr>
        <w:t>margin expectations and operating cost estimates. The valuations were based on the information that was available as of the acquisition date and expectations and assumptions that have been deemed reasonable by management. There are inherent uncertainties and management judgment required in these determinations. The fair value measurements of the assets acquired were based on valuations involving significant unobservable inputs, or Level 3 in the fair value hierarchy. None of the intangible assets are expected to be deductible for income tax purposes. As a result, a $28.6 million deferred tax liability was recorded on the opening balance sheet for the amount of non-deductible amortization expense.</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purchase price of Stauber exceeded the acquisition-date amounts of the identifiable assets acquired less the liabilities assumed by $84.2 million. Cash flows used to determine the purchase price included strategic and synergistic benefits (investment value) specific to our businesses, which resulted in a purchase price in excess of the fair value of identifiable net assets. The purchase price also included the fair values of other assets that were not identifiable, not separately recognizable under accounting rules (e.g., assembled workforce) or of immaterial value in addition to a going-concern element that represents our ability to earn a higher rate of return on the group of assets than would be expected on the separate assets as determined during the valuation process. None of the goodwill is expected to be deductible for income tax purposes.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allocation of the purchase price to trade receivables and goodwill remains subject to change within the measurement period (up to one year from the acquisition date). The fair value of trade receivables is open pending the collection of certain uncollected balances. Any adjustment to the preliminary allocation of fair value of trade receivables will result in an adjustment to goodwill. The following table summarizes the fair value measurement of the assets acquired and liabilities assumed as of the acquisition date: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15,737</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10,207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10,989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71,459</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 (a)</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243"/>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40" w:type="dxa"/>
            <w:vAlign w:val="bottom"/>
          </w:tcPr>
          <w:p>
            <w:pPr>
              <w:spacing w:after="0"/>
              <w:rPr>
                <w:sz w:val="20"/>
                <w:szCs w:val="20"/>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84,229</w:t>
            </w:r>
          </w:p>
        </w:tc>
      </w:tr>
      <w:tr>
        <w:trPr>
          <w:trHeight w:val="23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Total preliminary purchase price</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158,176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acquired cash</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57"/>
        </w:trPr>
        <w:tc>
          <w:tcPr>
            <w:tcW w:w="8760" w:type="dxa"/>
            <w:vAlign w:val="bottom"/>
            <w:gridSpan w:val="3"/>
          </w:tcPr>
          <w:p>
            <w:pPr>
              <w:ind w:left="40"/>
              <w:spacing w:after="0"/>
              <w:rPr>
                <w:sz w:val="20"/>
                <w:szCs w:val="20"/>
                <w:color w:val="auto"/>
              </w:rPr>
            </w:pPr>
            <w:r>
              <w:rPr>
                <w:rFonts w:ascii="Arial" w:cs="Arial" w:eastAsia="Arial" w:hAnsi="Arial"/>
                <w:sz w:val="18"/>
                <w:szCs w:val="18"/>
                <w:color w:val="auto"/>
              </w:rPr>
              <w:t>Preliminary purchase price, net of cash acquired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156,674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 w:firstLine="8"/>
        <w:spacing w:after="0" w:line="273" w:lineRule="auto"/>
        <w:tabs>
          <w:tab w:leader="none" w:pos="196"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to these balances, $7.3 million of cash and current accrued liabilities were recorded that relate to stock and other acquisition-related compensation payments, which were recorded by Stauber as of the acquisition date but were paid subsequent to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584" w:right="319" w:bottom="1440" w:gutter="0" w:footer="0" w:header="0"/>
        </w:sectPr>
      </w:pPr>
    </w:p>
    <w:bookmarkStart w:id="9" w:name="page10"/>
    <w:bookmarkEnd w:id="9"/>
    <w:p>
      <w:pPr>
        <w:spacing w:after="0" w:line="279" w:lineRule="auto"/>
        <w:rPr>
          <w:sz w:val="20"/>
          <w:szCs w:val="20"/>
          <w:color w:val="auto"/>
        </w:rPr>
      </w:pPr>
      <w:r>
        <w:rPr>
          <w:rFonts w:ascii="Arial" w:cs="Arial" w:eastAsia="Arial" w:hAnsi="Arial"/>
          <w:sz w:val="17"/>
          <w:szCs w:val="17"/>
          <w:color w:val="auto"/>
        </w:rPr>
        <w:t>The following pro forma information has been prepared as if the Stauber acquisition and the borrowing to finance the acquisition had occurred as of the beginning of fiscal 2016. The unaudited pro forma information is not necessarily indicative of what our consolidated results of operations actually would have been had the acquisition occurred at the beginning of the fiscal year, nor is it indicative of our future operational results. There is no pro forma information presented for the three months ended July 3, 2016, as Stauber’s results are included for the full period.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r>
      <w:tr>
        <w:trPr>
          <w:trHeight w:val="234"/>
        </w:trPr>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28,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9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133,750</w:t>
            </w:r>
          </w:p>
        </w:tc>
      </w:tr>
      <w:tr>
        <w:trPr>
          <w:trHeight w:val="243"/>
        </w:trPr>
        <w:tc>
          <w:tcPr>
            <w:tcW w:w="9380" w:type="dxa"/>
            <w:vAlign w:val="bottom"/>
            <w:gridSpan w:val="3"/>
          </w:tcPr>
          <w:p>
            <w:pPr>
              <w:ind w:left="40"/>
              <w:spacing w:after="0"/>
              <w:rPr>
                <w:sz w:val="20"/>
                <w:szCs w:val="20"/>
                <w:color w:val="auto"/>
              </w:rPr>
            </w:pPr>
            <w:r>
              <w:rPr>
                <w:rFonts w:ascii="Arial" w:cs="Arial" w:eastAsia="Arial" w:hAnsi="Arial"/>
                <w:sz w:val="18"/>
                <w:szCs w:val="18"/>
                <w:color w:val="auto"/>
              </w:rPr>
              <w:t>Pro forma net income</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8,050</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9380" w:type="dxa"/>
            <w:vAlign w:val="bottom"/>
            <w:gridSpan w:val="3"/>
          </w:tcPr>
          <w:p>
            <w:pPr>
              <w:ind w:left="40"/>
              <w:spacing w:after="0"/>
              <w:rPr>
                <w:sz w:val="20"/>
                <w:szCs w:val="20"/>
                <w:color w:val="auto"/>
              </w:rPr>
            </w:pPr>
            <w:r>
              <w:rPr>
                <w:rFonts w:ascii="Arial" w:cs="Arial" w:eastAsia="Arial" w:hAnsi="Arial"/>
                <w:sz w:val="18"/>
                <w:szCs w:val="18"/>
                <w:color w:val="auto"/>
              </w:rPr>
              <w:t>Pro forma 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0.76</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7"/>
        </w:trPr>
        <w:tc>
          <w:tcPr>
            <w:tcW w:w="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Included in pro forma net income for the three months ended June 28, 2015 was a $0.9 million pre-tax non-operating gain recorded by Stauber, or $0.05 per share, fully diluted. The unaudited pro forma financial information above is adjusted to reflect the following: (a) interest expense, including amortization of debt issuance costs, related to the $131.0 million of debt used to fund the acquisition; (b) amortization expense related to the $71.5 million of identifiable intangible assets recognized in conjunction with the acquisition; (c) elimination of amortization of intangibles and interest expense previously reflected on Stauber’s financial statements; and (d) recording income taxes at an estimated statutory rate of 37.5% on the resulting pre-tax income.</w:t>
      </w:r>
    </w:p>
    <w:p>
      <w:pPr>
        <w:spacing w:after="0" w:line="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Acquisition of Davis Supply, Inc.</w:t>
      </w:r>
      <w:r>
        <w:rPr>
          <w:rFonts w:ascii="Arial" w:cs="Arial" w:eastAsia="Arial" w:hAnsi="Arial"/>
          <w:sz w:val="18"/>
          <w:szCs w:val="18"/>
          <w:color w:val="auto"/>
        </w:rPr>
        <w:t>: On September 18, 2015, we acquired substantially all of the assets of Davis Supply, Inc. (“Davis”) under the terms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$5.0 million in calendar year 2014. We integrated this business into our existing Florida locations. The results of operations after the date of acquisition and the acquired assets are included in our Water Treatment Segment.</w:t>
      </w:r>
    </w:p>
    <w:p>
      <w:pPr>
        <w:spacing w:after="0" w:line="2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of Davis acquired based on their estimated fair values. We estimated the fair values of the assets acquired and liabilities assumed using a discounted cash flow analysis (income approach). The following table summarizes the allocation of the purchase price to the fair values assigned to the assets acquired and liabilities assumed as of the acquisition date:</w:t>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Amount</w:t>
            </w:r>
          </w:p>
        </w:tc>
      </w:tr>
      <w:tr>
        <w:trPr>
          <w:trHeight w:val="237"/>
        </w:trPr>
        <w:tc>
          <w:tcPr>
            <w:tcW w:w="2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Inventories</w:t>
            </w:r>
          </w:p>
        </w:tc>
        <w:tc>
          <w:tcPr>
            <w:tcW w:w="796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2,532</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Intangible assets recognized in connection with this acquisition consist of $2.4 million related to customer relationships to be amortized over 20 years, and $0.1 million related to a non-compete agreement to be amortized over five years. The goodwill recognized as a result of this acquisition is primarily attributable to strategic and synergistic benefits, as well as the assembled workforce. Such goodwill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2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July 3, 2016 and April 3, 2016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3,</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3,</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51,857</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LIFO method was $35.2 million at July 3, 2016 and $36.5 million at April 3, 2016. The remainder of the inventory was valued and accounted for under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LIFO reserve decreased nominally during the three months ended July 3, 2016, and increased nominally during the three months ended June 28,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of LIFO inventory for interim periods is based on our estimates of year-end inventory levels and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was $97.7 million as of July 3, 2016 and April 3,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July 3, 2016 and April 3,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July 3, 2016</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April 3, 2016</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ind w:left="2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73,953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75,095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ind w:left="2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80,186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89,304</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(6,370)</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Note 6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8"/>
          </w:tcPr>
          <w:p>
            <w:pPr>
              <w:spacing w:after="0"/>
              <w:rPr>
                <w:sz w:val="20"/>
                <w:szCs w:val="20"/>
                <w:color w:val="auto"/>
              </w:rPr>
            </w:pPr>
            <w:r>
              <w:rPr>
                <w:rFonts w:ascii="Arial" w:cs="Arial" w:eastAsia="Arial" w:hAnsi="Arial"/>
                <w:sz w:val="18"/>
                <w:szCs w:val="18"/>
                <w:color w:val="auto"/>
                <w:w w:val="96"/>
              </w:rPr>
              <w:t>Debt at July 3, 2016 and April 3, 2016 consisted of the following: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April 3,</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 w:type="dxa"/>
            <w:vAlign w:val="bottom"/>
            <w:tcBorders>
              <w:right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Senior secured term loan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97,500</w:t>
            </w:r>
          </w:p>
        </w:tc>
        <w:tc>
          <w:tcPr>
            <w:tcW w:w="80" w:type="dxa"/>
            <w:vAlign w:val="bottom"/>
          </w:tcPr>
          <w:p>
            <w:pPr>
              <w:spacing w:after="0"/>
              <w:rPr>
                <w:sz w:val="21"/>
                <w:szCs w:val="21"/>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secured revolver</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31,000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128,500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129,750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 w:type="dxa"/>
            <w:vAlign w:val="bottom"/>
            <w:tcBorders>
              <w:right w:val="single" w:sz="8" w:color="CCEEFF"/>
            </w:tcBorders>
          </w:tcPr>
          <w:p>
            <w:pPr>
              <w:spacing w:after="0"/>
              <w:rPr>
                <w:sz w:val="22"/>
                <w:szCs w:val="2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121,775</w:t>
            </w: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31, 2013 are closed to examination by the Internal Revenue Service, and with few exceptions, state and local income tax jurisdictions. Our effective tax rate for the three months ended July 3, 2016 was approximately 38.5%, compared to</w:t>
      </w:r>
    </w:p>
    <w:p>
      <w:pPr>
        <w:sectPr>
          <w:pgSz w:w="11900" w:h="16838" w:orient="portrait"/>
          <w:cols w:equalWidth="0" w:num="1">
            <w:col w:w="11380"/>
          </w:cols>
          <w:pgMar w:left="240" w:top="1283" w:right="27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1283" w:right="279" w:bottom="1440" w:gutter="0" w:footer="0" w:header="0"/>
          <w:type w:val="continuous"/>
        </w:sectPr>
      </w:pPr>
    </w:p>
    <w:bookmarkStart w:id="11" w:name="page12"/>
    <w:bookmarkEnd w:id="11"/>
    <w:p>
      <w:pPr>
        <w:ind w:right="460"/>
        <w:spacing w:after="0" w:line="277" w:lineRule="auto"/>
        <w:rPr>
          <w:sz w:val="20"/>
          <w:szCs w:val="20"/>
          <w:color w:val="auto"/>
        </w:rPr>
      </w:pPr>
      <w:r>
        <w:rPr>
          <w:rFonts w:ascii="Arial" w:cs="Arial" w:eastAsia="Arial" w:hAnsi="Arial"/>
          <w:sz w:val="18"/>
          <w:szCs w:val="18"/>
          <w:color w:val="auto"/>
        </w:rPr>
        <w:t>an effective tax rate of 37.5% for the three months ended June 28, 2015. The effective tax rate is impacted by projected levels of annual taxable income, permanent items, and state taxes.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fiscal 2016, we recorded a gross unrecognized tax benefit of $1.9 million in other long-term liabilities on our consolidated balance sheet as a result of uncertain income tax positions taken by Stauber on its tax returns for periods prior to our acquisition. The Stauber acquisition agreement provides us with indemnification by the prior owners for any tax liabilities relating to pre-acquisition tax returns. Accordingly, we have also recorded an offsetting, long-term receivable for $1.9 million, and as such any change in the unrecognized tax benefit will not impact our effective tax rate in future periods. As of both July 3, 2016 and April 3, 2016, the liability for uncertain tax positions and the corresponding receivable included $0.3 million of interest and penalties. We expect these uncertain income tax amounts to decrease as the applicable examination periods by the relevant taxing authorities expire.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2017 and fiscal 2016.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52,363 shares in the aggregate for fiscal 2017.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July 3, 2016:</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66,162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recorded compensation expense related to performance share units and restricted stock of $0.4 million for the three months ended July 3, 2016 and $0.3 million for the three months ended June 28, 2015.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their retainer, each non-employee director receives an annual grant of restricted stock for their Board of Director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stock awards are expensed over the requisite vesting period, which is one year from the date of issuance, based on the market value on the date of grant. As of July 3, 2016, there were 6,804 shares of restricted stock with a weighted averaged grant date fair value of $36.00 outstanding under this program. Compensation expense for the three months ended July 3, 2016 and June 28, 2015 related to restricted stock awards to the Board was $0.1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fiscal 2015,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No shares were repurchased during the three months ended July 3, 2016. During the first quarter of fiscal 2016, 13,850 shares at an aggregate purchase price of $0.6 million were repurchased. The remaining balance of shares available to be purchased under the current share repurchase program is 112,546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10 – Litigation, Commitments and Contingencies</w:t>
      </w:r>
    </w:p>
    <w:p>
      <w:pPr>
        <w:spacing w:after="0" w:line="225"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three reportable segments: Industrial, Water Treatment, and Health and Nutrition. Our Health and Nutrition segment was established as a result of our acquisition of Stauber in the third quarter of fiscal 2016. The accounting policies of the segments are the same as those described in the summary of significant accounting policies in our fiscal 2016 Annual Report on Form 10-K.</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Shared corporate functions are allocated between the segments that they support.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1"/>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Treatment</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July 3, 2016:</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63,788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131,374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28,216</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15,126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13,090</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Three months ended June 28, 2015: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101,496</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20,735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9,891</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10,844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three months ended July 3, 2016.</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0" w:right="27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months ended July 3, 2016 as compared to June 28, 2015. This discussion should be read in conjunction with the condensed consolidated financial statements and notes to condensed consolidated financial statements included in this quarterly report on Form 10-Q and Item 8 of our Annual Report on Form 10-K for the fiscal year ended April 3, 2016 (“fiscal 2016”). References to fiscal 2017 refer to the fiscal year ending April 2,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fiscal 2016, we acquired Stauber Performance Ingredients (“Stauber”) for $157.0 million on a cash-free, debt-free basis, subject to a customary working capital adjustment. The total consideration for the acquisition was $158.2 million ($156.7 million net of cash acquired). Stauber operates out of facilities in New York and California and blends and distributes specialty products and ingredients to the nutritional, food, pharmaceutical, cosmetic and pet care industries. The acquisition expanded our portfolio of value-added specialty products within new markets. The results of operations since the acquisition date, and the assets, including the goodwill associated with the acquisition, are included in our newly-formed Health and Nutrition operating segment, starting with our results for the fourth quarter of fiscal 2016.</w:t>
      </w:r>
    </w:p>
    <w:p>
      <w:pPr>
        <w:spacing w:after="0" w:line="19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On September 18, 2015, we acquired substantially all of the assets of Davis Supply, Inc. (“Davis”) for $4.5 million under the terms of an asset purchase agreement with Davis and its shareholders. We integrated this business into our existing Florida locations. The results of operations after the date of acquisition and the acquired assets are included in our Water Treatment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No shares were repurchased during the three months ended July 3, 2016. During the first quarter of fiscal 2016, 13,850 shares at an aggregate purchase price of $0.6 million were repurchased. The remaining balance of shares available to be purchased under the current share repurchase program is 112,546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Operating Segment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Stauber acquisition in fiscal 2016, we established our Health and Nutrition operating segment. This segment specializes in providing ingredient distribution, processing and formulation solutions to manufacturers of nutraceutical, functional food and beverage, personal care, dietary supplement and other nutritional food and health and wellness products. This group offers a diverse product portfolio including minerals, botanicals and herbs, vitamins and amino acids, excipients, joint products, sweeteners and enzymes. Because this is a new operating segment for us, there is no comparison to the prior year in the year-over-year discussions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use the last in, first out (“LIFO”) method for valuing a large portion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The change in the LIFO reserve and the related impact to gross profit was nominal for each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three month periods ended July 3, 2016 and June 28, 2015. Inventories in the Health and Nutrition segment are valued using the first-in, first-out (“FIFO”) method.</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500" w:type="dxa"/>
            <w:vAlign w:val="bottom"/>
            <w:gridSpan w:val="4"/>
          </w:tcPr>
          <w:p>
            <w:pPr>
              <w:ind w:left="92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5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1740" w:type="dxa"/>
            <w:vAlign w:val="bottom"/>
            <w:gridSpan w:val="2"/>
          </w:tcPr>
          <w:p>
            <w:pPr>
              <w:ind w:left="360"/>
              <w:spacing w:after="0"/>
              <w:rPr>
                <w:sz w:val="20"/>
                <w:szCs w:val="20"/>
                <w:color w:val="auto"/>
              </w:rPr>
            </w:pPr>
            <w:r>
              <w:rPr>
                <w:rFonts w:ascii="Arial" w:cs="Arial" w:eastAsia="Arial" w:hAnsi="Arial"/>
                <w:sz w:val="18"/>
                <w:szCs w:val="18"/>
                <w:b w:val="1"/>
                <w:bCs w:val="1"/>
                <w:color w:val="auto"/>
              </w:rPr>
              <w:t>July 3, 2016</w:t>
            </w:r>
          </w:p>
        </w:tc>
        <w:tc>
          <w:tcPr>
            <w:tcW w:w="176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28, 2015</w:t>
            </w:r>
          </w:p>
        </w:tc>
      </w:tr>
      <w:tr>
        <w:trPr>
          <w:trHeight w:val="27"/>
        </w:trPr>
        <w:tc>
          <w:tcPr>
            <w:tcW w:w="7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760" w:type="dxa"/>
            <w:vAlign w:val="bottom"/>
            <w:gridSpan w:val="2"/>
          </w:tcPr>
          <w:p>
            <w:pPr>
              <w:ind w:left="1220"/>
              <w:spacing w:after="0"/>
              <w:rPr>
                <w:sz w:val="20"/>
                <w:szCs w:val="20"/>
                <w:color w:val="auto"/>
              </w:rPr>
            </w:pPr>
            <w:r>
              <w:rPr>
                <w:rFonts w:ascii="Arial" w:cs="Arial" w:eastAsia="Arial" w:hAnsi="Arial"/>
                <w:sz w:val="18"/>
                <w:szCs w:val="18"/>
                <w:color w:val="auto"/>
              </w:rPr>
              <w:t>— %</w:t>
            </w:r>
          </w:p>
        </w:tc>
      </w:tr>
      <w:tr>
        <w:trPr>
          <w:trHeight w:val="27"/>
        </w:trPr>
        <w:tc>
          <w:tcPr>
            <w:tcW w:w="7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512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July 3, 2016 Compared to Three Months Ended June 28, 2015 </w:t>
      </w:r>
      <w:r>
        <w:rPr>
          <w:rFonts w:ascii="Arial" w:cs="Arial" w:eastAsia="Arial" w:hAnsi="Arial"/>
          <w:sz w:val="18"/>
          <w:szCs w:val="18"/>
          <w:i w:val="1"/>
          <w:iCs w:val="1"/>
          <w:color w:val="auto"/>
        </w:rPr>
        <w:t>Sales</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Sales increased $29.9 million, or 29.4%, to $131.4 million for the three months ended July 3, 2016, as compared to $101.5 million for the same period of the prior year.</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were $63.8 million for the three months ended July 3, 2016, a decrease of $3.8 million from $67.6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the prior year. Sales of bulk commodity products in the Industrial segment were approximately 17% of sales dollars this quarter compared to 19% a year ago. While overall sales volumes increased somewhat from a year ago, lower commodity prices on many high-volume bulk products as well as a product mix shift to products with lower average selling prices led to the year-over-year decline in sales dollars.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$1.7 million, or 5.1%, to $35.6 million for the three months ended July 3, 2016,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$33.9 million for the same period of the prior year. Sales of bulk commodity products in the Water Treatment segment were approximately 13% of sales dollars in the current year compared to 16% a year ago. The increase in sales dollars was largely due to the business we acquired in the third quarter of fiscal 2016 and increased volumes of specialized products partially offset by lower volumes of bulk products.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established in the third quarter of fiscal 2016 were $32.0 million for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was $28.2 million, or 21.5% of sales, for the three months ended July 3, 2016, an increase of $7.5 million from $20.7 million, or 20.4% of sales, for the same period of the prior year. The LIFO method of valuing inventory had a nominal impact on gross profit in our Industrial and Water Treatment segments for both this quarter and the comparable period in the prior year. Inventories in our Health and Nutrition Segment are valued using the FIFO method.</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decreased $0.3 million to $10.4 million, or 16.3% of sales, for the three months ended July 3,</w:t>
      </w:r>
      <w:r>
        <w:rPr>
          <w:rFonts w:ascii="Arial" w:cs="Arial" w:eastAsia="Arial" w:hAnsi="Arial"/>
          <w:sz w:val="18"/>
          <w:szCs w:val="18"/>
          <w:i w:val="1"/>
          <w:iCs w:val="1"/>
          <w:color w:val="auto"/>
        </w:rPr>
        <w:t xml:space="preserve"> </w:t>
      </w:r>
      <w:r>
        <w:rPr>
          <w:rFonts w:ascii="Arial" w:cs="Arial" w:eastAsia="Arial" w:hAnsi="Arial"/>
          <w:sz w:val="18"/>
          <w:szCs w:val="18"/>
          <w:color w:val="auto"/>
        </w:rPr>
        <w:t>2016, as compared to $10.7 million, or 15.9% of sales, for the same period of the prior year. Decreased volumes of certain products that carry higher per-unit margins, combined with increased operational costs,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5" w:name="page16"/>
    <w:bookmarkEnd w:id="15"/>
    <w:p>
      <w:pPr>
        <w:ind w:right="700"/>
        <w:spacing w:after="0" w:line="277" w:lineRule="auto"/>
        <w:rPr>
          <w:sz w:val="20"/>
          <w:szCs w:val="20"/>
          <w:color w:val="auto"/>
        </w:rPr>
      </w:pPr>
      <w:r>
        <w:rPr>
          <w:rFonts w:ascii="Arial" w:cs="Arial" w:eastAsia="Arial" w:hAnsi="Arial"/>
          <w:sz w:val="18"/>
          <w:szCs w:val="18"/>
          <w:color w:val="auto"/>
        </w:rPr>
        <w:t>negatively impacted gross profits. In addition, market selling prices of certain bulk commodity products declined in advance of our products costs in inventory which unfavorably impacted our gross profit.</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$0.6 million to $10.6 million, or 29.8%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 2016, as compared to $10.0 million, or 29.6% of sales, for the same period of the prior year. The increase in gross profit dollars was primarily driven by increased sales volumes of specialized products that have higher per-unit margins as well as profits from the business acquired in the third quarter of fiscal 2016.</w:t>
      </w:r>
    </w:p>
    <w:p>
      <w:pPr>
        <w:spacing w:after="0" w:line="133"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was $7.2 million, or 22.4% of sales, for the first quarter of fiscal 2017.</w:t>
      </w:r>
      <w:r>
        <w:rPr>
          <w:rFonts w:ascii="Arial" w:cs="Arial" w:eastAsia="Arial" w:hAnsi="Arial"/>
          <w:sz w:val="18"/>
          <w:szCs w:val="18"/>
          <w:i w:val="1"/>
          <w:iCs w:val="1"/>
          <w:color w:val="auto"/>
        </w:rPr>
        <w:t xml:space="preserve"> Selling, General and Administrative Expenses</w:t>
      </w:r>
    </w:p>
    <w:p>
      <w:pPr>
        <w:spacing w:after="0" w:line="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Selling, general and administrative (“SG&amp;A”) expenses were $15.1 million, or 11.5% of sales, for the three months ended July 3, 2016, an increase of $5.2 million from $9.9 million, or 9.7% of sales, for the same period of the prior year. SG&amp;A expenses in our Health and Nutrition segment were $4.7 million in the current quarter, including $1.2 million of amortization expense on acquired intangible assets. Expenses increased in our Water Treatment and Industrial segments largely as a result of the addition of sales and support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was $13.1 million for the three months ended July 3, 2016, as compared to $10.8 million for the same period of the prior year. Operating income provided by our Health and Nutrition segment was $2.5 million. Operating income in our Industrial segment decreased $0.5 million due to a combination of lower gross profit and higher SG&amp;A expenses described above. Operating income in our Water Treatment segment increased by $0.2 million, with higher gross profit partially offset by increased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increased by $0.7 million for the first quarter of fiscal 2017 compared to the same period of the prior year due to the interest costs on the debt added during the third quarter of fiscal 2016 to partially fund the Stauber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effective income tax rate was 38.5% for the three months ended July 3, 2016 compared to 37.5% for the three months ended June 28, 2015. The effective tax rate is impacted by projected levels of annual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provided by operating activities for the three months ended July 3, 2016 was $14.4 million, compared to $7.9 million for the same period of the prior year. The increase in cash provided by operating activities was driven by the added operating activity of the Health and Nutrition segment established in the third quarter of fiscal 2016, as well as the timing of inventory purchases and payments.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3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Cash used in investing activities was $8.3 million for the three months ended July 3, 2016, compared to $3.5 million for the three months ended June 28, 2015. Capital expenditures were $6.3 million for the three months ended July 3, 2016, compared to $5.2 million in the same period of the prior fiscal year. Included in capital expenditures for the first three months of fiscal 2017 was $3.3 million related to business expansion, inventory storage, and process improvements, including the purchase of one of our previously leased Florida locations, and $2.0 million related to facility improvements, replacement equipment, new and replacement containers, and Water Treatment trucks. We paid $2.2 million of additional purchase price for Stauber as closing cash, debt and working capital balances were finalized during the first quarter of fiscal 2017.</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financing activities was $4.9 million for the three months ended July 3, 2016, compared to cash used in financing activities of $5.0 million in the same period of the prior fiscal year. A cash debt repayment of $1.3 million was included in the three months ended July 3,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8"/>
          <w:szCs w:val="18"/>
          <w:color w:val="auto"/>
        </w:rPr>
        <w:t>Cash was $21.2 million at July 3, 2016, an increase of $1.2 million as compared with the $20.0 million available as of April 3, 2016. Cash flows generated by operations during the three months ended July 3, 2016 were partially offset by capital expenditures, cash dividends paid, the Stauber acquisition purchase price adjustment, and debt repayment.</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December 23, 2015, in connection with the Stauber acquisition described more fully in Note 3 to the condensed consolidated financial statements,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Revolving Loan Facility includes a letter of credit subfacility in the amount of $5.0 million and a swingline subfacility in the amount of $8.0 million. The Term Loan facility requires mandatory quarterly repayments as outlined in Note 6 to the condensed consolidated financial statements, with the balance due at maturity. The Credit Facility is scheduled to terminate on December 23, 2020. The Credit Facility is secured by substantially all of our personal property assets and those of our subsidiaries.</w:t>
      </w:r>
    </w:p>
    <w:p>
      <w:pPr>
        <w:spacing w:after="0" w:line="18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4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July 3, 2016, the effective interest rate on our borrowings was 1.7%.</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used $131.0 million of the proceeds from the Credit Facility to fund our acquisition of Stauber. As of July 3, 2016 we had $34.0 million remaining available under the Revolving Loan Facility, which may be used for working capital, capital expenditures, restricted payments and acquisitions permitted under the credit agreement, and other general corporate purposes.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issuance costs of $0.7 million paid to lenders are reflected as a reduction of long-term debt and will be amortized as interest expense over the term of the credit facility.</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will be permitted to make distributions, pay dividends and repurchase shares so long as no default or event of default exists or would exist as a result thereof. As of July 3, 2016, we were in compliance with all required covenants.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compliment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3, 2016. The accounting policies used in preparing our condensed consolidated financial statements for the first quarter of fiscal 2017 are the same as those described in that Annual Report.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3, 2016.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annual interest expense by approximately $0.3 million. Other types of market risk, such as foreign currency risk, do not arise in the normal course of our business activities.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6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acquired Stauber Performance Ingredients on December 23, 2015. In the conduct of our assessment of the effectiveness of our disclosure controls and procedures and internal control over financial reporting for the period ended July 3, 2016, we have excluded total assets of $201.5 million (of which $153.3 million represents goodwill and intangibles included within the scope of the assessment) and net sales of $32.0 million related to Stauber that are included in our condensed consolidated financial statements as of and for the three months ended July 3, 2016. We must include Stauber in the conduct of our assessment of the effectiveness of our disclosure controls and procedures and internal control over financial reporting no later than the third quarter of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2017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40"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3, 2016.</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sell or repurchase any shares of our common stock during the first quarter of fiscal 2017. As of July 3, 2016, the maximum number of shares available to be repurchased under the share repurchase program was 112,546.</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8"/>
              </w:rPr>
              <w:t>Shares that May Yet be</w:t>
            </w:r>
          </w:p>
        </w:tc>
      </w:tr>
      <w:tr>
        <w:trPr>
          <w:trHeight w:val="216"/>
        </w:trPr>
        <w:tc>
          <w:tcPr>
            <w:tcW w:w="2120" w:type="dxa"/>
            <w:vAlign w:val="bottom"/>
          </w:tcPr>
          <w:p>
            <w:pPr>
              <w:spacing w:after="0"/>
              <w:rPr>
                <w:sz w:val="18"/>
                <w:szCs w:val="18"/>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Total Number of</w:t>
            </w:r>
          </w:p>
        </w:tc>
        <w:tc>
          <w:tcPr>
            <w:tcW w:w="42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w w:val="91"/>
              </w:rPr>
              <w:t>Average Price Paid Per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Publicly Announced Plan</w:t>
            </w:r>
          </w:p>
        </w:tc>
        <w:tc>
          <w:tcPr>
            <w:tcW w:w="1920" w:type="dxa"/>
            <w:vAlign w:val="bottom"/>
          </w:tcPr>
          <w:p>
            <w:pPr>
              <w:jc w:val="right"/>
              <w:spacing w:after="0"/>
              <w:rPr>
                <w:sz w:val="20"/>
                <w:szCs w:val="20"/>
                <w:color w:val="auto"/>
              </w:rPr>
            </w:pPr>
            <w:r>
              <w:rPr>
                <w:rFonts w:ascii="Arial" w:cs="Arial" w:eastAsia="Arial" w:hAnsi="Arial"/>
                <w:sz w:val="18"/>
                <w:szCs w:val="18"/>
                <w:color w:val="auto"/>
                <w:w w:val="91"/>
              </w:rPr>
              <w:t>Purchased under Plans or</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Period</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w w:val="99"/>
              </w:rPr>
              <w:t>Shares Purchased</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Share</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or Program</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9"/>
              </w:rPr>
              <w:t>Programs</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04/4/2016-05/1/2016</w:t>
            </w:r>
          </w:p>
        </w:tc>
        <w:tc>
          <w:tcPr>
            <w:tcW w:w="1700" w:type="dxa"/>
            <w:vAlign w:val="bottom"/>
          </w:tcPr>
          <w:p>
            <w:pPr>
              <w:jc w:val="right"/>
              <w:spacing w:after="0"/>
              <w:rPr>
                <w:sz w:val="20"/>
                <w:szCs w:val="20"/>
                <w:color w:val="auto"/>
              </w:rPr>
            </w:pPr>
            <w:r>
              <w:rPr>
                <w:rFonts w:ascii="Arial" w:cs="Arial" w:eastAsia="Arial" w:hAnsi="Arial"/>
                <w:sz w:val="18"/>
                <w:szCs w:val="18"/>
                <w:color w:val="auto"/>
              </w:rPr>
              <w:t>8,809</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36.11</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112,546</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05/2/2016-05/26/2016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112,546</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05/30/2016-07/3/2016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112,546</w:t>
            </w:r>
          </w:p>
        </w:tc>
      </w:tr>
      <w:tr>
        <w:trPr>
          <w:trHeight w:val="27"/>
        </w:trPr>
        <w:tc>
          <w:tcPr>
            <w:tcW w:w="2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120" w:type="dxa"/>
            <w:vAlign w:val="bottom"/>
          </w:tcPr>
          <w:p>
            <w:pPr>
              <w:ind w:left="40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8,809</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r>
    </w:tbl>
    <w:p>
      <w:pPr>
        <w:spacing w:after="0" w:line="229" w:lineRule="exact"/>
        <w:rPr>
          <w:sz w:val="20"/>
          <w:szCs w:val="20"/>
          <w:color w:val="auto"/>
        </w:rPr>
      </w:pPr>
    </w:p>
    <w:p>
      <w:pPr>
        <w:ind w:firstLine="8"/>
        <w:spacing w:after="0" w:line="301" w:lineRule="auto"/>
        <w:tabs>
          <w:tab w:leader="none" w:pos="17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The shares of common stock in this row represent shares that were surrendered to us by stock plan participants in order to satisfy minimum withholding tax obligations related to the vesting of restricted stock awards and are not shares purchased under the Board of Directors authorization described below.</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0" w:right="27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234" w:lineRule="exact"/>
        <w:rPr>
          <w:sz w:val="20"/>
          <w:szCs w:val="20"/>
          <w:color w:val="auto"/>
        </w:rPr>
      </w:pPr>
    </w:p>
    <w:p>
      <w:pPr>
        <w:ind w:left="160"/>
        <w:spacing w:after="0"/>
        <w:tabs>
          <w:tab w:leader="none" w:pos="564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437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(1)</w:t>
      </w:r>
    </w:p>
    <w:p>
      <w:pPr>
        <w:spacing w:after="0" w:line="7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(2)</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840" w:right="160" w:hanging="535"/>
        <w:spacing w:after="0" w:line="255"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Hawkins, Inc. for the period ended July 3, 2016 filed with the SEC on August 3, 2016, formatted in Extensible Business Reporting Language (XBRL); (i) the Condensed Consolidated Balance Sheets at July 3, 2016 and April 3, 2016, (ii) the Condensed Consolidated Statements of Income for the Three Months Ended July 3, 2016 and June 28, 2015, (iii) the Condensed Consolidated Statements of Comprehensive Income for the Three Months Ended July 3, 2016 and June 28, 2015, (iv) the Condensed Consolidated Statements of Cash Flows for the Three Months Ended July 3, 2016 and June 28, 2015, and (v) Notes to Condensed Consolidated Financial Statements.</w:t>
      </w:r>
    </w:p>
    <w:p>
      <w:pPr>
        <w:spacing w:after="0" w:line="193" w:lineRule="exact"/>
        <w:rPr>
          <w:rFonts w:ascii="Arial" w:cs="Arial" w:eastAsia="Arial" w:hAnsi="Arial"/>
          <w:sz w:val="18"/>
          <w:szCs w:val="18"/>
          <w:color w:val="auto"/>
        </w:rPr>
      </w:pPr>
    </w:p>
    <w:p>
      <w:pPr>
        <w:ind w:left="540" w:hanging="316"/>
        <w:spacing w:after="0" w:line="25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84" w:right="339" w:bottom="1440" w:gutter="0" w:footer="0" w:header="0"/>
        </w:sectPr>
      </w:pPr>
    </w:p>
    <w:bookmarkStart w:id="20" w:name="page21"/>
    <w:bookmarkEnd w:id="2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2016</w:t>
      </w:r>
    </w:p>
    <w:p>
      <w:pPr>
        <w:sectPr>
          <w:pgSz w:w="11900" w:h="16838" w:orient="portrait"/>
          <w:cols w:equalWidth="0" w:num="1">
            <w:col w:w="11220"/>
          </w:cols>
          <w:pgMar w:left="240" w:top="580" w:right="439" w:bottom="1440" w:gutter="0" w:footer="0" w:header="0"/>
        </w:sectPr>
      </w:pPr>
    </w:p>
    <w:bookmarkStart w:id="21" w:name="page22"/>
    <w:bookmarkEnd w:id="21"/>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63"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jc w:val="both"/>
        <w:ind w:left="700" w:right="100" w:hanging="541"/>
        <w:spacing w:after="0" w:line="291"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July 3, 2016 filed with the SEC on August 3, 2016, formatted in Extensible Business Reporting Language (XBRL);</w:t>
      </w:r>
    </w:p>
    <w:p>
      <w:pPr>
        <w:ind w:left="700"/>
        <w:spacing w:after="0" w:line="292" w:lineRule="auto"/>
        <w:rPr>
          <w:rFonts w:ascii="Arial" w:cs="Arial" w:eastAsia="Arial" w:hAnsi="Arial"/>
          <w:sz w:val="16"/>
          <w:szCs w:val="16"/>
          <w:color w:val="auto"/>
        </w:rPr>
      </w:pPr>
      <w:r>
        <w:rPr>
          <w:rFonts w:ascii="Arial" w:cs="Arial" w:eastAsia="Arial" w:hAnsi="Arial"/>
          <w:sz w:val="16"/>
          <w:szCs w:val="16"/>
          <w:color w:val="auto"/>
        </w:rPr>
        <w:t>(i) the Condensed Consolidated Balance Sheets at July 3, 2016 and April 3, 2016, (ii) the Condensed Consolidated Statements of Income for the Three Months Ended July 3, 2016 and June 28, 2015, (iii) the Condensed Consolidated Statements of Comprehensive Income for the Three Months Ended July 3, 2016 and June 28, 2015, (iv) the Condensed Consolidated Statements of Cash Flows for the Three Months Ended July 3, 2016 and June 28, 2015, and (v)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46"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600" w:space="460"/>
            <w:col w:w="1920"/>
          </w:cols>
          <w:pgMar w:left="400" w:top="580" w:right="5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3, 2016,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2016</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3, 2016,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decimal"/>
      <w:start w:val="101"/>
    </w:lvl>
  </w:abstractNum>
  <w:abstractNum w:abstractNumId="4">
    <w:nsid w:val="2EB141F2"/>
    <w:multiLevelType w:val="hybridMultilevel"/>
    <w:lvl w:ilvl="0">
      <w:lvlJc w:val="left"/>
      <w:lvlText w:val="(%1)"/>
      <w:numFmt w:val="decimal"/>
      <w:start w:val="1"/>
    </w:lvl>
    <w:lvl w:ilvl="1">
      <w:lvlJc w:val="left"/>
      <w:lvlText w:val="%2"/>
      <w:numFmt w:val="decimal"/>
      <w:start w:val="1"/>
    </w:lvl>
  </w:abstractNum>
  <w:abstractNum w:abstractNumId="5">
    <w:nsid w:val="41B71EFB"/>
    <w:multiLevelType w:val="hybridMultilevel"/>
    <w:lvl w:ilvl="0">
      <w:lvlJc w:val="left"/>
      <w:lvlText w:val="%1"/>
      <w:numFmt w:val="decimal"/>
      <w:start w:val="10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2019-12-29T10:39:45Z</dcterms:created>
  <dcterms:modified xsi:type="dcterms:W3CDTF">2019-12-29T10:39:45Z</dcterms:modified>
</cp:coreProperties>
</file>