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Washington, D.C. 20549</w:t>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FORM 8-K</w:t>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CURRENT REPORT</w:t>
      </w:r>
    </w:p>
    <w:p>
      <w:pPr>
        <w:spacing w:after="0" w:line="169"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Pursuant to Secton 13 or 15(d) of the</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61" w:lineRule="exact"/>
        <w:rPr>
          <w:sz w:val="24"/>
          <w:szCs w:val="24"/>
          <w:color w:val="auto"/>
        </w:rPr>
      </w:pPr>
    </w:p>
    <w:p>
      <w:pPr>
        <w:jc w:val="center"/>
        <w:ind w:right="-19"/>
        <w:spacing w:after="0"/>
        <w:rPr>
          <w:sz w:val="20"/>
          <w:szCs w:val="20"/>
          <w:color w:val="auto"/>
        </w:rPr>
      </w:pPr>
      <w:r>
        <w:rPr>
          <w:rFonts w:ascii="Calibri" w:cs="Calibri" w:eastAsia="Calibri" w:hAnsi="Calibri"/>
          <w:sz w:val="21"/>
          <w:szCs w:val="21"/>
          <w:b w:val="1"/>
          <w:bCs w:val="1"/>
          <w:color w:val="auto"/>
        </w:rPr>
        <w:t>Date of Report (Date of earliest event reported) January 29, 2025</w:t>
      </w:r>
    </w:p>
    <w:p>
      <w:pPr>
        <w:spacing w:after="0" w:line="354" w:lineRule="exact"/>
        <w:rPr>
          <w:sz w:val="24"/>
          <w:szCs w:val="24"/>
          <w:color w:val="auto"/>
        </w:rPr>
      </w:pPr>
    </w:p>
    <w:p>
      <w:pPr>
        <w:jc w:val="center"/>
        <w:ind w:right="-19"/>
        <w:spacing w:after="0"/>
        <w:rPr>
          <w:sz w:val="20"/>
          <w:szCs w:val="20"/>
          <w:color w:val="auto"/>
        </w:rPr>
      </w:pPr>
      <w:r>
        <w:rPr>
          <w:rFonts w:ascii="Calibri" w:cs="Calibri" w:eastAsia="Calibri" w:hAnsi="Calibri"/>
          <w:sz w:val="43"/>
          <w:szCs w:val="43"/>
          <w:b w:val="1"/>
          <w:bCs w:val="1"/>
          <w:color w:val="auto"/>
        </w:rPr>
        <w:t>Hawkins, Inc.</w:t>
      </w:r>
    </w:p>
    <w:p>
      <w:pPr>
        <w:spacing w:after="0" w:line="27"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40"/>
          </w:cols>
          <w:pgMar w:left="320" w:top="1030" w:right="339" w:bottom="1440" w:gutter="0" w:footer="0" w:header="0"/>
        </w:sectPr>
      </w:pPr>
    </w:p>
    <w:p>
      <w:pPr>
        <w:spacing w:after="0" w:line="42" w:lineRule="exact"/>
        <w:rPr>
          <w:sz w:val="24"/>
          <w:szCs w:val="24"/>
          <w:color w:val="auto"/>
        </w:rPr>
      </w:pPr>
    </w:p>
    <w:p>
      <w:pPr>
        <w:ind w:left="1200"/>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20"/>
        <w:spacing w:after="0"/>
        <w:rPr>
          <w:sz w:val="20"/>
          <w:szCs w:val="20"/>
          <w:color w:val="auto"/>
        </w:rPr>
      </w:pPr>
      <w:r>
        <w:rPr>
          <w:rFonts w:ascii="Calibri" w:cs="Calibri" w:eastAsia="Calibri" w:hAnsi="Calibri"/>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41-0771293</w:t>
      </w:r>
    </w:p>
    <w:p>
      <w:pPr>
        <w:spacing w:after="0" w:line="16" w:lineRule="exact"/>
        <w:rPr>
          <w:sz w:val="24"/>
          <w:szCs w:val="24"/>
          <w:color w:val="auto"/>
        </w:rPr>
      </w:pPr>
    </w:p>
    <w:p>
      <w:pPr>
        <w:sectPr>
          <w:pgSz w:w="11900" w:h="16838" w:orient="portrait"/>
          <w:cols w:equalWidth="0" w:num="3">
            <w:col w:w="4540" w:space="720"/>
            <w:col w:w="2820" w:space="720"/>
            <w:col w:w="2440"/>
          </w:cols>
          <w:pgMar w:left="320" w:top="1030" w:right="339" w:bottom="1440" w:gutter="0" w:footer="0" w:header="0"/>
          <w:type w:val="continuous"/>
        </w:sectPr>
      </w:pPr>
    </w:p>
    <w:p>
      <w:pPr>
        <w:ind w:left="900"/>
        <w:spacing w:after="0"/>
        <w:rPr>
          <w:sz w:val="20"/>
          <w:szCs w:val="20"/>
          <w:color w:val="auto"/>
        </w:rPr>
      </w:pPr>
      <w:r>
        <w:rPr>
          <w:rFonts w:ascii="Calibri" w:cs="Calibri" w:eastAsia="Calibri" w:hAnsi="Calibri"/>
          <w:sz w:val="14"/>
          <w:szCs w:val="14"/>
          <w:b w:val="1"/>
          <w:bCs w:val="1"/>
          <w:color w:val="auto"/>
        </w:rPr>
        <w:t>(State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(IRS Employer Identfcaton No.)</w:t>
      </w:r>
    </w:p>
    <w:p>
      <w:pPr>
        <w:spacing w:after="0" w:line="200" w:lineRule="exact"/>
        <w:rPr>
          <w:sz w:val="24"/>
          <w:szCs w:val="24"/>
          <w:color w:val="auto"/>
        </w:rPr>
      </w:pPr>
    </w:p>
    <w:p>
      <w:pPr>
        <w:sectPr>
          <w:pgSz w:w="11900" w:h="16838" w:orient="portrait"/>
          <w:cols w:equalWidth="0" w:num="3">
            <w:col w:w="4000" w:space="720"/>
            <w:col w:w="2820" w:space="720"/>
            <w:col w:w="2980"/>
          </w:cols>
          <w:pgMar w:left="320" w:top="1030" w:right="339" w:bottom="1440" w:gutter="0" w:footer="0" w:header="0"/>
          <w:type w:val="continuous"/>
        </w:sectPr>
      </w:pPr>
    </w:p>
    <w:p>
      <w:pPr>
        <w:spacing w:after="0" w:line="27" w:lineRule="exact"/>
        <w:rPr>
          <w:sz w:val="24"/>
          <w:szCs w:val="24"/>
          <w:color w:val="auto"/>
        </w:rPr>
      </w:pPr>
    </w:p>
    <w:p>
      <w:pPr>
        <w:ind w:left="900"/>
        <w:spacing w:after="0"/>
        <w:rPr>
          <w:sz w:val="20"/>
          <w:szCs w:val="20"/>
          <w:color w:val="auto"/>
        </w:rPr>
      </w:pPr>
      <w:r>
        <w:rPr>
          <w:rFonts w:ascii="Calibri" w:cs="Calibri" w:eastAsia="Calibri" w:hAnsi="Calibri"/>
          <w:sz w:val="17"/>
          <w:szCs w:val="17"/>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Calibri" w:cs="Calibri" w:eastAsia="Calibri" w:hAnsi="Calibri"/>
          <w:sz w:val="18"/>
          <w:szCs w:val="18"/>
          <w:b w:val="1"/>
          <w:bCs w:val="1"/>
          <w:color w:val="auto"/>
        </w:rPr>
        <w:t>55113</w:t>
      </w:r>
    </w:p>
    <w:p>
      <w:pPr>
        <w:spacing w:after="0" w:line="8" w:lineRule="exact"/>
        <w:rPr>
          <w:sz w:val="24"/>
          <w:szCs w:val="24"/>
          <w:color w:val="auto"/>
        </w:rPr>
      </w:pPr>
    </w:p>
    <w:p>
      <w:pPr>
        <w:sectPr>
          <w:pgSz w:w="11900" w:h="16838" w:orient="portrait"/>
          <w:cols w:equalWidth="0" w:num="3">
            <w:col w:w="2740" w:space="380"/>
            <w:col w:w="5480" w:space="720"/>
            <w:col w:w="1920"/>
          </w:cols>
          <w:pgMar w:left="320" w:top="1030" w:right="339" w:bottom="1440" w:gutter="0" w:footer="0" w:header="0"/>
          <w:type w:val="continuous"/>
        </w:sectPr>
      </w:pPr>
    </w:p>
    <w:p>
      <w:pPr>
        <w:ind w:left="1200"/>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20" w:space="720"/>
            <w:col w:w="2000"/>
          </w:cols>
          <w:pgMar w:left="320" w:top="1030" w:right="339" w:bottom="1440" w:gutter="0" w:footer="0" w:header="0"/>
          <w:type w:val="continuous"/>
        </w:sectPr>
      </w:pPr>
    </w:p>
    <w:p>
      <w:pPr>
        <w:spacing w:after="0" w:line="30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(612) 331-6910</w:t>
      </w:r>
    </w:p>
    <w:p>
      <w:pPr>
        <w:spacing w:after="0" w:line="325" w:lineRule="exact"/>
        <w:rPr>
          <w:sz w:val="24"/>
          <w:szCs w:val="24"/>
          <w:color w:val="auto"/>
        </w:rPr>
      </w:pPr>
    </w:p>
    <w:p>
      <w:pPr>
        <w:ind w:right="500" w:firstLine="445"/>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3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1160"/>
              <w:spacing w:after="0"/>
              <w:rPr>
                <w:sz w:val="20"/>
                <w:szCs w:val="20"/>
                <w:color w:val="auto"/>
              </w:rPr>
            </w:pPr>
            <w:r>
              <w:rPr>
                <w:rFonts w:ascii="Calibri" w:cs="Calibri" w:eastAsia="Calibri" w:hAnsi="Calibri"/>
                <w:sz w:val="16"/>
                <w:szCs w:val="16"/>
                <w:b w:val="1"/>
                <w:bCs w:val="1"/>
                <w:color w:val="auto"/>
              </w:rPr>
              <w:t>Title of each class</w:t>
            </w:r>
          </w:p>
        </w:tc>
        <w:tc>
          <w:tcPr>
            <w:tcW w:w="3080" w:type="dxa"/>
            <w:vAlign w:val="bottom"/>
          </w:tcPr>
          <w:p>
            <w:pPr>
              <w:jc w:val="center"/>
              <w:ind w:left="79"/>
              <w:spacing w:after="0"/>
              <w:rPr>
                <w:sz w:val="20"/>
                <w:szCs w:val="20"/>
                <w:color w:val="auto"/>
              </w:rPr>
            </w:pPr>
            <w:r>
              <w:rPr>
                <w:rFonts w:ascii="Calibri" w:cs="Calibri" w:eastAsia="Calibri" w:hAnsi="Calibri"/>
                <w:sz w:val="16"/>
                <w:szCs w:val="16"/>
                <w:b w:val="1"/>
                <w:bCs w:val="1"/>
                <w:color w:val="auto"/>
              </w:rPr>
              <w:t>Trading Symbol(s)</w:t>
            </w:r>
          </w:p>
        </w:tc>
        <w:tc>
          <w:tcPr>
            <w:tcW w:w="4240" w:type="dxa"/>
            <w:vAlign w:val="bottom"/>
          </w:tcPr>
          <w:p>
            <w:pPr>
              <w:jc w:val="center"/>
              <w:ind w:left="31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55"/>
        </w:trPr>
        <w:tc>
          <w:tcPr>
            <w:tcW w:w="37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r>
        <w:trPr>
          <w:trHeight w:val="187"/>
        </w:trPr>
        <w:tc>
          <w:tcPr>
            <w:tcW w:w="37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3080" w:type="dxa"/>
            <w:vAlign w:val="bottom"/>
          </w:tcPr>
          <w:p>
            <w:pPr>
              <w:jc w:val="center"/>
              <w:ind w:left="99"/>
              <w:spacing w:after="0" w:line="187" w:lineRule="exact"/>
              <w:rPr>
                <w:sz w:val="20"/>
                <w:szCs w:val="20"/>
                <w:color w:val="auto"/>
              </w:rPr>
            </w:pPr>
            <w:r>
              <w:rPr>
                <w:rFonts w:ascii="Calibri" w:cs="Calibri" w:eastAsia="Calibri" w:hAnsi="Calibri"/>
                <w:sz w:val="16"/>
                <w:szCs w:val="16"/>
                <w:color w:val="auto"/>
                <w:w w:val="97"/>
              </w:rPr>
              <w:t>HWKN</w:t>
            </w:r>
          </w:p>
        </w:tc>
        <w:tc>
          <w:tcPr>
            <w:tcW w:w="4240" w:type="dxa"/>
            <w:vAlign w:val="bottom"/>
          </w:tcPr>
          <w:p>
            <w:pPr>
              <w:jc w:val="center"/>
              <w:ind w:left="299"/>
              <w:spacing w:after="0" w:line="187" w:lineRule="exact"/>
              <w:rPr>
                <w:sz w:val="20"/>
                <w:szCs w:val="20"/>
                <w:color w:val="auto"/>
              </w:rPr>
            </w:pPr>
            <w:r>
              <w:rPr>
                <w:rFonts w:ascii="Calibri" w:cs="Calibri" w:eastAsia="Calibri" w:hAnsi="Calibri"/>
                <w:sz w:val="16"/>
                <w:szCs w:val="16"/>
                <w:color w:val="auto"/>
              </w:rPr>
              <w:t>The Nasdaq Stock Market LLC</w:t>
            </w:r>
          </w:p>
        </w:tc>
      </w:tr>
    </w:tbl>
    <w:p>
      <w:pPr>
        <w:spacing w:after="0" w:line="365" w:lineRule="exact"/>
        <w:rPr>
          <w:sz w:val="24"/>
          <w:szCs w:val="24"/>
          <w:color w:val="auto"/>
        </w:rPr>
      </w:pPr>
    </w:p>
    <w:p>
      <w:pPr>
        <w:ind w:right="12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(17 CFR 230.405) or Rule 12b-2 of the Exchange Act (17 CFR 240.12b 2).</w:t>
      </w:r>
    </w:p>
    <w:p>
      <w:pPr>
        <w:spacing w:after="0" w:line="208" w:lineRule="exact"/>
        <w:rPr>
          <w:sz w:val="24"/>
          <w:szCs w:val="24"/>
          <w:color w:val="auto"/>
        </w:rPr>
      </w:pPr>
    </w:p>
    <w:p>
      <w:pPr>
        <w:ind w:left="9120"/>
        <w:spacing w:after="0" w:line="208" w:lineRule="exact"/>
        <w:rPr>
          <w:sz w:val="20"/>
          <w:szCs w:val="20"/>
          <w:color w:val="auto"/>
        </w:rPr>
      </w:pPr>
      <w:r>
        <w:rPr>
          <w:rFonts w:ascii="Calibri" w:cs="Calibri" w:eastAsia="Calibri" w:hAnsi="Calibri"/>
          <w:sz w:val="17"/>
          <w:szCs w:val="17"/>
          <w:color w:val="auto"/>
        </w:rPr>
        <w:t xml:space="preserve">Emerging growth company </w:t>
      </w:r>
      <w:r>
        <w:rPr>
          <w:rFonts w:ascii="MS PGothic" w:cs="MS PGothic" w:eastAsia="MS PGothic" w:hAnsi="MS PGothic"/>
          <w:sz w:val="17"/>
          <w:szCs w:val="17"/>
          <w:color w:val="auto"/>
        </w:rPr>
        <w:t>☐</w:t>
      </w:r>
    </w:p>
    <w:p>
      <w:pPr>
        <w:spacing w:after="0" w:line="194" w:lineRule="exact"/>
        <w:rPr>
          <w:sz w:val="24"/>
          <w:szCs w:val="24"/>
          <w:color w:val="auto"/>
        </w:rPr>
      </w:pPr>
    </w:p>
    <w:p>
      <w:pPr>
        <w:ind w:right="10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Item 4.01. Changes in Registrant’s Certfying Accountant.</w:t>
      </w:r>
    </w:p>
    <w:p>
      <w:pPr>
        <w:spacing w:after="0" w:line="231"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color w:val="auto"/>
        </w:rPr>
        <w:t>The Audit Commitee (the “Commitee”) of the Board of Directors of Hawkins, Inc. (the “Company”) conducted a compettve process to determine the Company’s independent registered public accountng frm for the Company’s fscal year ending March 29, 2026.</w:t>
      </w:r>
    </w:p>
    <w:p>
      <w:pPr>
        <w:spacing w:after="0" w:line="245"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Following the review of proposals from the independent registered public accountng frms that partcipated in the process, on January 29, 2025, the Commitee approved the engagement of Deloite &amp; Touche LLP (“Deloite”), as the Company’s independent registered public accountng frm, for the Company’s fscal year ending March 29, 2026, subject to executon of an engagement leter. In connecton with this appointment, the Commitee approved the dismissal of Grant Thornton LLP ("Grant Thornton"). Grant Thornton was previously engaged to audit the Company's consolidated fnancial statements for the year ending March 30, 2025. The appointment of Deloite does not afect Grant Thornton's engagement for the year ending March 30, 2025.</w:t>
      </w:r>
    </w:p>
    <w:p>
      <w:pPr>
        <w:spacing w:after="0" w:line="238"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Grant Thornton’s reports on the consolidated fnancial statements of the Company as of and for the fscal years ended March 31, 2024 and April 2, 2023 did not contain any adverse opinion or disclaimer of opinion, nor were they qualifed or modifed as to uncertainty, audit scope or accountng principles.</w:t>
      </w:r>
    </w:p>
    <w:p>
      <w:pPr>
        <w:spacing w:after="0" w:line="24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During the fscal years ended April 2, 2023 and March 31, 2024, and the subsequent interim periods through January 29, 2025, there were (i) no disagreements within the meaning of Item 304(a)(1)(iv) of Regulaton S-K and the related instructons between the Company and Grant Thornton on any maters of accountng principles or practces, fnancial statement disclosure, or auditng scope or procedure which, if not resolved to the satsfacton of Grant Thornton, would have caused Grant Thornton to make reference thereto in their reports; and (ii) no “reportable events” as defned in Item 304(a)(1)(v) of Regulaton S-K.</w:t>
      </w:r>
    </w:p>
    <w:p>
      <w:pPr>
        <w:spacing w:after="0" w:line="24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During the fscal years ended April 2, 2023 and March 31, 2024, and the subsequent interim periods through January 29, 2025, neither the Company nor anyone on its behalf has consulted with Deloite regarding (i) the applicaton of accountng principles to a specifc transacton, either completed or proposed, or the type of audit opinion that might be rendered on the Company’s consolidated fnancial statements, and neither a writen report nor oral advice was provided to the Company that Deloite concluded was an important factor considered by the Company in reaching a decision as to any accountng, auditng, or fnancial reportng issue; (ii) any maters that were the subject of a disagreement within the meaning of Item 304(a)(1)(iv) of Regulaton S-K and the related instructons; or (iii) any reportable event within the meaning of Item 304(a)(1)(v) of Regulaton S-K.</w:t>
      </w:r>
    </w:p>
    <w:p>
      <w:pPr>
        <w:spacing w:after="0" w:line="248"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The Company has provided Grant Thornton with a copy of this disclosure and requested that Grant Thornton furnish the Company with a leter addressed to the Securites and Exchange Commission statng whether it agrees with the above statements. The leter from Grant Thornton was furnished to the Company on February 3, 2025, and is atached as Exhibit 16.1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10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Exhibits</w:t>
      </w:r>
      <w:r>
        <w:rPr>
          <w:rFonts w:ascii="Calibri" w:cs="Calibri" w:eastAsia="Calibri" w:hAnsi="Calibri"/>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4"/>
          </w:tcPr>
          <w:p>
            <w:pPr>
              <w:ind w:left="20"/>
              <w:spacing w:after="0"/>
              <w:rPr>
                <w:sz w:val="20"/>
                <w:szCs w:val="20"/>
                <w:color w:val="auto"/>
              </w:rPr>
            </w:pPr>
            <w:r>
              <w:rPr>
                <w:rFonts w:ascii="Calibri" w:cs="Calibri" w:eastAsia="Calibri" w:hAnsi="Calibri"/>
                <w:sz w:val="14"/>
                <w:szCs w:val="14"/>
                <w:color w:val="auto"/>
              </w:rPr>
              <w:t>Exhibit No.</w:t>
            </w:r>
          </w:p>
        </w:tc>
        <w:tc>
          <w:tcPr>
            <w:tcW w:w="7360" w:type="dxa"/>
            <w:vAlign w:val="bottom"/>
            <w:gridSpan w:val="2"/>
          </w:tcPr>
          <w:p>
            <w:pPr>
              <w:ind w:left="20"/>
              <w:spacing w:after="0"/>
              <w:rPr>
                <w:sz w:val="20"/>
                <w:szCs w:val="20"/>
                <w:color w:val="auto"/>
              </w:rPr>
            </w:pPr>
            <w:r>
              <w:rPr>
                <w:rFonts w:ascii="Calibri" w:cs="Calibri" w:eastAsia="Calibri" w:hAnsi="Calibri"/>
                <w:sz w:val="14"/>
                <w:szCs w:val="14"/>
                <w:color w:val="auto"/>
              </w:rPr>
              <w:t>Descripton</w:t>
            </w:r>
          </w:p>
        </w:tc>
        <w:tc>
          <w:tcPr>
            <w:tcW w:w="1720" w:type="dxa"/>
            <w:vAlign w:val="bottom"/>
            <w:gridSpan w:val="2"/>
          </w:tcPr>
          <w:p>
            <w:pPr>
              <w:jc w:val="center"/>
              <w:ind w:right="40"/>
              <w:spacing w:after="0"/>
              <w:rPr>
                <w:sz w:val="20"/>
                <w:szCs w:val="20"/>
                <w:color w:val="auto"/>
              </w:rPr>
            </w:pPr>
            <w:r>
              <w:rPr>
                <w:rFonts w:ascii="Calibri" w:cs="Calibri" w:eastAsia="Calibri" w:hAnsi="Calibri"/>
                <w:sz w:val="14"/>
                <w:szCs w:val="14"/>
                <w:color w:val="auto"/>
              </w:rPr>
              <w:t>Method of Filing</w:t>
            </w:r>
          </w:p>
        </w:tc>
      </w:tr>
      <w:tr>
        <w:trPr>
          <w:trHeight w:val="47"/>
        </w:trPr>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1320" w:type="dxa"/>
            <w:vAlign w:val="bottom"/>
          </w:tcPr>
          <w:p>
            <w:pPr>
              <w:spacing w:after="0"/>
              <w:rPr>
                <w:sz w:val="18"/>
                <w:szCs w:val="18"/>
                <w:color w:val="auto"/>
              </w:rPr>
            </w:pPr>
          </w:p>
        </w:tc>
        <w:tc>
          <w:tcPr>
            <w:tcW w:w="320" w:type="dxa"/>
            <w:vAlign w:val="bottom"/>
            <w:tcBorders>
              <w:bottom w:val="single" w:sz="8" w:color="0000FF"/>
            </w:tcBorders>
          </w:tcPr>
          <w:p>
            <w:pPr>
              <w:spacing w:after="0" w:line="209" w:lineRule="exact"/>
              <w:rPr>
                <w:sz w:val="20"/>
                <w:szCs w:val="20"/>
                <w:color w:val="auto"/>
              </w:rPr>
            </w:pPr>
            <w:r>
              <w:rPr>
                <w:rFonts w:ascii="Calibri" w:cs="Calibri" w:eastAsia="Calibri" w:hAnsi="Calibri"/>
                <w:sz w:val="18"/>
                <w:szCs w:val="18"/>
                <w:color w:val="0000FF"/>
                <w:w w:val="93"/>
              </w:rPr>
              <w:t>16.</w:t>
            </w:r>
            <w:r>
              <w:rPr>
                <w:rFonts w:ascii="Calibri" w:cs="Calibri" w:eastAsia="Calibri" w:hAnsi="Calibri"/>
                <w:sz w:val="18"/>
                <w:szCs w:val="18"/>
                <w:u w:val="single" w:color="auto"/>
                <w:color w:val="0000FF"/>
                <w:w w:val="93"/>
              </w:rPr>
              <w:t>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Correspondence from Grant Thornton LLP dated February 3, 2025</w:t>
            </w:r>
          </w:p>
        </w:tc>
        <w:tc>
          <w:tcPr>
            <w:tcW w:w="1720" w:type="dxa"/>
            <w:vAlign w:val="bottom"/>
            <w:gridSpan w:val="2"/>
          </w:tcPr>
          <w:p>
            <w:pPr>
              <w:jc w:val="center"/>
              <w:ind w:right="40"/>
              <w:spacing w:after="0" w:line="209" w:lineRule="exact"/>
              <w:rPr>
                <w:sz w:val="20"/>
                <w:szCs w:val="20"/>
                <w:color w:val="auto"/>
              </w:rPr>
            </w:pPr>
            <w:r>
              <w:rPr>
                <w:rFonts w:ascii="Calibri" w:cs="Calibri" w:eastAsia="Calibri" w:hAnsi="Calibri"/>
                <w:sz w:val="18"/>
                <w:szCs w:val="18"/>
                <w:color w:val="auto"/>
                <w:w w:val="96"/>
              </w:rPr>
              <w:t>Filed Electronically</w:t>
            </w:r>
          </w:p>
        </w:tc>
      </w:tr>
      <w:tr>
        <w:trPr>
          <w:trHeight w:val="240"/>
        </w:trPr>
        <w:tc>
          <w:tcPr>
            <w:tcW w:w="1640" w:type="dxa"/>
            <w:vAlign w:val="bottom"/>
            <w:gridSpan w:val="2"/>
          </w:tcPr>
          <w:p>
            <w:pPr>
              <w:ind w:left="1320"/>
              <w:spacing w:after="0"/>
              <w:rPr>
                <w:sz w:val="20"/>
                <w:szCs w:val="20"/>
                <w:color w:val="auto"/>
              </w:rPr>
            </w:pPr>
            <w:r>
              <w:rPr>
                <w:rFonts w:ascii="Calibri" w:cs="Calibri" w:eastAsia="Calibri" w:hAnsi="Calibri"/>
                <w:sz w:val="18"/>
                <w:szCs w:val="18"/>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60" w:type="dxa"/>
            <w:vAlign w:val="bottom"/>
            <w:gridSpan w:val="2"/>
          </w:tcPr>
          <w:p>
            <w:pPr>
              <w:ind w:left="20"/>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1720" w:type="dxa"/>
            <w:vAlign w:val="bottom"/>
            <w:gridSpan w:val="2"/>
          </w:tcPr>
          <w:p>
            <w:pPr>
              <w:jc w:val="center"/>
              <w:ind w:right="40"/>
              <w:spacing w:after="0"/>
              <w:rPr>
                <w:sz w:val="20"/>
                <w:szCs w:val="20"/>
                <w:color w:val="auto"/>
              </w:rPr>
            </w:pPr>
            <w:r>
              <w:rPr>
                <w:rFonts w:ascii="Calibri" w:cs="Calibri" w:eastAsia="Calibri" w:hAnsi="Calibri"/>
                <w:sz w:val="18"/>
                <w:szCs w:val="18"/>
                <w:color w:val="auto"/>
                <w:w w:val="96"/>
              </w:rPr>
              <w:t>Filed Electronically</w:t>
            </w:r>
          </w:p>
        </w:tc>
      </w:tr>
      <w:tr>
        <w:trPr>
          <w:trHeight w:val="1232"/>
        </w:trPr>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560" w:firstLine="445"/>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2860" w:type="dxa"/>
            <w:vAlign w:val="bottom"/>
            <w:gridSpan w:val="2"/>
          </w:tcPr>
          <w:p>
            <w:pPr>
              <w:ind w:left="1420"/>
              <w:spacing w:after="0"/>
              <w:rPr>
                <w:sz w:val="20"/>
                <w:szCs w:val="20"/>
                <w:color w:val="auto"/>
              </w:rPr>
            </w:pPr>
            <w:r>
              <w:rPr>
                <w:rFonts w:ascii="Calibri" w:cs="Calibri" w:eastAsia="Calibri" w:hAnsi="Calibri"/>
                <w:sz w:val="18"/>
                <w:szCs w:val="18"/>
                <w:color w:val="auto"/>
              </w:rPr>
              <w:t>HAWKINS, INC.</w:t>
            </w:r>
          </w:p>
        </w:tc>
        <w:tc>
          <w:tcPr>
            <w:tcW w:w="5260" w:type="dxa"/>
            <w:vAlign w:val="bottom"/>
          </w:tcPr>
          <w:p>
            <w:pPr>
              <w:spacing w:after="0"/>
              <w:rPr>
                <w:sz w:val="19"/>
                <w:szCs w:val="19"/>
                <w:color w:val="auto"/>
              </w:rPr>
            </w:pPr>
          </w:p>
        </w:tc>
      </w:tr>
      <w:tr>
        <w:trPr>
          <w:trHeight w:val="284"/>
        </w:trPr>
        <w:tc>
          <w:tcPr>
            <w:tcW w:w="3060" w:type="dxa"/>
            <w:vAlign w:val="bottom"/>
          </w:tcPr>
          <w:p>
            <w:pPr>
              <w:spacing w:after="0"/>
              <w:rPr>
                <w:sz w:val="20"/>
                <w:szCs w:val="20"/>
                <w:color w:val="auto"/>
              </w:rPr>
            </w:pPr>
            <w:r>
              <w:rPr>
                <w:rFonts w:ascii="Calibri" w:cs="Calibri" w:eastAsia="Calibri" w:hAnsi="Calibri"/>
                <w:sz w:val="18"/>
                <w:szCs w:val="18"/>
                <w:color w:val="auto"/>
              </w:rPr>
              <w:t>Date: February 3, 2025</w:t>
            </w:r>
          </w:p>
        </w:tc>
        <w:tc>
          <w:tcPr>
            <w:tcW w:w="2860" w:type="dxa"/>
            <w:vAlign w:val="bottom"/>
            <w:gridSpan w:val="2"/>
          </w:tcPr>
          <w:p>
            <w:pPr>
              <w:ind w:left="1420"/>
              <w:spacing w:after="0"/>
              <w:rPr>
                <w:sz w:val="20"/>
                <w:szCs w:val="20"/>
                <w:color w:val="auto"/>
              </w:rPr>
            </w:pPr>
            <w:r>
              <w:rPr>
                <w:rFonts w:ascii="Calibri" w:cs="Calibri" w:eastAsia="Calibri" w:hAnsi="Calibri"/>
                <w:sz w:val="18"/>
                <w:szCs w:val="18"/>
                <w:color w:val="auto"/>
              </w:rPr>
              <w:t>By:</w:t>
            </w: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w w:val="98"/>
              </w:rPr>
              <w:t>/s/ Jefrey P. Oldenkamp</w:t>
            </w:r>
          </w:p>
        </w:tc>
      </w:tr>
      <w:tr>
        <w:trPr>
          <w:trHeight w:val="23"/>
        </w:trPr>
        <w:tc>
          <w:tcPr>
            <w:tcW w:w="3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8"/>
        </w:trPr>
        <w:tc>
          <w:tcPr>
            <w:tcW w:w="3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jc w:val="center"/>
              <w:ind w:right="810"/>
              <w:spacing w:after="0" w:line="208" w:lineRule="exact"/>
              <w:rPr>
                <w:sz w:val="20"/>
                <w:szCs w:val="20"/>
                <w:color w:val="auto"/>
              </w:rPr>
            </w:pPr>
            <w:r>
              <w:rPr>
                <w:rFonts w:ascii="Calibri" w:cs="Calibri" w:eastAsia="Calibri" w:hAnsi="Calibri"/>
                <w:sz w:val="18"/>
                <w:szCs w:val="18"/>
                <w:color w:val="auto"/>
                <w:w w:val="98"/>
              </w:rPr>
              <w:t>Jefrey P. Oldenkamp</w:t>
            </w:r>
          </w:p>
        </w:tc>
      </w:tr>
      <w:tr>
        <w:trPr>
          <w:trHeight w:val="221"/>
        </w:trPr>
        <w:tc>
          <w:tcPr>
            <w:tcW w:w="30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rPr>
              <w:t>Executve Vice President and Chief Financial Ofcer</w:t>
            </w:r>
          </w:p>
        </w:tc>
      </w:tr>
    </w:tbl>
    <w:p>
      <w:pPr>
        <w:sectPr>
          <w:pgSz w:w="11900" w:h="16838" w:orient="portrait"/>
          <w:cols w:equalWidth="0" w:num="1">
            <w:col w:w="11240"/>
          </w:cols>
          <w:pgMar w:left="320" w:top="882" w:right="33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18"/>
          <w:szCs w:val="18"/>
          <w:b w:val="1"/>
          <w:bCs w:val="1"/>
          <w:color w:val="auto"/>
        </w:rPr>
        <w:t>EXHIBIT 16.1</w:t>
      </w:r>
    </w:p>
    <w:p>
      <w:pPr>
        <w:spacing w:after="0" w:line="29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February 3, 2025</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U.S. Securites and Exchange Commission</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Ofce of the Chief Accountant</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100 F Street, NE</w:t>
      </w:r>
    </w:p>
    <w:p>
      <w:pPr>
        <w:ind w:left="20"/>
        <w:spacing w:after="0" w:line="235" w:lineRule="auto"/>
        <w:rPr>
          <w:sz w:val="20"/>
          <w:szCs w:val="20"/>
          <w:color w:val="auto"/>
        </w:rPr>
      </w:pPr>
      <w:r>
        <w:rPr>
          <w:rFonts w:ascii="Calibri" w:cs="Calibri" w:eastAsia="Calibri" w:hAnsi="Calibri"/>
          <w:sz w:val="18"/>
          <w:szCs w:val="18"/>
          <w:color w:val="auto"/>
        </w:rPr>
        <w:t>Washington, DC 2054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18"/>
          <w:szCs w:val="18"/>
          <w:color w:val="auto"/>
        </w:rPr>
        <w:t>Re: Hawkins, Inc.</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File No. 0-7647</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Dear Sir or Madam:</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read Item 4.01 of Form 8-K of Hawkins, Inc. dated January 29, 2025, and agree with the statements concerning our Firm contained therein.</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color w:val="auto"/>
        </w:rPr>
        <w:t>Very truly yours,</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color w:val="auto"/>
        </w:rPr>
        <w:t>/s/ GRANT THORNTON LLP</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2025-02-03T07:27:43Z</dcterms:created>
  <dcterms:modified xsi:type="dcterms:W3CDTF">2025-02-03T07:27:43Z</dcterms:modified>
</cp:coreProperties>
</file>