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18"/>
          <w:szCs w:val="18"/>
          <w:b w:val="1"/>
          <w:bCs w:val="1"/>
          <w:color w:val="auto"/>
        </w:rPr>
        <w:t>UNITED STATES</w:t>
      </w:r>
    </w:p>
    <w:p>
      <w:pPr>
        <w:jc w:val="center"/>
        <w:spacing w:after="0" w:line="235" w:lineRule="auto"/>
        <w:rPr>
          <w:sz w:val="20"/>
          <w:szCs w:val="20"/>
          <w:color w:val="auto"/>
        </w:rPr>
      </w:pPr>
      <w:r>
        <w:rPr>
          <w:rFonts w:ascii="Calibri" w:cs="Calibri" w:eastAsia="Calibri" w:hAnsi="Calibri"/>
          <w:sz w:val="18"/>
          <w:szCs w:val="18"/>
          <w:b w:val="1"/>
          <w:bCs w:val="1"/>
          <w:color w:val="auto"/>
        </w:rPr>
        <w:t>SECURITIES AND EXCHANGE COMMISSION</w:t>
      </w:r>
    </w:p>
    <w:p>
      <w:pPr>
        <w:jc w:val="center"/>
        <w:spacing w:after="0" w:line="236" w:lineRule="auto"/>
        <w:rPr>
          <w:sz w:val="20"/>
          <w:szCs w:val="20"/>
          <w:color w:val="auto"/>
        </w:rPr>
      </w:pPr>
      <w:r>
        <w:rPr>
          <w:rFonts w:ascii="Calibri" w:cs="Calibri" w:eastAsia="Calibri" w:hAnsi="Calibri"/>
          <w:sz w:val="18"/>
          <w:szCs w:val="18"/>
          <w:b w:val="1"/>
          <w:bCs w:val="1"/>
          <w:color w:val="auto"/>
        </w:rPr>
        <w:t>Washington, D.C. 20549</w:t>
      </w:r>
    </w:p>
    <w:p>
      <w:pPr>
        <w:spacing w:after="0" w:line="227"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SCHEDULE 13G</w:t>
      </w:r>
    </w:p>
    <w:p>
      <w:pPr>
        <w:spacing w:after="0" w:line="248"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Under the Securites Exchange Act of 1934</w:t>
      </w:r>
    </w:p>
    <w:p>
      <w:pPr>
        <w:jc w:val="center"/>
        <w:spacing w:after="0" w:line="235" w:lineRule="auto"/>
        <w:rPr>
          <w:sz w:val="20"/>
          <w:szCs w:val="20"/>
          <w:color w:val="auto"/>
        </w:rPr>
      </w:pPr>
      <w:r>
        <w:rPr>
          <w:rFonts w:ascii="Calibri" w:cs="Calibri" w:eastAsia="Calibri" w:hAnsi="Calibri"/>
          <w:sz w:val="18"/>
          <w:szCs w:val="18"/>
          <w:color w:val="auto"/>
        </w:rPr>
        <w:t>(Amendment No. 30)*</w:t>
      </w:r>
    </w:p>
    <w:p>
      <w:pPr>
        <w:spacing w:after="0" w:line="38"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14605</wp:posOffset>
            </wp:positionV>
            <wp:extent cx="30943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Calibri" w:cs="Calibri" w:eastAsia="Calibri" w:hAnsi="Calibri"/>
          <w:sz w:val="11"/>
          <w:szCs w:val="11"/>
          <w:color w:val="auto"/>
        </w:rPr>
        <w:t>(Name of Issuer)</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14605</wp:posOffset>
            </wp:positionV>
            <wp:extent cx="3094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Calibri" w:cs="Calibri" w:eastAsia="Calibri" w:hAnsi="Calibri"/>
          <w:sz w:val="11"/>
          <w:szCs w:val="11"/>
          <w:color w:val="auto"/>
        </w:rPr>
        <w:t>(Title of Class of Securites)</w:t>
      </w:r>
    </w:p>
    <w:p>
      <w:pPr>
        <w:spacing w:after="0" w:line="190"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14605</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Calibri" w:cs="Calibri" w:eastAsia="Calibri" w:hAnsi="Calibri"/>
          <w:sz w:val="11"/>
          <w:szCs w:val="11"/>
          <w:color w:val="auto"/>
        </w:rPr>
        <w:t>(CUSIP Number)</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14605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Calibri" w:cs="Calibri" w:eastAsia="Calibri" w:hAnsi="Calibri"/>
          <w:sz w:val="11"/>
          <w:szCs w:val="1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alibri" w:cs="Calibri" w:eastAsia="Calibri" w:hAnsi="Calibri"/>
          <w:sz w:val="18"/>
          <w:szCs w:val="18"/>
          <w:color w:val="auto"/>
        </w:rPr>
        <w:t>Check the appropriate box to designate the rule pursuant to which this Schedule is fled:</w:t>
      </w:r>
    </w:p>
    <w:p>
      <w:pPr>
        <w:spacing w:after="0" w:line="249" w:lineRule="exact"/>
        <w:rPr>
          <w:sz w:val="24"/>
          <w:szCs w:val="24"/>
          <w:color w:val="auto"/>
        </w:rPr>
      </w:pPr>
    </w:p>
    <w:p>
      <w:pPr>
        <w:ind w:left="400" w:hanging="233"/>
        <w:spacing w:after="0"/>
        <w:tabs>
          <w:tab w:leader="none" w:pos="400" w:val="left"/>
        </w:tabs>
        <w:numPr>
          <w:ilvl w:val="0"/>
          <w:numId w:val="1"/>
        </w:numPr>
        <w:rPr>
          <w:rFonts w:ascii="MS PGothic" w:cs="MS PGothic" w:eastAsia="MS PGothic" w:hAnsi="MS PGothic"/>
          <w:sz w:val="22"/>
          <w:szCs w:val="22"/>
          <w:color w:val="auto"/>
        </w:rPr>
      </w:pPr>
      <w:r>
        <w:rPr>
          <w:rFonts w:ascii="Calibri" w:cs="Calibri" w:eastAsia="Calibri" w:hAnsi="Calibri"/>
          <w:sz w:val="18"/>
          <w:szCs w:val="18"/>
          <w:color w:val="auto"/>
        </w:rPr>
        <w:t>Rule 13d-1(b)</w:t>
      </w:r>
    </w:p>
    <w:p>
      <w:pPr>
        <w:spacing w:after="0" w:line="242" w:lineRule="exact"/>
        <w:rPr>
          <w:sz w:val="24"/>
          <w:szCs w:val="24"/>
          <w:color w:val="auto"/>
        </w:rPr>
      </w:pPr>
    </w:p>
    <w:p>
      <w:pPr>
        <w:ind w:left="160"/>
        <w:spacing w:after="0"/>
        <w:rPr>
          <w:sz w:val="20"/>
          <w:szCs w:val="20"/>
          <w:color w:val="auto"/>
        </w:rPr>
      </w:pPr>
      <w:r>
        <w:rPr>
          <w:rFonts w:ascii="Wingdings" w:cs="Wingdings" w:eastAsia="Wingdings" w:hAnsi="Wingdings"/>
          <w:sz w:val="22"/>
          <w:szCs w:val="22"/>
          <w:b w:val="1"/>
          <w:bCs w:val="1"/>
          <w:color w:val="auto"/>
        </w:rPr>
        <w:t xml:space="preserve">o </w:t>
      </w:r>
      <w:r>
        <w:rPr>
          <w:rFonts w:ascii="Calibri" w:cs="Calibri" w:eastAsia="Calibri" w:hAnsi="Calibri"/>
          <w:sz w:val="17"/>
          <w:szCs w:val="17"/>
          <w:color w:val="auto"/>
        </w:rPr>
        <w:t>Rule 13d-1(c)</w:t>
      </w:r>
    </w:p>
    <w:p>
      <w:pPr>
        <w:spacing w:after="0" w:line="242" w:lineRule="exact"/>
        <w:rPr>
          <w:sz w:val="24"/>
          <w:szCs w:val="24"/>
          <w:color w:val="auto"/>
        </w:rPr>
      </w:pPr>
    </w:p>
    <w:p>
      <w:pPr>
        <w:ind w:left="160"/>
        <w:spacing w:after="0"/>
        <w:rPr>
          <w:sz w:val="20"/>
          <w:szCs w:val="20"/>
          <w:color w:val="auto"/>
        </w:rPr>
      </w:pPr>
      <w:r>
        <w:rPr>
          <w:rFonts w:ascii="Wingdings" w:cs="Wingdings" w:eastAsia="Wingdings" w:hAnsi="Wingdings"/>
          <w:sz w:val="22"/>
          <w:szCs w:val="22"/>
          <w:b w:val="1"/>
          <w:bCs w:val="1"/>
          <w:color w:val="auto"/>
        </w:rPr>
        <w:t xml:space="preserve">o </w:t>
      </w:r>
      <w:r>
        <w:rPr>
          <w:rFonts w:ascii="Calibri" w:cs="Calibri" w:eastAsia="Calibri" w:hAnsi="Calibri"/>
          <w:sz w:val="17"/>
          <w:szCs w:val="17"/>
          <w:color w:val="auto"/>
        </w:rPr>
        <w:t>Rule 13d-1(d)</w:t>
      </w:r>
    </w:p>
    <w:p>
      <w:pPr>
        <w:spacing w:after="0" w:line="217" w:lineRule="exact"/>
        <w:rPr>
          <w:sz w:val="24"/>
          <w:szCs w:val="24"/>
          <w:color w:val="auto"/>
        </w:rPr>
      </w:pPr>
    </w:p>
    <w:p>
      <w:pPr>
        <w:ind w:left="340" w:hanging="332"/>
        <w:spacing w:after="0" w:line="235" w:lineRule="auto"/>
        <w:tabs>
          <w:tab w:leader="none" w:pos="277"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remainder of this cover page shall be flled out for a reportng person’s inital fling on this form with respect to the subject class of securites, and for any subsequent amendment containing informaton which would alter the disclosures provided in a prior cover page.</w:t>
      </w:r>
    </w:p>
    <w:p>
      <w:pPr>
        <w:spacing w:after="0" w:line="218" w:lineRule="exact"/>
        <w:rPr>
          <w:sz w:val="24"/>
          <w:szCs w:val="24"/>
          <w:color w:val="auto"/>
        </w:rPr>
      </w:pPr>
    </w:p>
    <w:p>
      <w:pPr>
        <w:spacing w:after="0" w:line="258" w:lineRule="auto"/>
        <w:rPr>
          <w:sz w:val="20"/>
          <w:szCs w:val="20"/>
          <w:color w:val="auto"/>
        </w:rPr>
      </w:pPr>
      <w:r>
        <w:rPr>
          <w:rFonts w:ascii="Calibri" w:cs="Calibri" w:eastAsia="Calibri" w:hAnsi="Calibri"/>
          <w:sz w:val="17"/>
          <w:szCs w:val="17"/>
          <w:color w:val="auto"/>
        </w:rPr>
        <w:t>The informaton required in the remainder of this cover page shall not be deemed to be “fled” for the purpose of Secton 18 of the Securites Exchange Act of 1934 (“Act”) or otherwise subject to the liabilites of that secton of the Act but shall be subject to all other provisions of the Act (however, see the Notes).</w:t>
      </w:r>
    </w:p>
    <w:p>
      <w:pPr>
        <w:sectPr>
          <w:pgSz w:w="11900" w:h="16838" w:orient="portrait"/>
          <w:cols w:equalWidth="0" w:num="1">
            <w:col w:w="11240"/>
          </w:cols>
          <w:pgMar w:left="320" w:top="86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3"/>
        </w:trPr>
        <w:tc>
          <w:tcPr>
            <w:tcW w:w="3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420261109</w:t>
            </w:r>
          </w:p>
        </w:tc>
        <w:tc>
          <w:tcPr>
            <w:tcW w:w="378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6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76835</wp:posOffset>
            </wp:positionV>
            <wp:extent cx="7140575" cy="4689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4689475"/>
                    </a:xfrm>
                    <a:prstGeom prst="rect">
                      <a:avLst/>
                    </a:prstGeom>
                    <a:noFill/>
                  </pic:spPr>
                </pic:pic>
              </a:graphicData>
            </a:graphic>
          </wp:anchor>
        </w:drawing>
      </w:r>
    </w:p>
    <w:p>
      <w:pPr>
        <w:spacing w:after="0" w:line="99" w:lineRule="exact"/>
        <w:rPr>
          <w:sz w:val="20"/>
          <w:szCs w:val="20"/>
          <w:color w:val="auto"/>
        </w:rPr>
      </w:pPr>
    </w:p>
    <w:p>
      <w:pPr>
        <w:ind w:left="680" w:hanging="452"/>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ind w:left="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1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Hawkins, Inc. Employee Stock Ownership Plan and Trust (Tax ID: 41-0771293)</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Hawkins, Inc. Employee Stock Ownership Plan for Certain Collectively Bargained Employees and Trust (Tax ID: 41-0771293)</w:t>
      </w:r>
    </w:p>
    <w:p>
      <w:pPr>
        <w:ind w:left="680" w:hanging="452"/>
        <w:spacing w:after="0" w:line="207" w:lineRule="auto"/>
        <w:tabs>
          <w:tab w:leader="none" w:pos="680" w:val="left"/>
        </w:tabs>
        <w:numPr>
          <w:ilvl w:val="0"/>
          <w:numId w:val="4"/>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CHECK THE APPROPRIATE BOX IF A MEMBER OF A GROUP (a) </w:t>
      </w:r>
      <w:r>
        <w:rPr>
          <w:rFonts w:ascii="Wingdings" w:cs="Wingdings" w:eastAsia="Wingdings" w:hAnsi="Wingdings"/>
          <w:sz w:val="21"/>
          <w:szCs w:val="21"/>
          <w:b w:val="1"/>
          <w:bCs w:val="1"/>
          <w:color w:val="auto"/>
        </w:rPr>
        <w:t>o</w:t>
      </w:r>
    </w:p>
    <w:p>
      <w:pPr>
        <w:spacing w:after="0" w:line="26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21"/>
          <w:szCs w:val="21"/>
          <w:b w:val="1"/>
          <w:bCs w:val="1"/>
          <w:color w:val="auto"/>
        </w:rPr>
        <w:t>o</w:t>
      </w:r>
    </w:p>
    <w:p>
      <w:pPr>
        <w:spacing w:after="0" w:line="96" w:lineRule="exact"/>
        <w:rPr>
          <w:sz w:val="20"/>
          <w:szCs w:val="20"/>
          <w:color w:val="auto"/>
        </w:rPr>
      </w:pPr>
    </w:p>
    <w:p>
      <w:pPr>
        <w:ind w:left="680" w:hanging="452"/>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right="6800" w:hanging="452"/>
        <w:spacing w:after="0" w:line="349" w:lineRule="auto"/>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Minnesota</w:t>
      </w:r>
    </w:p>
    <w:p>
      <w:pPr>
        <w:spacing w:after="0" w:line="6" w:lineRule="exact"/>
        <w:rPr>
          <w:sz w:val="20"/>
          <w:szCs w:val="20"/>
          <w:color w:val="auto"/>
        </w:rPr>
      </w:pPr>
    </w:p>
    <w:p>
      <w:pPr>
        <w:ind w:left="3760" w:hanging="522"/>
        <w:spacing w:after="0"/>
        <w:tabs>
          <w:tab w:leader="none" w:pos="37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144" w:lineRule="exact"/>
        <w:rPr>
          <w:sz w:val="20"/>
          <w:szCs w:val="20"/>
          <w:color w:val="auto"/>
        </w:rPr>
      </w:pPr>
    </w:p>
    <w:tbl>
      <w:tblPr>
        <w:tblLayout w:type="fixed"/>
        <w:tblInd w:w="740" w:type="dxa"/>
        <w:tblCellMar>
          <w:top w:w="0" w:type="dxa"/>
          <w:left w:w="0" w:type="dxa"/>
          <w:bottom w:w="0" w:type="dxa"/>
          <w:right w:w="0" w:type="dxa"/>
        </w:tblCellMar>
      </w:tblPr>
      <w:tr>
        <w:trPr>
          <w:trHeight w:val="241"/>
        </w:trPr>
        <w:tc>
          <w:tcPr>
            <w:tcW w:w="2100" w:type="dxa"/>
            <w:vAlign w:val="bottom"/>
          </w:tcPr>
          <w:p>
            <w:pPr>
              <w:jc w:val="center"/>
              <w:ind w:right="772"/>
              <w:spacing w:after="0"/>
              <w:rPr>
                <w:sz w:val="20"/>
                <w:szCs w:val="20"/>
                <w:color w:val="auto"/>
              </w:rPr>
            </w:pPr>
            <w:r>
              <w:rPr>
                <w:rFonts w:ascii="Times New Roman" w:cs="Times New Roman" w:eastAsia="Times New Roman" w:hAnsi="Times New Roman"/>
                <w:sz w:val="18"/>
                <w:szCs w:val="18"/>
                <w:color w:val="auto"/>
                <w:w w:val="99"/>
              </w:rPr>
              <w:t>NUMBER OF</w:t>
            </w:r>
          </w:p>
        </w:tc>
        <w:tc>
          <w:tcPr>
            <w:tcW w:w="70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9"/>
        </w:trPr>
        <w:tc>
          <w:tcPr>
            <w:tcW w:w="2100" w:type="dxa"/>
            <w:vAlign w:val="bottom"/>
          </w:tcPr>
          <w:p>
            <w:pPr>
              <w:jc w:val="center"/>
              <w:ind w:right="752"/>
              <w:spacing w:after="0" w:line="189" w:lineRule="exact"/>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b w:val="1"/>
                <w:bCs w:val="1"/>
                <w:color w:val="auto"/>
              </w:rPr>
              <w:t>6</w:t>
            </w:r>
          </w:p>
        </w:tc>
        <w:tc>
          <w:tcPr>
            <w:tcW w:w="76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4"/>
        </w:trPr>
        <w:tc>
          <w:tcPr>
            <w:tcW w:w="2100" w:type="dxa"/>
            <w:vAlign w:val="bottom"/>
          </w:tcPr>
          <w:p>
            <w:pPr>
              <w:jc w:val="center"/>
              <w:ind w:right="752"/>
              <w:spacing w:after="0" w:line="184" w:lineRule="exact"/>
              <w:rPr>
                <w:sz w:val="20"/>
                <w:szCs w:val="20"/>
                <w:color w:val="auto"/>
              </w:rPr>
            </w:pPr>
            <w:r>
              <w:rPr>
                <w:rFonts w:ascii="Times New Roman" w:cs="Times New Roman" w:eastAsia="Times New Roman" w:hAnsi="Times New Roman"/>
                <w:sz w:val="18"/>
                <w:szCs w:val="18"/>
                <w:color w:val="auto"/>
                <w:w w:val="97"/>
              </w:rPr>
              <w:t>BENEFICIALLY</w:t>
            </w:r>
          </w:p>
        </w:tc>
        <w:tc>
          <w:tcPr>
            <w:tcW w:w="700" w:type="dxa"/>
            <w:vAlign w:val="bottom"/>
          </w:tcPr>
          <w:p>
            <w:pPr>
              <w:spacing w:after="0"/>
              <w:rPr>
                <w:sz w:val="16"/>
                <w:szCs w:val="16"/>
                <w:color w:val="auto"/>
              </w:rPr>
            </w:pPr>
          </w:p>
        </w:tc>
        <w:tc>
          <w:tcPr>
            <w:tcW w:w="76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1,038,357.89</w:t>
            </w:r>
          </w:p>
        </w:tc>
        <w:tc>
          <w:tcPr>
            <w:tcW w:w="0" w:type="dxa"/>
            <w:vAlign w:val="bottom"/>
          </w:tcPr>
          <w:p>
            <w:pPr>
              <w:spacing w:after="0"/>
              <w:rPr>
                <w:sz w:val="1"/>
                <w:szCs w:val="1"/>
                <w:color w:val="auto"/>
              </w:rPr>
            </w:pPr>
          </w:p>
        </w:tc>
      </w:tr>
      <w:tr>
        <w:trPr>
          <w:trHeight w:val="180"/>
        </w:trPr>
        <w:tc>
          <w:tcPr>
            <w:tcW w:w="2100" w:type="dxa"/>
            <w:vAlign w:val="bottom"/>
          </w:tcPr>
          <w:p>
            <w:pPr>
              <w:jc w:val="center"/>
              <w:ind w:right="772"/>
              <w:spacing w:after="0" w:line="181" w:lineRule="exact"/>
              <w:rPr>
                <w:sz w:val="20"/>
                <w:szCs w:val="20"/>
                <w:color w:val="auto"/>
              </w:rPr>
            </w:pPr>
            <w:r>
              <w:rPr>
                <w:rFonts w:ascii="Times New Roman" w:cs="Times New Roman" w:eastAsia="Times New Roman" w:hAnsi="Times New Roman"/>
                <w:sz w:val="18"/>
                <w:szCs w:val="18"/>
                <w:color w:val="auto"/>
                <w:w w:val="99"/>
              </w:rPr>
              <w:t>OWNED BY</w:t>
            </w:r>
          </w:p>
        </w:tc>
        <w:tc>
          <w:tcPr>
            <w:tcW w:w="700" w:type="dxa"/>
            <w:vAlign w:val="bottom"/>
          </w:tcPr>
          <w:p>
            <w:pPr>
              <w:spacing w:after="0"/>
              <w:rPr>
                <w:sz w:val="15"/>
                <w:szCs w:val="15"/>
                <w:color w:val="auto"/>
              </w:rPr>
            </w:pPr>
          </w:p>
        </w:tc>
        <w:tc>
          <w:tcPr>
            <w:tcW w:w="7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100" w:type="dxa"/>
            <w:vAlign w:val="bottom"/>
            <w:vMerge w:val="restart"/>
          </w:tcPr>
          <w:p>
            <w:pPr>
              <w:jc w:val="center"/>
              <w:ind w:right="752"/>
              <w:spacing w:after="0"/>
              <w:rPr>
                <w:sz w:val="20"/>
                <w:szCs w:val="20"/>
                <w:color w:val="auto"/>
              </w:rPr>
            </w:pPr>
            <w:r>
              <w:rPr>
                <w:rFonts w:ascii="Times New Roman" w:cs="Times New Roman" w:eastAsia="Times New Roman" w:hAnsi="Times New Roman"/>
                <w:sz w:val="18"/>
                <w:szCs w:val="18"/>
                <w:color w:val="auto"/>
              </w:rPr>
              <w:t>EACH</w:t>
            </w:r>
          </w:p>
        </w:tc>
        <w:tc>
          <w:tcPr>
            <w:tcW w:w="700" w:type="dxa"/>
            <w:vAlign w:val="bottom"/>
            <w:tcBorders>
              <w:bottom w:val="single" w:sz="8" w:color="auto"/>
            </w:tcBorders>
          </w:tcPr>
          <w:p>
            <w:pPr>
              <w:spacing w:after="0"/>
              <w:rPr>
                <w:sz w:val="3"/>
                <w:szCs w:val="3"/>
                <w:color w:val="auto"/>
              </w:rPr>
            </w:pPr>
          </w:p>
        </w:tc>
        <w:tc>
          <w:tcPr>
            <w:tcW w:w="7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100" w:type="dxa"/>
            <w:vAlign w:val="bottom"/>
            <w:vMerge w:val="continue"/>
          </w:tcPr>
          <w:p>
            <w:pPr>
              <w:spacing w:after="0"/>
              <w:rPr>
                <w:sz w:val="14"/>
                <w:szCs w:val="14"/>
                <w:color w:val="auto"/>
              </w:rPr>
            </w:pPr>
          </w:p>
        </w:tc>
        <w:tc>
          <w:tcPr>
            <w:tcW w:w="70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7</w:t>
            </w:r>
          </w:p>
        </w:tc>
        <w:tc>
          <w:tcPr>
            <w:tcW w:w="7600" w:type="dxa"/>
            <w:vAlign w:val="bottom"/>
          </w:tcPr>
          <w:p>
            <w:pPr>
              <w:ind w:left="220"/>
              <w:spacing w:after="0" w:line="16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0"/>
        </w:trPr>
        <w:tc>
          <w:tcPr>
            <w:tcW w:w="2100" w:type="dxa"/>
            <w:vAlign w:val="bottom"/>
          </w:tcPr>
          <w:p>
            <w:pPr>
              <w:jc w:val="center"/>
              <w:ind w:right="772"/>
              <w:spacing w:after="0" w:line="131" w:lineRule="exact"/>
              <w:rPr>
                <w:sz w:val="20"/>
                <w:szCs w:val="20"/>
                <w:color w:val="auto"/>
              </w:rPr>
            </w:pPr>
            <w:r>
              <w:rPr>
                <w:rFonts w:ascii="Times New Roman" w:cs="Times New Roman" w:eastAsia="Times New Roman" w:hAnsi="Times New Roman"/>
                <w:sz w:val="15"/>
                <w:szCs w:val="15"/>
                <w:color w:val="auto"/>
              </w:rPr>
              <w:t>REPORTING</w:t>
            </w:r>
          </w:p>
        </w:tc>
        <w:tc>
          <w:tcPr>
            <w:tcW w:w="70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100" w:type="dxa"/>
            <w:vAlign w:val="bottom"/>
          </w:tcPr>
          <w:p>
            <w:pPr>
              <w:jc w:val="center"/>
              <w:ind w:right="752"/>
              <w:spacing w:after="0" w:line="195" w:lineRule="exact"/>
              <w:rPr>
                <w:sz w:val="20"/>
                <w:szCs w:val="20"/>
                <w:color w:val="auto"/>
              </w:rPr>
            </w:pPr>
            <w:r>
              <w:rPr>
                <w:rFonts w:ascii="Times New Roman" w:cs="Times New Roman" w:eastAsia="Times New Roman" w:hAnsi="Times New Roman"/>
                <w:sz w:val="18"/>
                <w:szCs w:val="18"/>
                <w:color w:val="auto"/>
              </w:rPr>
              <w:t>PERSON</w:t>
            </w:r>
          </w:p>
        </w:tc>
        <w:tc>
          <w:tcPr>
            <w:tcW w:w="700" w:type="dxa"/>
            <w:vAlign w:val="bottom"/>
          </w:tcPr>
          <w:p>
            <w:pPr>
              <w:spacing w:after="0"/>
              <w:rPr>
                <w:sz w:val="17"/>
                <w:szCs w:val="17"/>
                <w:color w:val="auto"/>
              </w:rPr>
            </w:pPr>
          </w:p>
        </w:tc>
        <w:tc>
          <w:tcPr>
            <w:tcW w:w="760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100" w:type="dxa"/>
            <w:vAlign w:val="bottom"/>
            <w:vMerge w:val="restart"/>
          </w:tcPr>
          <w:p>
            <w:pPr>
              <w:jc w:val="center"/>
              <w:ind w:right="772"/>
              <w:spacing w:after="0"/>
              <w:rPr>
                <w:sz w:val="20"/>
                <w:szCs w:val="20"/>
                <w:color w:val="auto"/>
              </w:rPr>
            </w:pPr>
            <w:r>
              <w:rPr>
                <w:rFonts w:ascii="Times New Roman" w:cs="Times New Roman" w:eastAsia="Times New Roman" w:hAnsi="Times New Roman"/>
                <w:sz w:val="18"/>
                <w:szCs w:val="18"/>
                <w:color w:val="auto"/>
                <w:w w:val="99"/>
              </w:rPr>
              <w:t>WITH:</w:t>
            </w:r>
          </w:p>
        </w:tc>
        <w:tc>
          <w:tcPr>
            <w:tcW w:w="700" w:type="dxa"/>
            <w:vAlign w:val="bottom"/>
            <w:tcBorders>
              <w:bottom w:val="single" w:sz="8" w:color="auto"/>
            </w:tcBorders>
          </w:tcPr>
          <w:p>
            <w:pPr>
              <w:spacing w:after="0"/>
              <w:rPr>
                <w:sz w:val="8"/>
                <w:szCs w:val="8"/>
                <w:color w:val="auto"/>
              </w:rPr>
            </w:pPr>
          </w:p>
        </w:tc>
        <w:tc>
          <w:tcPr>
            <w:tcW w:w="7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100" w:type="dxa"/>
            <w:vAlign w:val="bottom"/>
            <w:vMerge w:val="continue"/>
          </w:tcPr>
          <w:p>
            <w:pPr>
              <w:spacing w:after="0"/>
              <w:rPr>
                <w:sz w:val="10"/>
                <w:szCs w:val="10"/>
                <w:color w:val="auto"/>
              </w:rPr>
            </w:pPr>
          </w:p>
        </w:tc>
        <w:tc>
          <w:tcPr>
            <w:tcW w:w="700" w:type="dxa"/>
            <w:vAlign w:val="bottom"/>
            <w:vMerge w:val="restart"/>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8</w:t>
            </w:r>
          </w:p>
        </w:tc>
        <w:tc>
          <w:tcPr>
            <w:tcW w:w="7600" w:type="dxa"/>
            <w:vAlign w:val="bottom"/>
            <w:vMerge w:val="restart"/>
          </w:tcPr>
          <w:p>
            <w:pPr>
              <w:ind w:left="220"/>
              <w:spacing w:after="0" w:line="169"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8"/>
        </w:trPr>
        <w:tc>
          <w:tcPr>
            <w:tcW w:w="2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1,038,357.89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80" w:right="3920" w:hanging="452"/>
        <w:spacing w:after="0" w:line="349" w:lineRule="auto"/>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1,038,357.89</w:t>
      </w:r>
    </w:p>
    <w:p>
      <w:pPr>
        <w:ind w:left="680" w:hanging="497"/>
        <w:spacing w:after="0" w:line="201" w:lineRule="auto"/>
        <w:tabs>
          <w:tab w:leader="none" w:pos="680" w:val="left"/>
        </w:tabs>
        <w:numPr>
          <w:ilvl w:val="0"/>
          <w:numId w:val="9"/>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21"/>
          <w:szCs w:val="21"/>
          <w:b w:val="1"/>
          <w:bCs w:val="1"/>
          <w:color w:val="auto"/>
        </w:rPr>
        <w:t>o</w:t>
      </w:r>
    </w:p>
    <w:p>
      <w:pPr>
        <w:spacing w:after="0" w:line="56" w:lineRule="exact"/>
        <w:rPr>
          <w:rFonts w:ascii="Times New Roman" w:cs="Times New Roman" w:eastAsia="Times New Roman" w:hAnsi="Times New Roman"/>
          <w:sz w:val="36"/>
          <w:szCs w:val="36"/>
          <w:b w:val="1"/>
          <w:bCs w:val="1"/>
          <w:color w:val="auto"/>
          <w:vertAlign w:val="superscript"/>
        </w:rPr>
      </w:pPr>
    </w:p>
    <w:p>
      <w:pPr>
        <w:ind w:left="680" w:right="5400" w:hanging="492"/>
        <w:spacing w:after="0" w:line="338" w:lineRule="auto"/>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5.0%</w:t>
      </w:r>
    </w:p>
    <w:p>
      <w:pPr>
        <w:spacing w:after="0" w:line="4" w:lineRule="exact"/>
        <w:rPr>
          <w:rFonts w:ascii="Times New Roman" w:cs="Times New Roman" w:eastAsia="Times New Roman" w:hAnsi="Times New Roman"/>
          <w:sz w:val="18"/>
          <w:szCs w:val="18"/>
          <w:b w:val="1"/>
          <w:bCs w:val="1"/>
          <w:color w:val="auto"/>
        </w:rPr>
      </w:pPr>
    </w:p>
    <w:p>
      <w:pPr>
        <w:ind w:left="680" w:right="7960" w:hanging="497"/>
        <w:spacing w:after="0" w:line="438" w:lineRule="auto"/>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EP</w:t>
      </w:r>
    </w:p>
    <w:p>
      <w:pPr>
        <w:sectPr>
          <w:pgSz w:w="11900" w:h="16838" w:orient="portrait"/>
          <w:cols w:equalWidth="0" w:num="1">
            <w:col w:w="11140"/>
          </w:cols>
          <w:pgMar w:left="440" w:top="795" w:right="319" w:bottom="1440" w:gutter="0" w:footer="0" w:header="0"/>
        </w:sectPr>
      </w:pPr>
    </w:p>
    <w:bookmarkStart w:id="2" w:name="page3"/>
    <w:bookmarkEnd w:id="2"/>
    <w:p>
      <w:pPr>
        <w:spacing w:after="0"/>
        <w:tabs>
          <w:tab w:leader="none" w:pos="700" w:val="left"/>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color w:val="auto"/>
        </w:rPr>
        <w:t>(a)</w:t>
        <w:tab/>
        <w:t>Name of Issuer:</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Hawkins, Inc.</w:t>
      </w:r>
    </w:p>
    <w:p>
      <w:pPr>
        <w:spacing w:after="0" w:line="234" w:lineRule="exact"/>
        <w:rPr>
          <w:sz w:val="20"/>
          <w:szCs w:val="20"/>
          <w:color w:val="auto"/>
        </w:rPr>
      </w:pPr>
    </w:p>
    <w:p>
      <w:pPr>
        <w:ind w:left="1460" w:right="6740" w:hanging="804"/>
        <w:spacing w:after="0" w:line="261" w:lineRule="auto"/>
        <w:tabs>
          <w:tab w:leader="none" w:pos="10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2381 Rosegate</w:t>
      </w: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Roseville, MN 55113</w:t>
      </w:r>
    </w:p>
    <w:p>
      <w:pPr>
        <w:spacing w:after="0" w:line="216" w:lineRule="exact"/>
        <w:rPr>
          <w:sz w:val="20"/>
          <w:szCs w:val="20"/>
          <w:color w:val="auto"/>
        </w:rPr>
      </w:pPr>
    </w:p>
    <w:p>
      <w:pPr>
        <w:spacing w:after="0"/>
        <w:tabs>
          <w:tab w:leader="none" w:pos="700" w:val="left"/>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 xml:space="preserve">Name of Person Filing: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Hawkins, Inc. Employee Stock Ownership Plan and Trust</w:t>
      </w: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Hawkins, Inc. Employee Stock Ownership Plan for Certain Collectively Bargained Employees and Trust</w:t>
      </w:r>
    </w:p>
    <w:p>
      <w:pPr>
        <w:spacing w:after="0" w:line="234" w:lineRule="exact"/>
        <w:rPr>
          <w:sz w:val="20"/>
          <w:szCs w:val="20"/>
          <w:color w:val="auto"/>
        </w:rPr>
      </w:pPr>
    </w:p>
    <w:p>
      <w:pPr>
        <w:ind w:left="1460" w:right="5880" w:hanging="804"/>
        <w:spacing w:after="0" w:line="261" w:lineRule="auto"/>
        <w:tabs>
          <w:tab w:leader="none" w:pos="10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c/o Hawkins, Inc.</w:t>
      </w:r>
    </w:p>
    <w:p>
      <w:pPr>
        <w:ind w:left="1460" w:right="8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2381 Rosegate Roseville, MN 55113</w:t>
      </w:r>
    </w:p>
    <w:p>
      <w:pPr>
        <w:spacing w:after="0" w:line="20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sz w:val="20"/>
          <w:szCs w:val="20"/>
          <w:color w:val="auto"/>
        </w:rPr>
      </w:pPr>
    </w:p>
    <w:p>
      <w:pPr>
        <w:jc w:val="center"/>
        <w:ind w:right="7560"/>
        <w:spacing w:after="0"/>
        <w:rPr>
          <w:sz w:val="20"/>
          <w:szCs w:val="20"/>
          <w:color w:val="auto"/>
        </w:rPr>
      </w:pPr>
      <w:r>
        <w:rPr>
          <w:rFonts w:ascii="Times New Roman" w:cs="Times New Roman" w:eastAsia="Times New Roman" w:hAnsi="Times New Roman"/>
          <w:sz w:val="18"/>
          <w:szCs w:val="18"/>
          <w:color w:val="auto"/>
        </w:rPr>
        <w:t>Minnesota</w:t>
      </w:r>
    </w:p>
    <w:p>
      <w:pPr>
        <w:spacing w:after="0" w:line="234"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Common Stock, Par Value $.01 per share</w:t>
      </w:r>
    </w:p>
    <w:p>
      <w:pPr>
        <w:spacing w:after="0" w:line="234" w:lineRule="exact"/>
        <w:rPr>
          <w:sz w:val="20"/>
          <w:szCs w:val="20"/>
          <w:color w:val="auto"/>
        </w:rPr>
      </w:pPr>
    </w:p>
    <w:p>
      <w:pPr>
        <w:jc w:val="right"/>
        <w:ind w:left="1460" w:right="8980" w:hanging="804"/>
        <w:spacing w:after="0" w:line="312" w:lineRule="auto"/>
        <w:tabs>
          <w:tab w:leader="none" w:pos="103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420261109</w:t>
      </w:r>
    </w:p>
    <w:p>
      <w:pPr>
        <w:spacing w:after="0" w:line="1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If this statement is filed pursuant to §§ 240.13d-1(b) or 240.13d-2(b) or (c), check whether the person filing is a:</w:t>
      </w:r>
    </w:p>
    <w:p>
      <w:pPr>
        <w:spacing w:after="0" w:line="256" w:lineRule="exact"/>
        <w:rPr>
          <w:sz w:val="20"/>
          <w:szCs w:val="20"/>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Broker or dealer registered under section 15 of the Act;</w:t>
      </w:r>
    </w:p>
    <w:p>
      <w:pPr>
        <w:spacing w:after="0" w:line="20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Bank as defined in section 3(a)(6) of the Act;</w:t>
      </w:r>
    </w:p>
    <w:p>
      <w:pPr>
        <w:spacing w:after="0" w:line="18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Insurance company as defined in section 3(a)(19) of the Act;</w:t>
      </w:r>
    </w:p>
    <w:p>
      <w:pPr>
        <w:spacing w:after="0" w:line="20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Investment company registered under section 8 of the Investment Company Act of 1940;</w:t>
      </w:r>
    </w:p>
    <w:p>
      <w:pPr>
        <w:spacing w:after="0" w:line="18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An investment adviser in accordance with § 240.13d-1(b)(1)(ii)(E);</w:t>
      </w:r>
    </w:p>
    <w:p>
      <w:pPr>
        <w:spacing w:after="0" w:line="131" w:lineRule="exact"/>
        <w:rPr>
          <w:rFonts w:ascii="Times New Roman" w:cs="Times New Roman" w:eastAsia="Times New Roman" w:hAnsi="Times New Roman"/>
          <w:sz w:val="18"/>
          <w:szCs w:val="18"/>
          <w:color w:val="auto"/>
        </w:rPr>
      </w:pPr>
    </w:p>
    <w:p>
      <w:pPr>
        <w:ind w:left="1020" w:hanging="364"/>
        <w:spacing w:after="0" w:line="242" w:lineRule="exact"/>
        <w:tabs>
          <w:tab w:leader="none" w:pos="102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An employee benefit plan or endowment fund in accordance with § 240.13d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1(b)(1)(ii)(F);</w:t>
      </w:r>
    </w:p>
    <w:p>
      <w:pPr>
        <w:spacing w:after="0" w:line="233" w:lineRule="exact"/>
        <w:rPr>
          <w:rFonts w:ascii="Times New Roman" w:cs="Times New Roman" w:eastAsia="Times New Roman" w:hAnsi="Times New Roman"/>
          <w:sz w:val="18"/>
          <w:szCs w:val="18"/>
          <w:color w:val="auto"/>
        </w:rPr>
      </w:pPr>
    </w:p>
    <w:p>
      <w:pPr>
        <w:ind w:left="1040" w:hanging="384"/>
        <w:spacing w:after="0" w:line="245" w:lineRule="exact"/>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A parent holding company or control person in accordance with § 240.13d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1(b)(1)(ii)(G);</w:t>
      </w:r>
    </w:p>
    <w:p>
      <w:pPr>
        <w:spacing w:after="0" w:line="22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A savings association as defined in Section 3(b) of the Federal Deposit Insurance Act;</w:t>
      </w:r>
    </w:p>
    <w:p>
      <w:pPr>
        <w:spacing w:after="0" w:line="187" w:lineRule="exact"/>
        <w:rPr>
          <w:rFonts w:ascii="Times New Roman" w:cs="Times New Roman" w:eastAsia="Times New Roman" w:hAnsi="Times New Roman"/>
          <w:sz w:val="18"/>
          <w:szCs w:val="18"/>
          <w:color w:val="auto"/>
        </w:rPr>
      </w:pPr>
    </w:p>
    <w:p>
      <w:pPr>
        <w:ind w:left="1620" w:right="2220" w:hanging="964"/>
        <w:spacing w:after="0" w:line="228" w:lineRule="auto"/>
        <w:tabs>
          <w:tab w:leader="none" w:pos="998"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A church plan that is excluded from the definition of an investment company under section 3(c)(14) of the</w:t>
      </w:r>
      <w:r>
        <w:rPr>
          <w:rFonts w:ascii="Wingdings" w:cs="Wingdings" w:eastAsia="Wingdings" w:hAnsi="Wingdings"/>
          <w:sz w:val="22"/>
          <w:szCs w:val="22"/>
          <w:b w:val="1"/>
          <w:bCs w:val="1"/>
          <w:color w:val="auto"/>
        </w:rPr>
        <w:t xml:space="preserve"> </w:t>
      </w:r>
      <w:r>
        <w:rPr>
          <w:rFonts w:ascii="Times New Roman" w:cs="Times New Roman" w:eastAsia="Times New Roman" w:hAnsi="Times New Roman"/>
          <w:sz w:val="17"/>
          <w:szCs w:val="17"/>
          <w:color w:val="auto"/>
        </w:rPr>
        <w:t>Investment Company Act;</w:t>
      </w:r>
    </w:p>
    <w:p>
      <w:pPr>
        <w:spacing w:after="0" w:line="224" w:lineRule="exact"/>
        <w:rPr>
          <w:rFonts w:ascii="Times New Roman" w:cs="Times New Roman" w:eastAsia="Times New Roman" w:hAnsi="Times New Roman"/>
          <w:sz w:val="18"/>
          <w:szCs w:val="18"/>
          <w:color w:val="auto"/>
        </w:rPr>
      </w:pPr>
    </w:p>
    <w:p>
      <w:pPr>
        <w:ind w:left="1000" w:hanging="344"/>
        <w:spacing w:after="0" w:line="245" w:lineRule="exact"/>
        <w:tabs>
          <w:tab w:leader="none" w:pos="10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A non-U.S. institution in accordance with § 240.13d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1(b)(1)(ii)(J);</w:t>
      </w:r>
    </w:p>
    <w:p>
      <w:pPr>
        <w:spacing w:after="0" w:line="200" w:lineRule="exact"/>
        <w:rPr>
          <w:sz w:val="20"/>
          <w:szCs w:val="20"/>
          <w:color w:val="auto"/>
        </w:rPr>
      </w:pPr>
    </w:p>
    <w:p>
      <w:pPr>
        <w:spacing w:after="0" w:line="244" w:lineRule="exact"/>
        <w:rPr>
          <w:sz w:val="20"/>
          <w:szCs w:val="20"/>
          <w:color w:val="auto"/>
        </w:rPr>
      </w:pPr>
    </w:p>
    <w:p>
      <w:pPr>
        <w:ind w:firstLine="8"/>
        <w:spacing w:after="0" w:line="245" w:lineRule="auto"/>
        <w:tabs>
          <w:tab w:leader="none" w:pos="8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Trustee of the Hawkins, Inc. Employee Stock Ownership Plan and Trust and the Hawkins, Inc. Employee Stock Ownership Plan for Certain Collectively Bargained Employees and Trust (together, the “ESOP”) is Matrix Trust Company.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765" w:right="339" w:bottom="1440" w:gutter="0" w:footer="0" w:header="0"/>
          <w:type w:val="continuous"/>
        </w:sectPr>
      </w:pPr>
    </w:p>
    <w:bookmarkStart w:id="3" w:name="page4"/>
    <w:bookmarkEnd w:id="3"/>
    <w:p>
      <w:pPr>
        <w:ind w:left="1620" w:hanging="964"/>
        <w:spacing w:after="0" w:line="246" w:lineRule="exact"/>
        <w:tabs>
          <w:tab w:leader="none" w:pos="1038" w:val="left"/>
        </w:tabs>
        <w:numPr>
          <w:ilvl w:val="0"/>
          <w:numId w:val="15"/>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Group, in accordance with § 240.13d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1(b)(1)(ii)(K). If filing as a non-U.S. institution in accordance with §240.13d-1(b)(1)(ii)(J), please</w:t>
      </w:r>
      <w:r>
        <w:rPr>
          <w:rFonts w:ascii="Wingdings" w:cs="Wingdings" w:eastAsia="Wingdings" w:hAnsi="Wingdings"/>
          <w:sz w:val="22"/>
          <w:szCs w:val="22"/>
          <w:b w:val="1"/>
          <w:bCs w:val="1"/>
          <w:color w:val="auto"/>
        </w:rPr>
        <w:t xml:space="preserve"> </w:t>
      </w:r>
      <w:r>
        <w:rPr>
          <w:rFonts w:ascii="Times New Roman" w:cs="Times New Roman" w:eastAsia="Times New Roman" w:hAnsi="Times New Roman"/>
          <w:sz w:val="17"/>
          <w:szCs w:val="17"/>
          <w:color w:val="auto"/>
        </w:rPr>
        <w:t>specify the type of institution:</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Ownership</w:t>
      </w:r>
    </w:p>
    <w:p>
      <w:pPr>
        <w:spacing w:after="0" w:line="229" w:lineRule="exact"/>
        <w:rPr>
          <w:sz w:val="20"/>
          <w:szCs w:val="20"/>
          <w:color w:val="auto"/>
        </w:rPr>
      </w:pPr>
    </w:p>
    <w:p>
      <w:pPr>
        <w:ind w:left="1020" w:hanging="36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1,038,357.89.</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5.0%.</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1,038,357.89.</w:t>
      </w:r>
    </w:p>
    <w:p>
      <w:pPr>
        <w:spacing w:after="0" w:line="225"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1,038,357.89.</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Ownership of More than Five Percent on Behalf of Another Person.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158" w:lineRule="exact"/>
        <w:rPr>
          <w:sz w:val="20"/>
          <w:szCs w:val="20"/>
          <w:color w:val="auto"/>
        </w:rPr>
      </w:pPr>
    </w:p>
    <w:p>
      <w:pPr>
        <w:ind w:left="660" w:right="14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769" w:right="359" w:bottom="1440" w:gutter="0" w:footer="0" w:header="0"/>
        </w:sectPr>
      </w:pPr>
    </w:p>
    <w:bookmarkStart w:id="4" w:name="page5"/>
    <w:bookmarkEnd w:id="4"/>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46"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Date: February 6, 2024</w:t>
      </w:r>
      <w:r>
        <w:rPr>
          <w:sz w:val="20"/>
          <w:szCs w:val="20"/>
          <w:color w:val="auto"/>
        </w:rPr>
        <w:tab/>
      </w:r>
      <w:r>
        <w:rPr>
          <w:rFonts w:ascii="Times New Roman" w:cs="Times New Roman" w:eastAsia="Times New Roman" w:hAnsi="Times New Roman"/>
          <w:sz w:val="17"/>
          <w:szCs w:val="17"/>
          <w:b w:val="1"/>
          <w:bCs w:val="1"/>
          <w:color w:val="auto"/>
        </w:rPr>
        <w:t>HAWKINS, INC. EMPLOYEE STOCK OWNERSHIP TRUST</w:t>
      </w:r>
    </w:p>
    <w:p>
      <w:pPr>
        <w:spacing w:after="0" w:line="252" w:lineRule="exact"/>
        <w:rPr>
          <w:sz w:val="20"/>
          <w:szCs w:val="20"/>
          <w:color w:val="auto"/>
        </w:rPr>
      </w:pPr>
    </w:p>
    <w:p>
      <w:pPr>
        <w:jc w:val="center"/>
        <w:ind w:right="-339"/>
        <w:spacing w:after="0"/>
        <w:tabs>
          <w:tab w:leader="none" w:pos="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HAWKINS, INC., AS ADMINISTRATOR</w:t>
      </w:r>
    </w:p>
    <w:p>
      <w:pPr>
        <w:spacing w:after="0" w:line="256"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Richard G. Erstad</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Richard G. Erstad</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Vice President, General Counsel and Secretary</w:t>
      </w:r>
    </w:p>
    <w:sectPr>
      <w:pgSz w:w="11900" w:h="16838" w:orient="portrait"/>
      <w:cols w:equalWidth="0" w:num="1">
        <w:col w:w="11140"/>
      </w:cols>
      <w:pgMar w:left="320" w:top="76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5"/>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1)"/>
      <w:numFmt w:val="lowerLetter"/>
      <w:start w:val="11"/>
    </w:lvl>
  </w:abstractNum>
  <w:abstractNum w:abstractNumId="15">
    <w:nsid w:val="6B68079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2024-02-07T15:18:04Z</dcterms:created>
  <dcterms:modified xsi:type="dcterms:W3CDTF">2024-02-07T15:18:04Z</dcterms:modified>
</cp:coreProperties>
</file>