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WASHINGTON, D.C. 20549</w:t>
      </w:r>
    </w:p>
    <w:p>
      <w:pPr>
        <w:spacing w:after="0" w:line="5" w:lineRule="exact"/>
        <w:rPr>
          <w:sz w:val="24"/>
          <w:szCs w:val="24"/>
          <w:color w:val="auto"/>
        </w:rPr>
      </w:pPr>
    </w:p>
    <w:p>
      <w:pPr>
        <w:ind w:left="254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4"/>
          <w:szCs w:val="24"/>
          <w:color w:val="auto"/>
        </w:rPr>
      </w:pPr>
    </w:p>
    <w:p>
      <w:pPr>
        <w:jc w:val="center"/>
        <w:ind w:right="2952"/>
        <w:spacing w:after="0"/>
        <w:rPr>
          <w:sz w:val="20"/>
          <w:szCs w:val="20"/>
          <w:color w:val="auto"/>
        </w:rPr>
      </w:pPr>
      <w:r>
        <w:rPr>
          <w:rFonts w:ascii="Courier New" w:cs="Courier New" w:eastAsia="Courier New" w:hAnsi="Courier New"/>
          <w:sz w:val="15"/>
          <w:szCs w:val="15"/>
          <w:color w:val="auto"/>
        </w:rPr>
        <w:t>SCHEDULE 14A INFORMATION</w:t>
      </w:r>
    </w:p>
    <w:p>
      <w:pPr>
        <w:spacing w:after="0" w:line="180" w:lineRule="exact"/>
        <w:rPr>
          <w:sz w:val="24"/>
          <w:szCs w:val="24"/>
          <w:color w:val="auto"/>
        </w:rPr>
      </w:pPr>
    </w:p>
    <w:p>
      <w:pPr>
        <w:ind w:left="1627"/>
        <w:spacing w:after="0"/>
        <w:rPr>
          <w:sz w:val="20"/>
          <w:szCs w:val="20"/>
          <w:color w:val="auto"/>
        </w:rPr>
      </w:pPr>
      <w:r>
        <w:rPr>
          <w:rFonts w:ascii="Courier New" w:cs="Courier New" w:eastAsia="Courier New" w:hAnsi="Courier New"/>
          <w:sz w:val="15"/>
          <w:szCs w:val="15"/>
          <w:color w:val="auto"/>
        </w:rPr>
        <w:t>Proxy Statement Pursuant to Section 14(a) of</w:t>
      </w:r>
    </w:p>
    <w:p>
      <w:pPr>
        <w:spacing w:after="0" w:line="5" w:lineRule="exact"/>
        <w:rPr>
          <w:sz w:val="24"/>
          <w:szCs w:val="24"/>
          <w:color w:val="auto"/>
        </w:rPr>
      </w:pPr>
    </w:p>
    <w:p>
      <w:pPr>
        <w:ind w:left="1087"/>
        <w:spacing w:after="0"/>
        <w:tabs>
          <w:tab w:leader="none" w:pos="5986" w:val="left"/>
        </w:tabs>
        <w:rPr>
          <w:sz w:val="20"/>
          <w:szCs w:val="20"/>
          <w:color w:val="auto"/>
        </w:rPr>
      </w:pPr>
      <w:r>
        <w:rPr>
          <w:rFonts w:ascii="Courier New" w:cs="Courier New" w:eastAsia="Courier New" w:hAnsi="Courier New"/>
          <w:sz w:val="15"/>
          <w:szCs w:val="15"/>
          <w:color w:val="auto"/>
        </w:rPr>
        <w:t>the Securities Exchange Act of 1934 (Amendment No.</w:t>
      </w:r>
      <w:r>
        <w:rPr>
          <w:sz w:val="20"/>
          <w:szCs w:val="20"/>
          <w:color w:val="auto"/>
        </w:rPr>
        <w:tab/>
      </w:r>
      <w:r>
        <w:rPr>
          <w:rFonts w:ascii="Courier New" w:cs="Courier New" w:eastAsia="Courier New" w:hAnsi="Courier New"/>
          <w:sz w:val="13"/>
          <w:szCs w:val="13"/>
          <w:color w:val="auto"/>
        </w:rPr>
        <w:t>)</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Filed by the Registrant /X/</w:t>
      </w:r>
    </w:p>
    <w:p>
      <w:pPr>
        <w:spacing w:after="0" w:line="5"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Filed by a Party other than the Registrant / /</w:t>
      </w:r>
    </w:p>
    <w:p>
      <w:pPr>
        <w:spacing w:after="0" w:line="180" w:lineRule="exact"/>
        <w:rPr>
          <w:sz w:val="24"/>
          <w:szCs w:val="24"/>
          <w:color w:val="auto"/>
        </w:rPr>
      </w:pPr>
    </w:p>
    <w:p>
      <w:pPr>
        <w:ind w:left="367"/>
        <w:spacing w:after="0"/>
        <w:rPr>
          <w:sz w:val="20"/>
          <w:szCs w:val="20"/>
          <w:color w:val="auto"/>
        </w:rPr>
      </w:pPr>
      <w:r>
        <w:rPr>
          <w:rFonts w:ascii="Courier New" w:cs="Courier New" w:eastAsia="Courier New" w:hAnsi="Courier New"/>
          <w:sz w:val="15"/>
          <w:szCs w:val="15"/>
          <w:color w:val="auto"/>
        </w:rPr>
        <w:t>Check the appropriate box:</w:t>
      </w:r>
    </w:p>
    <w:p>
      <w:pPr>
        <w:spacing w:after="0" w:line="5" w:lineRule="exact"/>
        <w:rPr>
          <w:sz w:val="24"/>
          <w:szCs w:val="24"/>
          <w:color w:val="auto"/>
        </w:rPr>
      </w:pPr>
    </w:p>
    <w:p>
      <w:pPr>
        <w:ind w:left="367"/>
        <w:spacing w:after="0"/>
        <w:tabs>
          <w:tab w:leader="none" w:pos="806" w:val="left"/>
        </w:tabs>
        <w:rPr>
          <w:sz w:val="20"/>
          <w:szCs w:val="20"/>
          <w:color w:val="auto"/>
        </w:rPr>
      </w:pPr>
      <w:r>
        <w:rPr>
          <w:rFonts w:ascii="Courier New" w:cs="Courier New" w:eastAsia="Courier New" w:hAnsi="Courier New"/>
          <w:sz w:val="15"/>
          <w:szCs w:val="15"/>
          <w:color w:val="auto"/>
        </w:rPr>
        <w:t>/X/</w:t>
        <w:tab/>
        <w:t>Preliminary Proxy Statement</w:t>
      </w:r>
    </w:p>
    <w:p>
      <w:pPr>
        <w:spacing w:after="0" w:line="5" w:lineRule="exact"/>
        <w:rPr>
          <w:sz w:val="24"/>
          <w:szCs w:val="24"/>
          <w:color w:val="auto"/>
        </w:rPr>
      </w:pPr>
    </w:p>
    <w:p>
      <w:pPr>
        <w:ind w:left="827" w:right="3419" w:hanging="463"/>
        <w:spacing w:after="0" w:line="246" w:lineRule="auto"/>
        <w:tabs>
          <w:tab w:leader="none" w:pos="55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1" w:lineRule="exact"/>
        <w:rPr>
          <w:rFonts w:ascii="Courier New" w:cs="Courier New" w:eastAsia="Courier New" w:hAnsi="Courier New"/>
          <w:sz w:val="15"/>
          <w:szCs w:val="15"/>
          <w:color w:val="auto"/>
        </w:rPr>
      </w:pPr>
    </w:p>
    <w:p>
      <w:pPr>
        <w:ind w:left="547" w:hanging="183"/>
        <w:spacing w:after="0"/>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Proxy Statement</w:t>
      </w:r>
    </w:p>
    <w:p>
      <w:pPr>
        <w:spacing w:after="0" w:line="4" w:lineRule="exact"/>
        <w:rPr>
          <w:rFonts w:ascii="Courier New" w:cs="Courier New" w:eastAsia="Courier New" w:hAnsi="Courier New"/>
          <w:sz w:val="15"/>
          <w:szCs w:val="15"/>
          <w:color w:val="auto"/>
        </w:rPr>
      </w:pPr>
    </w:p>
    <w:p>
      <w:pPr>
        <w:ind w:left="547" w:hanging="183"/>
        <w:spacing w:after="0"/>
        <w:tabs>
          <w:tab w:leader="none" w:pos="5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spacing w:after="0" w:line="4" w:lineRule="exact"/>
        <w:rPr>
          <w:rFonts w:ascii="Courier New" w:cs="Courier New" w:eastAsia="Courier New" w:hAnsi="Courier New"/>
          <w:sz w:val="15"/>
          <w:szCs w:val="15"/>
          <w:color w:val="auto"/>
        </w:rPr>
      </w:pPr>
    </w:p>
    <w:p>
      <w:pPr>
        <w:ind w:left="827" w:right="4419" w:hanging="463"/>
        <w:spacing w:after="0" w:line="247" w:lineRule="auto"/>
        <w:tabs>
          <w:tab w:leader="none" w:pos="55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Section240.14a-11(c) or Section240.14a-12</w:t>
      </w:r>
    </w:p>
    <w:p>
      <w:pPr>
        <w:spacing w:after="0" w:line="175" w:lineRule="exact"/>
        <w:rPr>
          <w:sz w:val="24"/>
          <w:szCs w:val="24"/>
          <w:color w:val="auto"/>
        </w:rPr>
      </w:pPr>
    </w:p>
    <w:p>
      <w:pPr>
        <w:ind w:left="3367"/>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4"/>
          <w:szCs w:val="24"/>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Registrant as Specified In Its Charter)</w:t>
      </w:r>
    </w:p>
    <w:p>
      <w:pPr>
        <w:spacing w:after="0" w:line="179"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(Name of Person(s) Filing Proxy Statement, if other than the Registrant)</w:t>
      </w:r>
    </w:p>
    <w:p>
      <w:pPr>
        <w:spacing w:after="0" w:line="180" w:lineRule="exact"/>
        <w:rPr>
          <w:sz w:val="24"/>
          <w:szCs w:val="24"/>
          <w:color w:val="auto"/>
        </w:rPr>
      </w:pPr>
    </w:p>
    <w:p>
      <w:pPr>
        <w:ind w:left="7"/>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80"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/X/</w:t>
        <w:tab/>
        <w:t>No fee required.</w:t>
      </w:r>
    </w:p>
    <w:p>
      <w:pPr>
        <w:spacing w:after="0" w:line="5" w:lineRule="exact"/>
        <w:rPr>
          <w:sz w:val="24"/>
          <w:szCs w:val="24"/>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 /</w:t>
        <w:tab/>
        <w:t>Fee computed on table below per Exchange Act Rules 14a-6(i)(1)</w:t>
      </w:r>
    </w:p>
    <w:p>
      <w:pPr>
        <w:spacing w:after="0" w:line="5" w:lineRule="exact"/>
        <w:rPr>
          <w:sz w:val="24"/>
          <w:szCs w:val="24"/>
          <w:color w:val="auto"/>
        </w:rPr>
      </w:pPr>
    </w:p>
    <w:p>
      <w:pPr>
        <w:ind w:left="447"/>
        <w:spacing w:after="0"/>
        <w:rPr>
          <w:sz w:val="20"/>
          <w:szCs w:val="20"/>
          <w:color w:val="auto"/>
        </w:rPr>
      </w:pPr>
      <w:r>
        <w:rPr>
          <w:rFonts w:ascii="Courier New" w:cs="Courier New" w:eastAsia="Courier New" w:hAnsi="Courier New"/>
          <w:sz w:val="15"/>
          <w:szCs w:val="15"/>
          <w:color w:val="auto"/>
        </w:rPr>
        <w:t>and 0-11.</w:t>
      </w:r>
    </w:p>
    <w:p>
      <w:pPr>
        <w:spacing w:after="0" w:line="5" w:lineRule="exact"/>
        <w:rPr>
          <w:sz w:val="24"/>
          <w:szCs w:val="24"/>
          <w:color w:val="auto"/>
        </w:rPr>
      </w:pPr>
    </w:p>
    <w:p>
      <w:pPr>
        <w:ind w:left="827" w:hanging="372"/>
        <w:spacing w:after="0"/>
        <w:tabs>
          <w:tab w:leader="none" w:pos="82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27" w:hanging="372"/>
        <w:spacing w:after="0"/>
        <w:tabs>
          <w:tab w:leader="none" w:pos="82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5"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27" w:hanging="372"/>
        <w:spacing w:after="0"/>
        <w:tabs>
          <w:tab w:leader="none" w:pos="82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5" w:lineRule="exact"/>
        <w:rPr>
          <w:sz w:val="24"/>
          <w:szCs w:val="24"/>
          <w:color w:val="auto"/>
        </w:rPr>
      </w:pPr>
    </w:p>
    <w:p>
      <w:pPr>
        <w:ind w:left="827" w:right="3139"/>
        <w:spacing w:after="0" w:line="246" w:lineRule="auto"/>
        <w:rPr>
          <w:sz w:val="20"/>
          <w:szCs w:val="20"/>
          <w:color w:val="auto"/>
        </w:rPr>
      </w:pPr>
      <w:r>
        <w:rPr>
          <w:rFonts w:ascii="Courier New" w:cs="Courier New" w:eastAsia="Courier New" w:hAnsi="Courier New"/>
          <w:sz w:val="15"/>
          <w:szCs w:val="15"/>
          <w:color w:val="auto"/>
        </w:rPr>
        <w:t>pursuant to Exchange Act Rule 0-11 (set forth the amount on which the filing fee is calculated and state how it was determined):</w:t>
      </w:r>
    </w:p>
    <w:p>
      <w:pPr>
        <w:spacing w:after="0" w:line="1" w:lineRule="exact"/>
        <w:rPr>
          <w:sz w:val="24"/>
          <w:szCs w:val="24"/>
          <w:color w:val="auto"/>
        </w:rPr>
      </w:pPr>
    </w:p>
    <w:p>
      <w:pPr>
        <w:ind w:left="827"/>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27" w:hanging="372"/>
        <w:spacing w:after="0"/>
        <w:tabs>
          <w:tab w:leader="none" w:pos="82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827" w:hanging="372"/>
        <w:spacing w:after="0"/>
        <w:tabs>
          <w:tab w:leader="none" w:pos="82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187" w:hanging="187"/>
        <w:spacing w:after="0"/>
        <w:tabs>
          <w:tab w:leader="none" w:pos="18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paid previously with preliminary materials.</w:t>
      </w:r>
    </w:p>
    <w:p>
      <w:pPr>
        <w:spacing w:after="0" w:line="4" w:lineRule="exact"/>
        <w:rPr>
          <w:rFonts w:ascii="Courier New" w:cs="Courier New" w:eastAsia="Courier New" w:hAnsi="Courier New"/>
          <w:sz w:val="15"/>
          <w:szCs w:val="15"/>
          <w:color w:val="auto"/>
        </w:rPr>
      </w:pPr>
    </w:p>
    <w:p>
      <w:pPr>
        <w:ind w:left="447" w:right="3219" w:hanging="447"/>
        <w:spacing w:after="0" w:line="246" w:lineRule="auto"/>
        <w:tabs>
          <w:tab w:leader="none" w:pos="17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   Amount Previously Paid:</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   Form, Schedule or Registration Statement No.:</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3   Filing Party:</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   Date Filed:</w:t>
      </w:r>
    </w:p>
    <w:p>
      <w:pPr>
        <w:spacing w:after="0" w:line="4" w:lineRule="exact"/>
        <w:rPr>
          <w:rFonts w:ascii="Courier New" w:cs="Courier New" w:eastAsia="Courier New" w:hAnsi="Courier New"/>
          <w:sz w:val="15"/>
          <w:szCs w:val="15"/>
          <w:color w:val="auto"/>
        </w:rPr>
      </w:pPr>
    </w:p>
    <w:p>
      <w:pPr>
        <w:ind w:left="82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6"/>
          </w:cols>
          <w:pgMar w:left="233" w:top="409" w:right="1440" w:bottom="1440" w:gutter="0" w:footer="0" w:header="0"/>
        </w:sectPr>
      </w:pPr>
    </w:p>
    <w:bookmarkStart w:id="1" w:name="page2"/>
    <w:bookmarkEnd w:id="1"/>
    <w:p>
      <w:pPr>
        <w:jc w:val="right"/>
        <w:ind w:right="2959"/>
        <w:spacing w:after="0"/>
        <w:rPr>
          <w:sz w:val="20"/>
          <w:szCs w:val="20"/>
          <w:color w:val="auto"/>
        </w:rPr>
      </w:pPr>
      <w:r>
        <w:rPr>
          <w:rFonts w:ascii="Courier New" w:cs="Courier New" w:eastAsia="Courier New" w:hAnsi="Courier New"/>
          <w:sz w:val="15"/>
          <w:szCs w:val="15"/>
          <w:color w:val="auto"/>
        </w:rPr>
        <w:t>PRELIMINARY PROXY STATEMENT</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[HAWKINS LOGO]</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3100 EAST HENNEPIN AVENUE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MINNEAPOLIS, MINNESOTA 55413</w:t>
      </w:r>
    </w:p>
    <w:p>
      <w:pPr>
        <w:spacing w:after="0" w:line="180"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TO BE HELD</w:t>
      </w:r>
    </w:p>
    <w:p>
      <w:pPr>
        <w:spacing w:after="0" w:line="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FEBRUARY 14, 2001</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annual meeting of shareholders of Hawkins Chemical, Inc. (the "Company") will be held at the Four Points Sheraton Hotel, 1330 Industrial Boulevard, Minneapolis, Minnesota, on Wednesday, February 14, 2001, at 3:30 P.M., Central Standard Time, for the following purposes:</w:t>
      </w:r>
    </w:p>
    <w:p>
      <w:pPr>
        <w:spacing w:after="0" w:line="177" w:lineRule="exact"/>
        <w:rPr>
          <w:sz w:val="20"/>
          <w:szCs w:val="20"/>
          <w:color w:val="auto"/>
        </w:rPr>
      </w:pPr>
    </w:p>
    <w:p>
      <w:pPr>
        <w:ind w:left="720" w:hanging="363"/>
        <w:spacing w:after="0"/>
        <w:tabs>
          <w:tab w:leader="none" w:pos="7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nine directors.</w:t>
      </w:r>
    </w:p>
    <w:p>
      <w:pPr>
        <w:spacing w:after="0" w:line="179" w:lineRule="exact"/>
        <w:rPr>
          <w:rFonts w:ascii="Courier New" w:cs="Courier New" w:eastAsia="Courier New" w:hAnsi="Courier New"/>
          <w:sz w:val="15"/>
          <w:szCs w:val="15"/>
          <w:color w:val="auto"/>
        </w:rPr>
      </w:pPr>
    </w:p>
    <w:p>
      <w:pPr>
        <w:ind w:left="720" w:right="2959" w:hanging="363"/>
        <w:spacing w:after="0" w:line="247" w:lineRule="auto"/>
        <w:tabs>
          <w:tab w:leader="none" w:pos="7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Amended and Second Restated Articles of Incorporation to change the name of the Company from Hawkins Chemical, Inc. to Hawkins, Inc.</w:t>
      </w:r>
    </w:p>
    <w:p>
      <w:pPr>
        <w:spacing w:after="0" w:line="174" w:lineRule="exact"/>
        <w:rPr>
          <w:rFonts w:ascii="Courier New" w:cs="Courier New" w:eastAsia="Courier New" w:hAnsi="Courier New"/>
          <w:sz w:val="15"/>
          <w:szCs w:val="15"/>
          <w:color w:val="auto"/>
        </w:rPr>
      </w:pPr>
    </w:p>
    <w:p>
      <w:pPr>
        <w:ind w:left="720" w:right="3039" w:hanging="363"/>
        <w:spacing w:after="0" w:line="247" w:lineRule="auto"/>
        <w:tabs>
          <w:tab w:leader="none" w:pos="72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5"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Board of Directors has fixed the close of business on January 5, 2001 as the record date for determining the shareholders entitled to vote at the annual meeting. Accordingly, only shareholders of record at the close of business on that date will be entitled to vote at the meeting. The Company's transfer books will not be closed.</w:t>
      </w:r>
    </w:p>
    <w:p>
      <w:pPr>
        <w:spacing w:after="0" w:line="200" w:lineRule="exact"/>
        <w:rPr>
          <w:sz w:val="20"/>
          <w:szCs w:val="20"/>
          <w:color w:val="auto"/>
        </w:rPr>
      </w:pPr>
    </w:p>
    <w:p>
      <w:pPr>
        <w:spacing w:after="0" w:line="327" w:lineRule="exact"/>
        <w:rPr>
          <w:sz w:val="20"/>
          <w:szCs w:val="20"/>
          <w:color w:val="auto"/>
        </w:rPr>
      </w:pPr>
    </w:p>
    <w:p>
      <w:pPr>
        <w:ind w:left="2360" w:right="4779" w:hanging="2816"/>
        <w:spacing w:after="0" w:line="494" w:lineRule="auto"/>
        <w:tabs>
          <w:tab w:leader="none" w:pos="2340" w:val="left"/>
        </w:tabs>
        <w:rPr>
          <w:sz w:val="20"/>
          <w:szCs w:val="20"/>
          <w:color w:val="auto"/>
        </w:rPr>
      </w:pPr>
      <w:r>
        <w:rPr>
          <w:rFonts w:ascii="Courier New" w:cs="Courier New" w:eastAsia="Courier New" w:hAnsi="Courier New"/>
          <w:sz w:val="15"/>
          <w:szCs w:val="15"/>
          <w:color w:val="auto"/>
        </w:rPr>
        <w:t>Dated: January 15, 2001.</w:t>
        <w:tab/>
        <w:t>BY ORDER OF THE BOARD OF DIRECTORS MARVIN E. DEE, SECRETARY</w:t>
      </w:r>
    </w:p>
    <w:p>
      <w:pPr>
        <w:spacing w:after="0" w:line="174"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IMPORTANT: TO ASSURE THE NECESSARY REPRESENTATION AT THE ANNUAL MEETING, YOU ARE URGED TO SIGN AND RETURN THE ENCLOSED PROXY PROMPTLY TO SAVE THE COMPANY THE EXPENSE OF ADDITIONAL SOLICITATION. DOING SO WILL NOT PREVENT YOU FROM VOTING IN PERSON IF YOU SO DESIRE.</w:t>
      </w:r>
    </w:p>
    <w:p>
      <w:pPr>
        <w:sectPr>
          <w:pgSz w:w="11900" w:h="16838" w:orient="portrait"/>
          <w:cols w:equalWidth="0" w:num="1">
            <w:col w:w="10219"/>
          </w:cols>
          <w:pgMar w:left="240" w:top="468" w:right="1440" w:bottom="1440" w:gutter="0" w:footer="0" w:header="0"/>
        </w:sectPr>
      </w:pPr>
    </w:p>
    <w:bookmarkStart w:id="2" w:name="page3"/>
    <w:bookmarkEnd w:id="2"/>
    <w:p>
      <w:pPr>
        <w:jc w:val="right"/>
        <w:ind w:right="2959"/>
        <w:spacing w:after="0"/>
        <w:rPr>
          <w:sz w:val="20"/>
          <w:szCs w:val="20"/>
          <w:color w:val="auto"/>
        </w:rPr>
      </w:pPr>
      <w:r>
        <w:rPr>
          <w:rFonts w:ascii="Courier New" w:cs="Courier New" w:eastAsia="Courier New" w:hAnsi="Courier New"/>
          <w:sz w:val="15"/>
          <w:szCs w:val="15"/>
          <w:color w:val="auto"/>
        </w:rPr>
        <w:t>PRELIMINARY COPY</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3100 EAST HENNEPIN AVENUE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MINNEAPOLIS, MINNESOTA 55413</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JANUARY 15, 2001</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following statement is furnished in connection with the solicitation of proxies by the Board of Directors of Hawkins Chemical, Inc. (the "Company") to be voted at the annual meeting of shareholders of the Company to be held on Wednesday, February 14, 2001, or at any adjournment or adjournments of such meeting. Distribution of this proxy statement and proxy to the shareholders began on or about January 15, 2001.</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SOLICITATION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cost of soliciting proxies and of the notices of the meeting, including the preparation, assembly and mailing of proxies and this statement, will be borne by the Company. In addition to the use of the mails, proxies may be solicited personally or by telephone or telegraph by directors, officers and regular employees of the Company. Furthermore, arrangements may be made with brokers, banks and similar organizations to send proxies and proxy materials to beneficial owners for voting instructions. The Company will reimburse such organizations for their expenses.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REVOCATION AND VOTING OF PROXY</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use at the meeting by (1) delivering a written notice expressly revoking the proxy to the Secretary at the Company's offices, (2) signing and forwarding to the Company at its offices a later dated proxy, or (3) attending the annual meeting and casting his or her votes personally.</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Unless otherwise directed in the accompanying proxy, the persons named therein will vote FOR the nominees for director as set forth in this Notice of Annual Meeting of Shareholders and FOR the amendment authorizing the change of the Company's name to "Hawkins, Inc." Management is not aware of any other business that will, or is likely to, come before the meeting. If any other business does properly come before the meeting, such persons will vote in accordance with their judgment as to what is in the Company's best interests.</w:t>
      </w:r>
    </w:p>
    <w:p>
      <w:pPr>
        <w:spacing w:after="0" w:line="179"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 majority of the outstanding shares will constitute a quorum at the annual meeting. Abstentions and broker non-votes are counted for purposes of determining the presence or absence of a quorum for the transaction of business. Pursuant to Minnesota law and the Company's Amended and Second Restated Articles of Incorporation, abstentions are counted in determining the total number of the votes cast on proposals presented to shareholders, but will not be treated as votes in favor of the proposals. Broker non-votes are not counted for purposes of determining the total number of votes cast on proposals presented to shareholders.</w:t>
      </w:r>
    </w:p>
    <w:p>
      <w:pPr>
        <w:spacing w:after="0" w:line="180"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OUTSTANDING SHARES AND VOTING RIGHTS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As of the close of business on January 5, 2001, there were outstanding 10,374,439 shares of common stock, par value $.05 per share, which is the only outstanding class of stock of the Company. Holders of common shares are entitled to one vote for each share held on the record date with respect to all matters that may be brought before the meeting. The record date for determining the shareholders entitled to vote at the 2001 annual meeting is January 5, 2001. There is no cumulative voting for directors.</w:t>
      </w:r>
    </w:p>
    <w:p>
      <w:pPr>
        <w:sectPr>
          <w:pgSz w:w="11900" w:h="16838" w:orient="portrait"/>
          <w:cols w:equalWidth="0" w:num="1">
            <w:col w:w="10219"/>
          </w:cols>
          <w:pgMar w:left="240" w:top="468" w:right="1440" w:bottom="1440" w:gutter="0" w:footer="0" w:header="0"/>
        </w:sectPr>
      </w:pPr>
    </w:p>
    <w:bookmarkStart w:id="3" w:name="page4"/>
    <w:bookmarkEnd w:id="3"/>
    <w:p>
      <w:pPr>
        <w:ind w:left="1087"/>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Section 16(a) of the Securities Exchange Act of 1934 requires the Company's executive officers and directors to file initial reports of ownership and reports of changes in ownership of common stock of the 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 except that (i) Howard M. Hawkins inadvertently failed to file a Form 4 for a transaction that occurred in June 2000 and (ii) each of Keenan A. Paulson, John R. Sevenich, and Daniel E. Soderlund inadvertently failed to file their initial reports on Form 3 upon becoming executive officers of the Company in May 2000, all of which reports have since been filed.</w:t>
      </w:r>
    </w:p>
    <w:p>
      <w:pPr>
        <w:spacing w:after="0" w:line="184"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SECURITY OWNERSHIP OF MANAGEMENT</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AND BENEFICIAL OWNERSHIP</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following table contains information as of December 1, 2000 concerning the beneficial ownership of the Company's common shares by all directors and nominees, by the named executive officers in the Summary Compensation table, by all current directors and executive officers as a group and by persons known to the Company to beneficially own more than 5% of its common shares. Unless otherwise noted, the address for each person listed below is the Company's executive offices.</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580" w:type="dxa"/>
            <w:vAlign w:val="bottom"/>
          </w:tcPr>
          <w:p>
            <w:pPr>
              <w:spacing w:after="0"/>
              <w:rPr>
                <w:sz w:val="14"/>
                <w:szCs w:val="14"/>
                <w:color w:val="auto"/>
              </w:rPr>
            </w:pP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NUMBER OF</w:t>
            </w:r>
          </w:p>
        </w:tc>
        <w:tc>
          <w:tcPr>
            <w:tcW w:w="12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PERCENT OF</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54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SHARES(a)</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CLASS</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54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558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174,593(b)</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108,173(c)</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123,950(d)</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82,901(e)</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John S. McKeon..............................................</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19,125(f)</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Duane M. Jergenson..........................................</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6,125</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G. Robert Gey...............................................</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2,171</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Kurt R. Norman..............................................</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15,023(g)</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Daryl I. Skaar..............................................</w:t>
            </w:r>
          </w:p>
        </w:tc>
        <w:tc>
          <w:tcPr>
            <w:tcW w:w="15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John R. Sevenich............................................</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16,817(h)</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Daniel E. Soderlund.........................................</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8,754(i)</w:t>
            </w:r>
          </w:p>
        </w:tc>
        <w:tc>
          <w:tcPr>
            <w:tcW w:w="12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All current directors and officers as a group (13</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5580" w:type="dxa"/>
            <w:vAlign w:val="bottom"/>
          </w:tcPr>
          <w:p>
            <w:pPr>
              <w:ind w:left="180"/>
              <w:spacing w:after="0"/>
              <w:rPr>
                <w:sz w:val="20"/>
                <w:szCs w:val="20"/>
                <w:color w:val="auto"/>
              </w:rPr>
            </w:pPr>
            <w:r>
              <w:rPr>
                <w:rFonts w:ascii="Courier New" w:cs="Courier New" w:eastAsia="Courier New" w:hAnsi="Courier New"/>
                <w:sz w:val="15"/>
                <w:szCs w:val="15"/>
                <w:color w:val="auto"/>
              </w:rPr>
              <w:t>persons)..................................................</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564,513(j)</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w:t>
            </w: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Trustees, Hawkins Chemical, Inc.</w:t>
            </w:r>
          </w:p>
        </w:tc>
        <w:tc>
          <w:tcPr>
            <w:tcW w:w="154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175"/>
        </w:trPr>
        <w:tc>
          <w:tcPr>
            <w:tcW w:w="5580" w:type="dxa"/>
            <w:vAlign w:val="bottom"/>
          </w:tcPr>
          <w:p>
            <w:pPr>
              <w:spacing w:after="0"/>
              <w:rPr>
                <w:sz w:val="20"/>
                <w:szCs w:val="20"/>
                <w:color w:val="auto"/>
              </w:rPr>
            </w:pPr>
            <w:r>
              <w:rPr>
                <w:rFonts w:ascii="Courier New" w:cs="Courier New" w:eastAsia="Courier New" w:hAnsi="Courier New"/>
                <w:sz w:val="15"/>
                <w:szCs w:val="15"/>
                <w:color w:val="auto"/>
              </w:rPr>
              <w:t>Employee Stock Ownership Plan and Trust.....................</w:t>
            </w:r>
          </w:p>
        </w:tc>
        <w:tc>
          <w:tcPr>
            <w:tcW w:w="15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2,418,023(k)</w:t>
            </w:r>
          </w:p>
        </w:tc>
        <w:tc>
          <w:tcPr>
            <w:tcW w:w="12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23.2%</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hanging="367"/>
        <w:spacing w:after="0"/>
        <w:tabs>
          <w:tab w:leader="none" w:pos="36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one percent.</w:t>
      </w:r>
    </w:p>
    <w:p>
      <w:pPr>
        <w:spacing w:after="0" w:line="180" w:lineRule="exact"/>
        <w:rPr>
          <w:sz w:val="20"/>
          <w:szCs w:val="20"/>
          <w:color w:val="auto"/>
        </w:rPr>
      </w:pPr>
    </w:p>
    <w:p>
      <w:pPr>
        <w:ind w:left="367" w:right="3039" w:hanging="367"/>
        <w:spacing w:after="0" w:line="247"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all shares shown are held by individuals possessing sole voting and investment power with respect to such shares.</w:t>
      </w:r>
    </w:p>
    <w:p>
      <w:pPr>
        <w:spacing w:after="0" w:line="174" w:lineRule="exact"/>
        <w:rPr>
          <w:rFonts w:ascii="Courier New" w:cs="Courier New" w:eastAsia="Courier New" w:hAnsi="Courier New"/>
          <w:sz w:val="15"/>
          <w:szCs w:val="15"/>
          <w:color w:val="auto"/>
        </w:rPr>
      </w:pPr>
    </w:p>
    <w:p>
      <w:pPr>
        <w:ind w:left="367" w:right="2959" w:hanging="367"/>
        <w:spacing w:after="0" w:line="247" w:lineRule="auto"/>
        <w:tabs>
          <w:tab w:leader="none" w:pos="36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64,195 shares held by Mr. Hawkins' wife as to which he may be deemed to share voting and investment power, but as to which he disclaims beneficial ownership; and 8,876 shares that Mr. Hawkins holds jointly with his wife as to which he shares voting and investment power. Does not include shares representing the beneficial interest of Mr. Hawkins as of September 30, 2000 in the Company's Employee Stock Ownership Plan (106,540 shares).</w:t>
      </w:r>
    </w:p>
    <w:p>
      <w:pPr>
        <w:spacing w:after="0" w:line="34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6"/>
          </w:cols>
          <w:pgMar w:left="233" w:top="468" w:right="1440" w:bottom="1440" w:gutter="0" w:footer="0" w:header="0"/>
        </w:sectPr>
      </w:pPr>
    </w:p>
    <w:bookmarkStart w:id="4" w:name="page5"/>
    <w:bookmarkEnd w:id="4"/>
    <w:p>
      <w:pPr>
        <w:ind w:left="367" w:right="3039" w:hanging="367"/>
        <w:spacing w:after="0" w:line="246"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9,797 shares that Mr. Hahn holds jointly with his wife as to which he shares voting and investment power. Does not include shares representing Mr. Hahn's beneficial interest as of September 30, 2000 in the Company's Employee Stock Ownership Plan (114,348 shares).</w:t>
      </w:r>
    </w:p>
    <w:p>
      <w:pPr>
        <w:spacing w:after="0" w:line="177"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60,000 shares held by Mr. Shipp's wife as to which he may be deemed to share voting and investment power, but as to which he disclaims beneficial ownership. Does not include shares representing Mr. Shipp's beneficial interest as of September 30, 2000 in the Company's Employee Stock Ownership Plan (189,176 shares).</w:t>
      </w:r>
    </w:p>
    <w:p>
      <w:pPr>
        <w:spacing w:after="0" w:line="177" w:lineRule="exact"/>
        <w:rPr>
          <w:rFonts w:ascii="Courier New" w:cs="Courier New" w:eastAsia="Courier New" w:hAnsi="Courier New"/>
          <w:sz w:val="15"/>
          <w:szCs w:val="15"/>
          <w:color w:val="auto"/>
        </w:rPr>
      </w:pPr>
    </w:p>
    <w:p>
      <w:pPr>
        <w:ind w:left="367" w:right="3039" w:hanging="367"/>
        <w:spacing w:after="0" w:line="246"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44,535 shares held by Mr. Hawkins as custodian for his child as to which he has sole voting and investment power, but as to which he disclaims beneficial ownership, as well as 38,019 shares held by Mr. Hawkins jointly with his wife as to which he shares voting and investment power. Does not include shares representing the beneficial interest of Mr. Hawkins as of September 30, 2000 in the Company's Employee Stock Ownership Plan (127,728 shares).</w:t>
      </w:r>
    </w:p>
    <w:p>
      <w:pPr>
        <w:spacing w:after="0" w:line="179"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782 shares held by Mr. McKeon as custodian for his children as to which Mr. McKeon has sole voting and investment power, but as to which he disclaims beneficial ownership.</w:t>
      </w:r>
    </w:p>
    <w:p>
      <w:pPr>
        <w:spacing w:after="0" w:line="174" w:lineRule="exact"/>
        <w:rPr>
          <w:rFonts w:ascii="Courier New" w:cs="Courier New" w:eastAsia="Courier New" w:hAnsi="Courier New"/>
          <w:sz w:val="15"/>
          <w:szCs w:val="15"/>
          <w:color w:val="auto"/>
        </w:rPr>
      </w:pPr>
    </w:p>
    <w:p>
      <w:pPr>
        <w:ind w:left="367" w:right="3139" w:hanging="367"/>
        <w:spacing w:after="0" w:line="247"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1,491 shares held by Mr. Norman's wife as custodian for their children, as to which he disclaims beneficial ownership. Does not include shares representing the beneficial interest of Mr. Norman as of September 30, 2000, in the Company's Employee Stock Ownership Plan (28,910 shares).</w:t>
      </w:r>
    </w:p>
    <w:p>
      <w:pPr>
        <w:spacing w:after="0" w:line="349" w:lineRule="exact"/>
        <w:rPr>
          <w:rFonts w:ascii="Courier New" w:cs="Courier New" w:eastAsia="Courier New" w:hAnsi="Courier New"/>
          <w:sz w:val="15"/>
          <w:szCs w:val="15"/>
          <w:color w:val="auto"/>
        </w:rPr>
      </w:pPr>
    </w:p>
    <w:p>
      <w:pPr>
        <w:ind w:left="367" w:right="3039" w:hanging="367"/>
        <w:spacing w:after="0" w:line="247"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share representing the beneficial interest of Mr. Sevenich in the Company's Employee Stock Ownership Plan (18,501 shares as of September 30, 2000).</w:t>
      </w:r>
    </w:p>
    <w:p>
      <w:pPr>
        <w:spacing w:after="0" w:line="174" w:lineRule="exact"/>
        <w:rPr>
          <w:rFonts w:ascii="Courier New" w:cs="Courier New" w:eastAsia="Courier New" w:hAnsi="Courier New"/>
          <w:sz w:val="15"/>
          <w:szCs w:val="15"/>
          <w:color w:val="auto"/>
        </w:rPr>
      </w:pPr>
    </w:p>
    <w:p>
      <w:pPr>
        <w:ind w:left="367" w:right="3139" w:hanging="367"/>
        <w:spacing w:after="0" w:line="246"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Soderlund holds these shares jointly with his spouse and shares voting and investment power. Does not include shares representing the beneficial interest of Mr. Soderlund in the Company's Employee Stock Ownership Plan (9,834 shares as of September 30, 2000).</w:t>
      </w:r>
    </w:p>
    <w:p>
      <w:pPr>
        <w:spacing w:after="0" w:line="177" w:lineRule="exact"/>
        <w:rPr>
          <w:rFonts w:ascii="Courier New" w:cs="Courier New" w:eastAsia="Courier New" w:hAnsi="Courier New"/>
          <w:sz w:val="15"/>
          <w:szCs w:val="15"/>
          <w:color w:val="auto"/>
        </w:rPr>
      </w:pPr>
    </w:p>
    <w:p>
      <w:pPr>
        <w:ind w:left="367" w:right="3599" w:hanging="367"/>
        <w:spacing w:after="0" w:line="247"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shares representing the beneficial interest of the directors and officers in the Company's Employee Stock Ownership Plan (661,264 shares as of September 30, 2000).</w:t>
      </w:r>
    </w:p>
    <w:p>
      <w:pPr>
        <w:spacing w:after="0" w:line="174" w:lineRule="exact"/>
        <w:rPr>
          <w:rFonts w:ascii="Courier New" w:cs="Courier New" w:eastAsia="Courier New" w:hAnsi="Courier New"/>
          <w:sz w:val="15"/>
          <w:szCs w:val="15"/>
          <w:color w:val="auto"/>
        </w:rPr>
      </w:pPr>
    </w:p>
    <w:p>
      <w:pPr>
        <w:ind w:left="367" w:right="2959" w:hanging="367"/>
        <w:spacing w:after="0" w:line="246" w:lineRule="auto"/>
        <w:tabs>
          <w:tab w:leader="none" w:pos="36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trustees of the Hawkins Chemical, Inc. Employee Stock Ownership Plan and Trust are John R. Hawkins, Kurt R. Norman, and Marvin E. Dee. Although these individuals could be deemed to "beneficially own" all of the shares held by this Plan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PROPOSALS TO BE ACTED UPON AT THE ANNUAL MEETING</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ELECTION OF DIRECTORS</w:t>
      </w:r>
    </w:p>
    <w:p>
      <w:pPr>
        <w:spacing w:after="0" w:line="5" w:lineRule="exact"/>
        <w:rPr>
          <w:sz w:val="20"/>
          <w:szCs w:val="20"/>
          <w:color w:val="auto"/>
        </w:rPr>
      </w:pPr>
    </w:p>
    <w:p>
      <w:pPr>
        <w:ind w:left="3087"/>
        <w:spacing w:after="0"/>
        <w:rPr>
          <w:sz w:val="20"/>
          <w:szCs w:val="20"/>
          <w:color w:val="auto"/>
        </w:rPr>
      </w:pPr>
      <w:r>
        <w:rPr>
          <w:rFonts w:ascii="Courier New" w:cs="Courier New" w:eastAsia="Courier New" w:hAnsi="Courier New"/>
          <w:sz w:val="15"/>
          <w:szCs w:val="15"/>
          <w:color w:val="auto"/>
        </w:rPr>
        <w:t>(PROPOSAL 1)</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At the forthcoming annual meeting, nine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Abstentions and broker non-votes have the effect of a vote against the nominees. Proxies will be voted for the election of all nominees unless you direct otherwise. Should any nominee decline or be unable to accept such nomination or to serve as a director (an event which management does not now expect to occur), proxies will be voted for a substitute nominee or nominees in accordance with the best judgment of the person or persons acting under them.</w:t>
      </w:r>
    </w:p>
    <w:p>
      <w:pPr>
        <w:spacing w:after="0" w:line="18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468"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INFORMATION ABOUT NOMINEES</w:t>
      </w:r>
    </w:p>
    <w:p>
      <w:pPr>
        <w:spacing w:after="0" w:line="180" w:lineRule="exact"/>
        <w:rPr>
          <w:sz w:val="20"/>
          <w:szCs w:val="20"/>
          <w:color w:val="auto"/>
        </w:rPr>
      </w:pPr>
    </w:p>
    <w:p>
      <w:pPr>
        <w:ind w:right="540" w:firstLine="364"/>
        <w:spacing w:after="0" w:line="246" w:lineRule="auto"/>
        <w:rPr>
          <w:sz w:val="20"/>
          <w:szCs w:val="20"/>
          <w:color w:val="auto"/>
        </w:rPr>
      </w:pPr>
      <w:r>
        <w:rPr>
          <w:rFonts w:ascii="Courier New" w:cs="Courier New" w:eastAsia="Courier New" w:hAnsi="Courier New"/>
          <w:sz w:val="15"/>
          <w:szCs w:val="15"/>
          <w:color w:val="auto"/>
        </w:rPr>
        <w:t>All nominees who are now directors of the Company have served continuously since the year indicated below. The following information, including the principal occupation or employment of each nominee, has been furnished to the Company by the respective nominees, as of December 6, 2000; all occupations are with the Company unless otherwise noted.</w:t>
      </w:r>
    </w:p>
    <w:p>
      <w:pPr>
        <w:spacing w:after="0" w:line="200" w:lineRule="exact"/>
        <w:rPr>
          <w:sz w:val="20"/>
          <w:szCs w:val="20"/>
          <w:color w:val="auto"/>
        </w:rPr>
      </w:pPr>
    </w:p>
    <w:p>
      <w:pPr>
        <w:spacing w:after="0" w:line="327"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PRINCIPAL OCCUPATION</w:t>
      </w:r>
    </w:p>
    <w:p>
      <w:pPr>
        <w:spacing w:after="0" w:line="5"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5"/>
          <w:szCs w:val="15"/>
          <w:color w:val="auto"/>
        </w:rPr>
        <w:t>NOMINEE</w:t>
      </w:r>
      <w:r>
        <w:rPr>
          <w:sz w:val="20"/>
          <w:szCs w:val="20"/>
          <w:color w:val="auto"/>
        </w:rPr>
        <w:tab/>
      </w:r>
      <w:r>
        <w:rPr>
          <w:rFonts w:ascii="Courier New" w:cs="Courier New" w:eastAsia="Courier New" w:hAnsi="Courier New"/>
          <w:sz w:val="15"/>
          <w:szCs w:val="15"/>
          <w:color w:val="auto"/>
        </w:rPr>
        <w:t>AND EMPLOYMENT</w:t>
      </w:r>
    </w:p>
    <w:p>
      <w:pPr>
        <w:spacing w:after="0" w:line="5" w:lineRule="exact"/>
        <w:rPr>
          <w:sz w:val="20"/>
          <w:szCs w:val="20"/>
          <w:color w:val="auto"/>
        </w:rPr>
      </w:pPr>
    </w:p>
    <w:p>
      <w:pPr>
        <w:spacing w:after="0"/>
        <w:tabs>
          <w:tab w:leader="none" w:pos="48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John R. Hawkins......................</w:t>
        <w:tab/>
        <w:t>Chairman of the Board and Chief Executive</w:t>
      </w:r>
    </w:p>
    <w:p>
      <w:pPr>
        <w:spacing w:after="0" w:line="5" w:lineRule="exact"/>
        <w:rPr>
          <w:sz w:val="20"/>
          <w:szCs w:val="20"/>
          <w:color w:val="auto"/>
        </w:rPr>
      </w:pPr>
    </w:p>
    <w:p>
      <w:pPr>
        <w:ind w:left="3540"/>
        <w:spacing w:after="0" w:line="246" w:lineRule="auto"/>
        <w:rPr>
          <w:sz w:val="20"/>
          <w:szCs w:val="20"/>
          <w:color w:val="auto"/>
        </w:rPr>
      </w:pPr>
      <w:r>
        <w:rPr>
          <w:rFonts w:ascii="Courier New" w:cs="Courier New" w:eastAsia="Courier New" w:hAnsi="Courier New"/>
          <w:sz w:val="15"/>
          <w:szCs w:val="15"/>
          <w:color w:val="auto"/>
        </w:rPr>
        <w:t>Officer since February 2000; President from December 1998 to February 2000; Executive Vice President from 1997 to December 1998; Vice President of Sales from 1987 to 1997; Secretary from 1991 to 1999.</w:t>
      </w:r>
    </w:p>
    <w:p>
      <w:pPr>
        <w:spacing w:after="0" w:line="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Kurt R. Norman.......................</w:t>
        <w:tab/>
        <w:t>President and Chief Operating Officer since</w:t>
      </w:r>
    </w:p>
    <w:p>
      <w:pPr>
        <w:spacing w:after="0" w:line="5" w:lineRule="exact"/>
        <w:rPr>
          <w:sz w:val="20"/>
          <w:szCs w:val="20"/>
          <w:color w:val="auto"/>
        </w:rPr>
      </w:pPr>
    </w:p>
    <w:p>
      <w:pPr>
        <w:ind w:left="3540"/>
        <w:spacing w:after="0" w:line="246" w:lineRule="auto"/>
        <w:rPr>
          <w:sz w:val="20"/>
          <w:szCs w:val="20"/>
          <w:color w:val="auto"/>
        </w:rPr>
      </w:pPr>
      <w:r>
        <w:rPr>
          <w:rFonts w:ascii="Courier New" w:cs="Courier New" w:eastAsia="Courier New" w:hAnsi="Courier New"/>
          <w:sz w:val="15"/>
          <w:szCs w:val="15"/>
          <w:color w:val="auto"/>
        </w:rPr>
        <w:t>February 2000; Vice President from February 1999 to February 2000; Vice President, Hawkins Water Treatment Group from 1996 to February 1999; General Manager of Hawkins Water Treatment Group from 1988 to 1996.</w:t>
      </w:r>
    </w:p>
    <w:p>
      <w:pPr>
        <w:spacing w:after="0" w:line="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Dean L. Hahn.........................</w:t>
        <w:tab/>
        <w:t>Retired; Chairman of the Board and Chief</w:t>
      </w:r>
    </w:p>
    <w:p>
      <w:pPr>
        <w:spacing w:after="0" w:line="5" w:lineRule="exact"/>
        <w:rPr>
          <w:sz w:val="20"/>
          <w:szCs w:val="20"/>
          <w:color w:val="auto"/>
        </w:rPr>
      </w:pPr>
    </w:p>
    <w:p>
      <w:pPr>
        <w:ind w:left="3540"/>
        <w:spacing w:after="0" w:line="246" w:lineRule="auto"/>
        <w:rPr>
          <w:sz w:val="20"/>
          <w:szCs w:val="20"/>
          <w:color w:val="auto"/>
        </w:rPr>
      </w:pPr>
      <w:r>
        <w:rPr>
          <w:rFonts w:ascii="Courier New" w:cs="Courier New" w:eastAsia="Courier New" w:hAnsi="Courier New"/>
          <w:sz w:val="15"/>
          <w:szCs w:val="15"/>
          <w:color w:val="auto"/>
        </w:rPr>
        <w:t>Executive Officer from 1996 to 2000; President from 1983 to 1996.</w:t>
      </w:r>
    </w:p>
    <w:p>
      <w:pPr>
        <w:spacing w:after="0" w:line="1"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Donald L. Shipp......................</w:t>
        <w:tab/>
        <w:t>Retired; Vice Chairman from December 1998 to</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September 2000; President from 1996 to</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December 1998; Executive Vice President from</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1983 to 1996; President of Feed-Rite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Controls, Inc., then a subsidiary of the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Company, from 1967 to 1996.</w:t>
      </w:r>
    </w:p>
    <w:p>
      <w:pPr>
        <w:spacing w:after="0" w:line="5"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Howard M. Hawkins....................</w:t>
        <w:tab/>
        <w:t>Retired; Treasurer from 1973 to 1999; Vice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President from 1996 to 1999.</w:t>
      </w:r>
    </w:p>
    <w:p>
      <w:pPr>
        <w:spacing w:after="0" w:line="5"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John S. McKeon.......................</w:t>
        <w:tab/>
        <w:t>President of Golden Valley Microwave Foods,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Inc. since August 1993; President of McKeon</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Associates, Inc. 1991 to 1993 (corporate</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finance consulting); Vice President of</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Northstar Industries, Inc. 1976 to 1990.</w:t>
      </w:r>
    </w:p>
    <w:p>
      <w:pPr>
        <w:spacing w:after="0" w:line="5"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Duane M. Jergenson...................</w:t>
        <w:tab/>
        <w:t>Retired; Vice President, Operations of Taylor</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Corporation from 1985 to 1999.</w:t>
      </w:r>
    </w:p>
    <w:p>
      <w:pPr>
        <w:spacing w:after="0" w:line="5"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G. Robert Gey........................</w:t>
        <w:tab/>
        <w:t>President, Pentair Service Equipment Business</w:t>
      </w:r>
    </w:p>
    <w:p>
      <w:pPr>
        <w:spacing w:after="0" w:line="5" w:lineRule="exact"/>
        <w:rPr>
          <w:sz w:val="20"/>
          <w:szCs w:val="20"/>
          <w:color w:val="auto"/>
        </w:rPr>
      </w:pPr>
    </w:p>
    <w:p>
      <w:pPr>
        <w:ind w:left="3540"/>
        <w:spacing w:after="0" w:line="246" w:lineRule="auto"/>
        <w:rPr>
          <w:sz w:val="20"/>
          <w:szCs w:val="20"/>
          <w:color w:val="auto"/>
        </w:rPr>
      </w:pPr>
      <w:r>
        <w:rPr>
          <w:rFonts w:ascii="Courier New" w:cs="Courier New" w:eastAsia="Courier New" w:hAnsi="Courier New"/>
          <w:sz w:val="15"/>
          <w:szCs w:val="15"/>
          <w:color w:val="auto"/>
        </w:rPr>
        <w:t>since 1996; Vice President, Pentair Corporate Development from 1995 to 1996; President, Niagara Paper Corp. from 1992 to 1995; various positions with Pentair, Inc. from 1983 to 1992.</w:t>
      </w:r>
    </w:p>
    <w:p>
      <w:pPr>
        <w:spacing w:after="0" w:line="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5"/>
          <w:szCs w:val="15"/>
          <w:color w:val="auto"/>
        </w:rPr>
        <w:t>Daryl I. Skaar.......................</w:t>
        <w:tab/>
        <w:t>Retired; Vice President, Chief Procurement</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Officer of Lucent Technologies from 1997 to</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2000; various positions at 3M from 1965 to</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1997, most recently as Vice President of</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Purchasing and Packaging Engineering.</w:t>
      </w:r>
    </w:p>
    <w:p>
      <w:pPr>
        <w:spacing w:after="0" w:line="354" w:lineRule="exact"/>
        <w:rPr>
          <w:sz w:val="20"/>
          <w:szCs w:val="20"/>
          <w:color w:val="auto"/>
        </w:rPr>
      </w:pPr>
    </w:p>
    <w:p>
      <w:pPr>
        <w:ind w:right="460" w:firstLine="364"/>
        <w:spacing w:after="0" w:line="247" w:lineRule="auto"/>
        <w:rPr>
          <w:sz w:val="20"/>
          <w:szCs w:val="20"/>
          <w:color w:val="auto"/>
        </w:rPr>
      </w:pPr>
      <w:r>
        <w:rPr>
          <w:rFonts w:ascii="Courier New" w:cs="Courier New" w:eastAsia="Courier New" w:hAnsi="Courier New"/>
          <w:sz w:val="15"/>
          <w:szCs w:val="15"/>
          <w:color w:val="auto"/>
        </w:rPr>
        <w:t>Howard M. Hawkins and John R. Hawkins are brothers. Donald L. Shipp is the father-in-law of Kurt R. Norman. There are no other family relationships between officers or directors of the Company.</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20"/>
        <w:spacing w:after="0"/>
        <w:rPr>
          <w:sz w:val="20"/>
          <w:szCs w:val="20"/>
          <w:color w:val="auto"/>
        </w:rPr>
      </w:pPr>
      <w:r>
        <w:rPr>
          <w:rFonts w:ascii="Courier New" w:cs="Courier New" w:eastAsia="Courier New" w:hAnsi="Courier New"/>
          <w:sz w:val="15"/>
          <w:szCs w:val="15"/>
          <w:color w:val="auto"/>
        </w:rPr>
        <w:t>DIRECTOR</w:t>
      </w:r>
    </w:p>
    <w:p>
      <w:pPr>
        <w:spacing w:after="0" w:line="5"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5"/>
          <w:szCs w:val="15"/>
          <w:color w:val="auto"/>
        </w:rPr>
        <w:t>SINCE</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91" w:lineRule="exact"/>
        <w:rPr>
          <w:sz w:val="20"/>
          <w:szCs w:val="20"/>
          <w:color w:val="auto"/>
        </w:rPr>
      </w:pPr>
    </w:p>
    <w:p>
      <w:pPr>
        <w:ind w:left="100"/>
        <w:spacing w:after="0"/>
        <w:tabs>
          <w:tab w:leader="none" w:pos="108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5"/>
          <w:szCs w:val="15"/>
          <w:color w:val="auto"/>
        </w:rPr>
        <w:t>1989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08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1080" w:val="left"/>
        </w:tabs>
        <w:rPr>
          <w:sz w:val="20"/>
          <w:szCs w:val="20"/>
          <w:color w:val="auto"/>
        </w:rPr>
      </w:pPr>
      <w:r>
        <w:rPr>
          <w:rFonts w:ascii="Courier New" w:cs="Courier New" w:eastAsia="Courier New" w:hAnsi="Courier New"/>
          <w:sz w:val="15"/>
          <w:szCs w:val="15"/>
          <w:color w:val="auto"/>
        </w:rPr>
        <w:t>67</w:t>
      </w:r>
      <w:r>
        <w:rPr>
          <w:sz w:val="20"/>
          <w:szCs w:val="20"/>
          <w:color w:val="auto"/>
        </w:rPr>
        <w:tab/>
      </w:r>
      <w:r>
        <w:rPr>
          <w:rFonts w:ascii="Courier New" w:cs="Courier New" w:eastAsia="Courier New" w:hAnsi="Courier New"/>
          <w:sz w:val="15"/>
          <w:szCs w:val="15"/>
          <w:color w:val="auto"/>
        </w:rPr>
        <w:t>1974</w:t>
      </w:r>
    </w:p>
    <w:p>
      <w:pPr>
        <w:spacing w:after="0" w:line="354" w:lineRule="exact"/>
        <w:rPr>
          <w:sz w:val="20"/>
          <w:szCs w:val="20"/>
          <w:color w:val="auto"/>
        </w:rPr>
      </w:pPr>
    </w:p>
    <w:p>
      <w:pPr>
        <w:ind w:left="100"/>
        <w:spacing w:after="0"/>
        <w:tabs>
          <w:tab w:leader="none" w:pos="108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5"/>
          <w:szCs w:val="15"/>
          <w:color w:val="auto"/>
        </w:rPr>
        <w:t>1977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58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88"/>
              </w:rPr>
              <w:t>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1976</w:t>
            </w:r>
          </w:p>
        </w:tc>
      </w:tr>
      <w:tr>
        <w:trPr>
          <w:trHeight w:val="350"/>
        </w:trPr>
        <w:tc>
          <w:tcPr>
            <w:tcW w:w="58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88"/>
              </w:rPr>
              <w:t>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1984</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00" w:hanging="1008"/>
        <w:spacing w:after="0"/>
        <w:tabs>
          <w:tab w:leader="none" w:pos="11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1996</w:t>
      </w:r>
    </w:p>
    <w:p>
      <w:pPr>
        <w:spacing w:after="0" w:line="179" w:lineRule="exact"/>
        <w:rPr>
          <w:rFonts w:ascii="Courier New" w:cs="Courier New" w:eastAsia="Courier New" w:hAnsi="Courier New"/>
          <w:sz w:val="15"/>
          <w:szCs w:val="15"/>
          <w:color w:val="auto"/>
        </w:rPr>
      </w:pPr>
    </w:p>
    <w:p>
      <w:pPr>
        <w:ind w:left="1100" w:hanging="1008"/>
        <w:spacing w:after="0"/>
        <w:tabs>
          <w:tab w:leader="none" w:pos="11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00"/>
        <w:spacing w:after="0"/>
        <w:tabs>
          <w:tab w:leader="none" w:pos="800" w:val="left"/>
        </w:tabs>
        <w:rPr>
          <w:sz w:val="20"/>
          <w:szCs w:val="20"/>
          <w:color w:val="auto"/>
        </w:rPr>
      </w:pPr>
      <w:r>
        <w:rPr>
          <w:rFonts w:ascii="Courier New" w:cs="Courier New" w:eastAsia="Courier New" w:hAnsi="Courier New"/>
          <w:sz w:val="15"/>
          <w:szCs w:val="15"/>
          <w:color w:val="auto"/>
        </w:rPr>
        <w:t>59</w:t>
      </w:r>
      <w:r>
        <w:rPr>
          <w:sz w:val="20"/>
          <w:szCs w:val="20"/>
          <w:color w:val="auto"/>
        </w:rPr>
        <w:tab/>
      </w:r>
      <w:r>
        <w:rPr>
          <w:rFonts w:ascii="Courier New" w:cs="Courier New" w:eastAsia="Courier New" w:hAnsi="Courier New"/>
          <w:sz w:val="15"/>
          <w:szCs w:val="15"/>
          <w:color w:val="auto"/>
        </w:rPr>
        <w:t>nominee</w:t>
      </w:r>
    </w:p>
    <w:p>
      <w:pPr>
        <w:sectPr>
          <w:pgSz w:w="11900" w:h="16838" w:orient="portrait"/>
          <w:cols w:equalWidth="0" w:num="2">
            <w:col w:w="7720" w:space="360"/>
            <w:col w:w="2139"/>
          </w:cols>
          <w:pgMar w:left="240" w:top="468" w:right="1440" w:bottom="1440" w:gutter="0" w:footer="0" w:header="0"/>
        </w:sectPr>
      </w:pPr>
    </w:p>
    <w:bookmarkStart w:id="6" w:name="page7"/>
    <w:bookmarkEnd w:id="6"/>
    <w:p>
      <w:pPr>
        <w:ind w:left="7"/>
        <w:spacing w:after="0"/>
        <w:rPr>
          <w:sz w:val="20"/>
          <w:szCs w:val="20"/>
          <w:color w:val="auto"/>
        </w:rPr>
      </w:pPr>
      <w:r>
        <w:rPr>
          <w:rFonts w:ascii="Courier New" w:cs="Courier New" w:eastAsia="Courier New" w:hAnsi="Courier New"/>
          <w:sz w:val="15"/>
          <w:szCs w:val="15"/>
          <w:color w:val="auto"/>
        </w:rPr>
        <w:t>ADDITIONAL INFORMATION ABOUT THE BOARD OF DIRECTORS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Board of Directors held four meetings in fiscal 2000. All directors attended at least 75% of the total number of meetings of the Board and the committees on which they served. The Audit Committee, which presently consists of John S. McKeon, Duane M. Jergenson and G. Robert Gey, is responsible for selecting auditors, ensuring the fiscal integrity of the Company, and establishing and reviewing internal controls. The Audit Committee held four meetings during fiscal 2000. The Compensation Committee, which consists of John S. McKeon, Duane M. Jergenson and G. Robert Gey, is responsible for establishing compensation policies for the Company and for reviewing and setting compensation for senior executives of the Company. The Compensation Committee held three meetings during fiscal 2000.</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NOMINATION</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Sections 8 through 11 of Article II of the Company's Second Amended and Superseding By-Laws, as currently in effect (the "Bylaws"), provide that a candidate may not be nominated for election as a director at the annual meeting of shareholders unless the nomination was previously submitted to the Board or its nominating committee.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w:t>
      </w:r>
    </w:p>
    <w:p>
      <w:pPr>
        <w:spacing w:after="0" w:line="7" w:lineRule="exact"/>
        <w:rPr>
          <w:sz w:val="20"/>
          <w:szCs w:val="20"/>
          <w:color w:val="auto"/>
        </w:rPr>
      </w:pPr>
    </w:p>
    <w:p>
      <w:pPr>
        <w:ind w:left="7" w:right="2959" w:hanging="7"/>
        <w:spacing w:after="0" w:line="246" w:lineRule="auto"/>
        <w:tabs>
          <w:tab w:leader="none" w:pos="37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18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DIRECTOR COMPENSATION</w:t>
      </w:r>
    </w:p>
    <w:p>
      <w:pPr>
        <w:spacing w:after="0" w:line="180"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During fiscal 2000, each director who is not an employee of the Company was paid $12,000 as an annual retainer plus $1,000 for each meeting attended.</w:t>
      </w:r>
    </w:p>
    <w:p>
      <w:pPr>
        <w:spacing w:after="0" w:line="175" w:lineRule="exact"/>
        <w:rPr>
          <w:sz w:val="20"/>
          <w:szCs w:val="20"/>
          <w:color w:val="auto"/>
        </w:rPr>
      </w:pPr>
    </w:p>
    <w:p>
      <w:pPr>
        <w:ind w:left="7" w:right="3039" w:firstLine="364"/>
        <w:spacing w:after="0" w:line="247" w:lineRule="auto"/>
        <w:rPr>
          <w:sz w:val="20"/>
          <w:szCs w:val="20"/>
          <w:color w:val="auto"/>
        </w:rPr>
      </w:pPr>
      <w:r>
        <w:rPr>
          <w:rFonts w:ascii="Courier New" w:cs="Courier New" w:eastAsia="Courier New" w:hAnsi="Courier New"/>
          <w:sz w:val="15"/>
          <w:szCs w:val="15"/>
          <w:color w:val="auto"/>
        </w:rPr>
        <w:t>THE BOARD OF DIRECTORS RECOMMENDS A VOTE "FOR" THE ELECTION OF ALL NOMINEES FOR DIRECTOR.</w:t>
      </w:r>
    </w:p>
    <w:p>
      <w:pPr>
        <w:spacing w:after="0" w:line="17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AMENDMENT OF ARTICLES OF INCORPORATION</w:t>
      </w:r>
    </w:p>
    <w:p>
      <w:pPr>
        <w:spacing w:after="0" w:line="180"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TO CHANGE CORPORATE NAME</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(PROPOSAL 2)</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Board of Directors of the Company has recommended to the shareholders that the Company's corporate name be changed to "Hawkins, Inc." Currently, the Company's legal name is "Hawkins Chemical, Inc." The Board believes that the change of name will benefit the Company by reflecting the fact that the Company has expanded its original business from the distribution of chemicals to include the formulation of products, including food and pharmaceutical products as well as distribution of equipment, including water treatment equipment. The Board also would like to avoid any negative perceptions because of environmental or other risks associated with the use of the word "chemicals" that are not applicable to the Company's business.</w:t>
      </w:r>
    </w:p>
    <w:p>
      <w:pPr>
        <w:spacing w:after="0" w:line="181"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468" w:right="1440" w:bottom="1440" w:gutter="0" w:footer="0" w:header="0"/>
        </w:sectPr>
      </w:pPr>
    </w:p>
    <w:bookmarkStart w:id="7" w:name="page8"/>
    <w:bookmarkEnd w:id="7"/>
    <w:p>
      <w:pPr>
        <w:ind w:right="3039" w:firstLine="364"/>
        <w:spacing w:after="0" w:line="246" w:lineRule="auto"/>
        <w:rPr>
          <w:sz w:val="20"/>
          <w:szCs w:val="20"/>
          <w:color w:val="auto"/>
        </w:rPr>
      </w:pPr>
      <w:r>
        <w:rPr>
          <w:rFonts w:ascii="Courier New" w:cs="Courier New" w:eastAsia="Courier New" w:hAnsi="Courier New"/>
          <w:sz w:val="15"/>
          <w:szCs w:val="15"/>
          <w:color w:val="auto"/>
        </w:rPr>
        <w:t>The change of name requires an amendment of Article I of the Company's Amended and Second Restated Articles of Incorporation. If approved, the amendment will be filed with the Minnesota Secretary of State and will be effective upon filing. If approved, shareholders will not have to surrender their stock certificates for replacements. As transfers occur, new certificates reflecting the name Hawkins, Inc. will be issued after the name change becomes effective. The Nasdaq trading symbol "HWKN" will not be changed.</w:t>
      </w:r>
    </w:p>
    <w:p>
      <w:pPr>
        <w:spacing w:after="0" w:line="179" w:lineRule="exact"/>
        <w:rPr>
          <w:sz w:val="20"/>
          <w:szCs w:val="20"/>
          <w:color w:val="auto"/>
        </w:rPr>
      </w:pPr>
    </w:p>
    <w:p>
      <w:pPr>
        <w:ind w:right="3599" w:firstLine="364"/>
        <w:spacing w:after="0" w:line="247" w:lineRule="auto"/>
        <w:rPr>
          <w:sz w:val="20"/>
          <w:szCs w:val="20"/>
          <w:color w:val="auto"/>
        </w:rPr>
      </w:pPr>
      <w:r>
        <w:rPr>
          <w:rFonts w:ascii="Courier New" w:cs="Courier New" w:eastAsia="Courier New" w:hAnsi="Courier New"/>
          <w:sz w:val="15"/>
          <w:szCs w:val="15"/>
          <w:color w:val="auto"/>
        </w:rPr>
        <w:t>The resolution proposed to be adopted to amend the Amended and Second Restated Articles of Incorporation is set forth below:</w:t>
      </w:r>
    </w:p>
    <w:p>
      <w:pPr>
        <w:spacing w:after="0" w:line="17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RESOLVED, that Article I of the Amended and Second Restated Articles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Incorporation of the Company shall be amended to read as follows:</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"ARTICLE I</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THE NAME OF THE CORPORATION IS HAWKINS, INC."</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Adoption of this amendment only requires the affirmative vote of the holders of a majority of the outstanding shares of the Company's common stock. Accordingly, abstentions and broker non-votes will have the effect of a vote against this amendment. Since management owns approximately 5% of the outstanding shares entitled to vote on this matter, their vote will not have a significant impact on the outcome.</w:t>
      </w:r>
    </w:p>
    <w:p>
      <w:pPr>
        <w:spacing w:after="0" w:line="17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BOARD OF DIRECTORS RECOMMENDS A VOTE "FOR" THIS AMENDMENT.</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OTHER MATTERS</w:t>
      </w:r>
    </w:p>
    <w:p>
      <w:pPr>
        <w:spacing w:after="0" w:line="180"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Management does not know of any other business which will be presented for consideration at the annual meeting. If, however, any other business does properly come before the meeting, proxies will be voted in accordance with the judgment of the person or persons acting under them as to what is in the best interests of the Company.</w:t>
      </w:r>
    </w:p>
    <w:p>
      <w:pPr>
        <w:spacing w:after="0" w:line="178"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INDEPENDENT PUBLIC ACCOUNTANTS</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Deloitte &amp; Touche LLP, independent certified public accountants, have been the auditors of the Company since 1971. They have been retained by the Board of Directors as the Company's auditors for the current fiscal year.</w:t>
      </w:r>
    </w:p>
    <w:p>
      <w:pPr>
        <w:spacing w:after="0" w:line="17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Audit services performed by Deloitte &amp; Touche LLP for the year ended October 1, 2000 consisted of the examination of the financial statements of the Company and services related to filings with the Securities and Exchange Commission. All services rendered by Deloitte &amp; Touche LLP are reviewed and approved by the Board of Directors. The Board of Directors has not specifically considered the independence of the auditors in relation to the services rendered, but the auditors have informed the Company that neither the firm nor any of its partners holds any financial interest in the securities of the Company.</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Representatives of Deloitte &amp; Touche LLP are expected to attend this annual meeting with the opportunity to make a statement if they desire. They will be available to respond to appropriate questions.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468" w:right="1440" w:bottom="1440" w:gutter="0" w:footer="0" w:header="0"/>
        </w:sectPr>
      </w:pPr>
    </w:p>
    <w:bookmarkStart w:id="8" w:name="page9"/>
    <w:bookmarkEnd w:id="8"/>
    <w:p>
      <w:pPr>
        <w:ind w:left="1080"/>
        <w:spacing w:after="0"/>
        <w:rPr>
          <w:sz w:val="20"/>
          <w:szCs w:val="20"/>
          <w:color w:val="auto"/>
        </w:rPr>
      </w:pPr>
      <w:r>
        <w:rPr>
          <w:rFonts w:ascii="Courier New" w:cs="Courier New" w:eastAsia="Courier New" w:hAnsi="Courier New"/>
          <w:sz w:val="15"/>
          <w:szCs w:val="15"/>
          <w:color w:val="auto"/>
        </w:rPr>
        <w:t>REPORT OF THE AUDIT COMMITTEE OF THE BOARD OF DIRECTORS</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Audit Committee of the Board of Directors is responsible for selecting auditors, ensuring the fiscal integrity of the Company and establishing and reviewing internal controls. The Audit Committee was comprised of the following directors during fiscal 2000:</w:t>
      </w:r>
    </w:p>
    <w:p>
      <w:pPr>
        <w:spacing w:after="0" w:line="200" w:lineRule="exact"/>
        <w:rPr>
          <w:sz w:val="20"/>
          <w:szCs w:val="20"/>
          <w:color w:val="auto"/>
        </w:rPr>
      </w:pPr>
    </w:p>
    <w:p>
      <w:pPr>
        <w:spacing w:after="0" w:line="327" w:lineRule="exact"/>
        <w:rPr>
          <w:sz w:val="20"/>
          <w:szCs w:val="20"/>
          <w:color w:val="auto"/>
        </w:rPr>
      </w:pPr>
    </w:p>
    <w:p>
      <w:pPr>
        <w:spacing w:after="0"/>
        <w:tabs>
          <w:tab w:leader="none" w:pos="5600" w:val="left"/>
        </w:tabs>
        <w:rPr>
          <w:sz w:val="20"/>
          <w:szCs w:val="20"/>
          <w:color w:val="auto"/>
        </w:rPr>
      </w:pPr>
      <w:r>
        <w:rPr>
          <w:rFonts w:ascii="Courier New" w:cs="Courier New" w:eastAsia="Courier New" w:hAnsi="Courier New"/>
          <w:sz w:val="15"/>
          <w:szCs w:val="15"/>
          <w:color w:val="auto"/>
        </w:rPr>
        <w:t>NAME OF DIRECTOR</w:t>
      </w:r>
      <w:r>
        <w:rPr>
          <w:sz w:val="20"/>
          <w:szCs w:val="20"/>
          <w:color w:val="auto"/>
        </w:rPr>
        <w:tab/>
      </w:r>
      <w:r>
        <w:rPr>
          <w:rFonts w:ascii="Courier New" w:cs="Courier New" w:eastAsia="Courier New" w:hAnsi="Courier New"/>
          <w:sz w:val="15"/>
          <w:szCs w:val="15"/>
          <w:color w:val="auto"/>
        </w:rPr>
        <w:t>DIRECTOR SINCE</w:t>
      </w:r>
    </w:p>
    <w:p>
      <w:pPr>
        <w:spacing w:after="0" w:line="5"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p>
    <w:p>
      <w:pPr>
        <w:spacing w:after="0" w:line="180" w:lineRule="exact"/>
        <w:rPr>
          <w:sz w:val="20"/>
          <w:szCs w:val="20"/>
          <w:color w:val="auto"/>
        </w:rPr>
      </w:pPr>
    </w:p>
    <w:p>
      <w:pPr>
        <w:spacing w:after="0"/>
        <w:tabs>
          <w:tab w:leader="dot" w:pos="6060" w:val="left"/>
        </w:tabs>
        <w:rPr>
          <w:sz w:val="20"/>
          <w:szCs w:val="20"/>
          <w:color w:val="auto"/>
        </w:rPr>
      </w:pPr>
      <w:r>
        <w:rPr>
          <w:rFonts w:ascii="Courier New" w:cs="Courier New" w:eastAsia="Courier New" w:hAnsi="Courier New"/>
          <w:sz w:val="15"/>
          <w:szCs w:val="15"/>
          <w:color w:val="auto"/>
        </w:rPr>
        <w:t>John S. McKeon, Chair</w:t>
      </w:r>
      <w:r>
        <w:rPr>
          <w:sz w:val="20"/>
          <w:szCs w:val="20"/>
          <w:color w:val="auto"/>
        </w:rPr>
        <w:tab/>
      </w:r>
      <w:r>
        <w:rPr>
          <w:rFonts w:ascii="Courier New" w:cs="Courier New" w:eastAsia="Courier New" w:hAnsi="Courier New"/>
          <w:sz w:val="15"/>
          <w:szCs w:val="15"/>
          <w:color w:val="auto"/>
        </w:rPr>
        <w:t>1984</w:t>
      </w:r>
    </w:p>
    <w:p>
      <w:pPr>
        <w:spacing w:after="0" w:line="5" w:lineRule="exact"/>
        <w:rPr>
          <w:sz w:val="20"/>
          <w:szCs w:val="20"/>
          <w:color w:val="auto"/>
        </w:rPr>
      </w:pPr>
    </w:p>
    <w:p>
      <w:pPr>
        <w:spacing w:after="0"/>
        <w:tabs>
          <w:tab w:leader="dot" w:pos="6060" w:val="left"/>
        </w:tabs>
        <w:rPr>
          <w:sz w:val="20"/>
          <w:szCs w:val="20"/>
          <w:color w:val="auto"/>
        </w:rPr>
      </w:pPr>
      <w:r>
        <w:rPr>
          <w:rFonts w:ascii="Courier New" w:cs="Courier New" w:eastAsia="Courier New" w:hAnsi="Courier New"/>
          <w:sz w:val="15"/>
          <w:szCs w:val="15"/>
          <w:color w:val="auto"/>
        </w:rPr>
        <w:t>Duane M. Jergenson</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tabs>
          <w:tab w:leader="dot" w:pos="6060" w:val="left"/>
        </w:tabs>
        <w:rPr>
          <w:sz w:val="20"/>
          <w:szCs w:val="20"/>
          <w:color w:val="auto"/>
        </w:rPr>
      </w:pPr>
      <w:r>
        <w:rPr>
          <w:rFonts w:ascii="Courier New" w:cs="Courier New" w:eastAsia="Courier New" w:hAnsi="Courier New"/>
          <w:sz w:val="15"/>
          <w:szCs w:val="15"/>
          <w:color w:val="auto"/>
        </w:rPr>
        <w:t>G. Robert Gey</w:t>
      </w:r>
      <w:r>
        <w:rPr>
          <w:sz w:val="20"/>
          <w:szCs w:val="20"/>
          <w:color w:val="auto"/>
        </w:rPr>
        <w:tab/>
      </w:r>
      <w:r>
        <w:rPr>
          <w:rFonts w:ascii="Courier New" w:cs="Courier New" w:eastAsia="Courier New" w:hAnsi="Courier New"/>
          <w:sz w:val="15"/>
          <w:szCs w:val="15"/>
          <w:color w:val="auto"/>
        </w:rPr>
        <w:t>1999</w:t>
      </w:r>
    </w:p>
    <w:p>
      <w:pPr>
        <w:spacing w:after="0" w:line="354"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During fiscal 2000, the Committee considered the revised requirements for members of audit committees adopted by the Securities and Exchange Commission ("SEC"). All of the members of the Committee have been determined to be independent. None of the members of the Committee were officers or employees of the Company during fiscal 2000 or had a relationship with the Company that would, in the opinion of the Board of Directors, interfere with the exercise of his independence from management and the Company. All of the members of the Audit Committee have substantial experience in financial matters and business operations.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Audit Committee has (i) reviewed and discussed the Company's audited financial statements with management; (ii) discussed with the Company's independent auditors, Deloitte &amp; Touche, LLP, the matters required to be discussed by Statement on Auditing Standards No. 61; and (iii) received from the auditors disclosures regarding the auditors' independence required by Independence Standards Board Standard No. 1 and discussed with the auditors the auditors' independence. Based on the review and discussions described above, the Audit Committee recommended to the Board of Directors that the Company's audited financial statements for the year ended October 1, 2000 be included in the Company's Annual Report on Form 10-K for filing with the SEC.</w:t>
      </w:r>
    </w:p>
    <w:p>
      <w:pPr>
        <w:spacing w:after="0" w:line="181"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Audit Committee also reviewed its charter in light of the "Blue Ribbon Committee Report" concerning audit committees and the rules adopted by the SEC. The revised charter has been adopted by the Board of Directors and is attached as Appendix I to this Proxy Statement.</w:t>
      </w:r>
    </w:p>
    <w:p>
      <w:pPr>
        <w:spacing w:after="0" w:line="177" w:lineRule="exact"/>
        <w:rPr>
          <w:sz w:val="20"/>
          <w:szCs w:val="20"/>
          <w:color w:val="auto"/>
        </w:rPr>
      </w:pPr>
    </w:p>
    <w:p>
      <w:pPr>
        <w:ind w:left="620"/>
        <w:spacing w:after="0"/>
        <w:tabs>
          <w:tab w:leader="none" w:pos="3160" w:val="left"/>
          <w:tab w:leader="none" w:pos="5420" w:val="left"/>
        </w:tabs>
        <w:rPr>
          <w:sz w:val="20"/>
          <w:szCs w:val="20"/>
          <w:color w:val="auto"/>
        </w:rPr>
      </w:pPr>
      <w:r>
        <w:rPr>
          <w:rFonts w:ascii="Courier New" w:cs="Courier New" w:eastAsia="Courier New" w:hAnsi="Courier New"/>
          <w:sz w:val="15"/>
          <w:szCs w:val="15"/>
          <w:color w:val="auto"/>
        </w:rPr>
        <w:t>JOHN S. MCKEON, CHAIR</w:t>
      </w:r>
      <w:r>
        <w:rPr>
          <w:sz w:val="20"/>
          <w:szCs w:val="20"/>
          <w:color w:val="auto"/>
        </w:rPr>
        <w:tab/>
      </w:r>
      <w:r>
        <w:rPr>
          <w:rFonts w:ascii="Courier New" w:cs="Courier New" w:eastAsia="Courier New" w:hAnsi="Courier New"/>
          <w:sz w:val="15"/>
          <w:szCs w:val="15"/>
          <w:color w:val="auto"/>
        </w:rPr>
        <w:t>DUANE M. JERGENSON</w:t>
      </w:r>
      <w:r>
        <w:rPr>
          <w:sz w:val="20"/>
          <w:szCs w:val="20"/>
          <w:color w:val="auto"/>
        </w:rPr>
        <w:tab/>
      </w:r>
      <w:r>
        <w:rPr>
          <w:rFonts w:ascii="Courier New" w:cs="Courier New" w:eastAsia="Courier New" w:hAnsi="Courier New"/>
          <w:sz w:val="15"/>
          <w:szCs w:val="15"/>
          <w:color w:val="auto"/>
        </w:rPr>
        <w:t>G. ROBERT GEY</w:t>
      </w:r>
    </w:p>
    <w:p>
      <w:pPr>
        <w:spacing w:after="0" w:line="180"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AUDIT COMMITTEE OF THE BOARD OF DIRECTORS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468" w:right="1440" w:bottom="1440" w:gutter="0" w:footer="0" w:header="0"/>
        </w:sectPr>
      </w:pPr>
    </w:p>
    <w:bookmarkStart w:id="9" w:name="page10"/>
    <w:bookmarkEnd w:id="9"/>
    <w:p>
      <w:pPr>
        <w:jc w:val="center"/>
        <w:ind w:right="3032"/>
        <w:spacing w:after="0"/>
        <w:rPr>
          <w:sz w:val="20"/>
          <w:szCs w:val="20"/>
          <w:color w:val="auto"/>
        </w:rPr>
      </w:pPr>
      <w:r>
        <w:rPr>
          <w:rFonts w:ascii="Courier New" w:cs="Courier New" w:eastAsia="Courier New" w:hAnsi="Courier New"/>
          <w:sz w:val="15"/>
          <w:szCs w:val="15"/>
          <w:color w:val="auto"/>
        </w:rPr>
        <w:t>COMPENSATION AND OTHER BENEFITS</w:t>
      </w:r>
    </w:p>
    <w:p>
      <w:pPr>
        <w:spacing w:after="0" w:line="180" w:lineRule="exact"/>
        <w:rPr>
          <w:sz w:val="20"/>
          <w:szCs w:val="20"/>
          <w:color w:val="auto"/>
        </w:rPr>
      </w:pPr>
    </w:p>
    <w:p>
      <w:pPr>
        <w:jc w:val="both"/>
        <w:ind w:left="7" w:right="3419" w:firstLine="364"/>
        <w:spacing w:after="0" w:line="246"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and the four highest paid executive officers whose aggregate annual salary and bonus exceeded $100,000 for the Company's last fiscal year ended October 1, 2000 (collectively, the "Named Executive Officers"):</w:t>
      </w:r>
    </w:p>
    <w:p>
      <w:pPr>
        <w:spacing w:after="0" w:line="177"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3680" w:type="dxa"/>
            <w:vAlign w:val="bottom"/>
            <w:gridSpan w:val="3"/>
          </w:tcPr>
          <w:p>
            <w:pPr>
              <w:jc w:val="right"/>
              <w:ind w:right="424"/>
              <w:spacing w:after="0"/>
              <w:rPr>
                <w:sz w:val="20"/>
                <w:szCs w:val="20"/>
                <w:color w:val="auto"/>
              </w:rPr>
            </w:pPr>
            <w:r>
              <w:rPr>
                <w:rFonts w:ascii="Courier New" w:cs="Courier New" w:eastAsia="Courier New" w:hAnsi="Courier New"/>
                <w:sz w:val="15"/>
                <w:szCs w:val="15"/>
                <w:color w:val="auto"/>
              </w:rPr>
              <w:t>SUMMARY COMPENSATION TABLE</w:t>
            </w:r>
          </w:p>
        </w:tc>
        <w:tc>
          <w:tcPr>
            <w:tcW w:w="1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699"/>
        </w:trPr>
        <w:tc>
          <w:tcPr>
            <w:tcW w:w="16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ANNUAL COMPENSATION</w:t>
            </w:r>
          </w:p>
        </w:tc>
        <w:tc>
          <w:tcPr>
            <w:tcW w:w="15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5"/>
        </w:trPr>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4680" w:type="dxa"/>
            <w:vAlign w:val="bottom"/>
            <w:gridSpan w:val="4"/>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spacing w:after="0"/>
              <w:rPr>
                <w:sz w:val="15"/>
                <w:szCs w:val="15"/>
                <w:color w:val="auto"/>
              </w:rPr>
            </w:pPr>
          </w:p>
        </w:tc>
      </w:tr>
      <w:tr>
        <w:trPr>
          <w:trHeight w:val="175"/>
        </w:trPr>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FISCAL</w:t>
            </w:r>
          </w:p>
        </w:tc>
        <w:tc>
          <w:tcPr>
            <w:tcW w:w="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8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OTHER ANNUAL</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NAME AND PRINCIPAL POSITION</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YEAR</w:t>
            </w:r>
          </w:p>
        </w:tc>
        <w:tc>
          <w:tcPr>
            <w:tcW w:w="980" w:type="dxa"/>
            <w:vAlign w:val="bottom"/>
          </w:tcPr>
          <w:p>
            <w:pPr>
              <w:jc w:val="right"/>
              <w:ind w:right="224"/>
              <w:spacing w:after="0"/>
              <w:rPr>
                <w:sz w:val="20"/>
                <w:szCs w:val="20"/>
                <w:color w:val="auto"/>
              </w:rPr>
            </w:pPr>
            <w:r>
              <w:rPr>
                <w:rFonts w:ascii="Courier New" w:cs="Courier New" w:eastAsia="Courier New" w:hAnsi="Courier New"/>
                <w:sz w:val="15"/>
                <w:szCs w:val="15"/>
                <w:color w:val="auto"/>
              </w:rPr>
              <w:t>SALARY</w:t>
            </w:r>
          </w:p>
        </w:tc>
        <w:tc>
          <w:tcPr>
            <w:tcW w:w="10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BONUS</w:t>
            </w:r>
          </w:p>
        </w:tc>
        <w:tc>
          <w:tcPr>
            <w:tcW w:w="1580" w:type="dxa"/>
            <w:vAlign w:val="bottom"/>
          </w:tcPr>
          <w:p>
            <w:pPr>
              <w:jc w:val="right"/>
              <w:ind w:right="144"/>
              <w:spacing w:after="0"/>
              <w:rPr>
                <w:sz w:val="20"/>
                <w:szCs w:val="20"/>
                <w:color w:val="auto"/>
              </w:rPr>
            </w:pPr>
            <w:r>
              <w:rPr>
                <w:rFonts w:ascii="Courier New" w:cs="Courier New" w:eastAsia="Courier New" w:hAnsi="Courier New"/>
                <w:sz w:val="15"/>
                <w:szCs w:val="15"/>
                <w:color w:val="auto"/>
                <w:w w:val="99"/>
              </w:rPr>
              <w:t>COMPENSATION(A)</w:t>
            </w:r>
          </w:p>
        </w:tc>
        <w:tc>
          <w:tcPr>
            <w:tcW w:w="18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COMPENSATION(B)(C)</w:t>
            </w:r>
          </w:p>
        </w:tc>
      </w:tr>
      <w:tr>
        <w:trPr>
          <w:trHeight w:val="175"/>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John R. Hawkins (1)................</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$155,988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$160,000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of the Board and</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146,560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173,400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Chief Executive Officer</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138,440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131,000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35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Donald L. Shipp (2)................</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$161,500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$147,000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Former Vice Chairman of the</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156,773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196,600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Board and President</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151,333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157,000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350"/>
        </w:trPr>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Kurt R. Norman (3)</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$130,915</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2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and Chief Operating</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111,788</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149,000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6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101,173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91,500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35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John R. Sevenich...................</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$110,683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$ 74,000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w w:val="98"/>
              </w:rPr>
              <w:t>Vice President--</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Manufacturing</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102,817</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rPr>
              <w:t>and Specialty</w:t>
            </w:r>
          </w:p>
        </w:tc>
        <w:tc>
          <w:tcPr>
            <w:tcW w:w="16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96,000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57,000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350"/>
        </w:trPr>
        <w:tc>
          <w:tcPr>
            <w:tcW w:w="3260" w:type="dxa"/>
            <w:vAlign w:val="bottom"/>
            <w:gridSpan w:val="2"/>
          </w:tcPr>
          <w:p>
            <w:pPr>
              <w:spacing w:after="0"/>
              <w:rPr>
                <w:sz w:val="20"/>
                <w:szCs w:val="20"/>
                <w:color w:val="auto"/>
              </w:rPr>
            </w:pPr>
            <w:r>
              <w:rPr>
                <w:rFonts w:ascii="Courier New" w:cs="Courier New" w:eastAsia="Courier New" w:hAnsi="Courier New"/>
                <w:sz w:val="15"/>
                <w:szCs w:val="15"/>
                <w:color w:val="auto"/>
              </w:rPr>
              <w:t>Daniel E. Soderlund................</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$109,497</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$ 69,000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ind w:left="180"/>
              <w:spacing w:after="0"/>
              <w:rPr>
                <w:sz w:val="20"/>
                <w:szCs w:val="20"/>
                <w:color w:val="auto"/>
              </w:rPr>
            </w:pPr>
            <w:r>
              <w:rPr>
                <w:rFonts w:ascii="Courier New" w:cs="Courier New" w:eastAsia="Courier New" w:hAnsi="Courier New"/>
                <w:sz w:val="15"/>
                <w:szCs w:val="15"/>
                <w:color w:val="auto"/>
                <w:w w:val="98"/>
              </w:rPr>
              <w:t>Vice President--</w:t>
            </w:r>
          </w:p>
        </w:tc>
        <w:tc>
          <w:tcPr>
            <w:tcW w:w="1640" w:type="dxa"/>
            <w:vAlign w:val="bottom"/>
          </w:tcPr>
          <w:p>
            <w:pPr>
              <w:spacing w:after="0"/>
              <w:rPr>
                <w:sz w:val="20"/>
                <w:szCs w:val="20"/>
                <w:color w:val="auto"/>
              </w:rPr>
            </w:pPr>
            <w:r>
              <w:rPr>
                <w:rFonts w:ascii="Courier New" w:cs="Courier New" w:eastAsia="Courier New" w:hAnsi="Courier New"/>
                <w:sz w:val="15"/>
                <w:szCs w:val="15"/>
                <w:color w:val="auto"/>
              </w:rPr>
              <w:t>Pharmaceuticals</w:t>
            </w: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96,433</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56,000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16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60" w:type="dxa"/>
            <w:vAlign w:val="bottom"/>
          </w:tcPr>
          <w:p>
            <w:pPr>
              <w:ind w:left="2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90,700</w:t>
            </w:r>
          </w:p>
        </w:tc>
        <w:tc>
          <w:tcPr>
            <w:tcW w:w="10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31,350</w:t>
            </w:r>
          </w:p>
        </w:tc>
        <w:tc>
          <w:tcPr>
            <w:tcW w:w="158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4,500</w:t>
            </w:r>
          </w:p>
        </w:tc>
        <w:tc>
          <w:tcPr>
            <w:tcW w:w="186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30,000</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367" w:hanging="367"/>
        <w:spacing w:after="0"/>
        <w:tabs>
          <w:tab w:leader="none" w:pos="36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Hawkins was elected Chairman and CEO effective February 16, 2000.</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Shipp retired as Vice Chairman effective September 30, 2000.</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Norman was elected President and COO effective February 16, 2000.</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EMPLOYEE STOCK PURCHASE PLAN</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All employees of the Company who have attained the age of 18 years and who have been employed by the Company for 90 days are eligible to participate in the Company's Employee Stock Purchase Plan. Under the Plan, each participant authorizes the Company to deduct a specified amount, not to exceed $500, from his paycheck each month, to which the Company adds a bonus of 75% of such amount, to be used by a depository agent to purchase common shares of the Company's stock for the participant's individual account under the Plan. Shares purchased with the Company's bonus vest over a five-year schedule.</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 MONEY PURCHASE PENSION PLAN</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Non-bargaining employees of the Company who have attained the age of 21 years and completed one year of service are eligible to participate in this defined contribution pension plan. For each year, the Company contributes an amount equal to ten percent of an eligible participant's compensation, and this amount is credited to an account maintained for the participant under the Plan. The maximum annual compensation that may be used to determine Plan benefits is capped at $160,000 for the current plan year; this limit will be adjusted in future years under federal tax law for cost-of-living increases.</w:t>
      </w:r>
    </w:p>
    <w:p>
      <w:pPr>
        <w:spacing w:after="0" w:line="180"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6"/>
          </w:cols>
          <w:pgMar w:left="233" w:top="468" w:right="1440" w:bottom="1440" w:gutter="0" w:footer="0" w:header="0"/>
        </w:sectPr>
      </w:pPr>
    </w:p>
    <w:bookmarkStart w:id="10" w:name="page11"/>
    <w:bookmarkEnd w:id="10"/>
    <w:p>
      <w:pPr>
        <w:ind w:right="3039" w:firstLine="364"/>
        <w:spacing w:after="0" w:line="246" w:lineRule="auto"/>
        <w:rPr>
          <w:sz w:val="20"/>
          <w:szCs w:val="20"/>
          <w:color w:val="auto"/>
        </w:rPr>
      </w:pPr>
      <w:r>
        <w:rPr>
          <w:rFonts w:ascii="Courier New" w:cs="Courier New" w:eastAsia="Courier New" w:hAnsi="Courier New"/>
          <w:sz w:val="15"/>
          <w:szCs w:val="15"/>
          <w:color w:val="auto"/>
        </w:rPr>
        <w:t>Participant accounts are credited with the appropriate gains or losses resulting from employee-directed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EMPLOYEE STOCK OWNERSHIP PLAN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Non-bargaining employees of the Company who have attained the age of 21 years and completed one year of service are eligible to participate in the Company's Employee Stock Ownership Plan. Contributions to this Plan are made at the discretion of the Board of Directors and credited to individual accounts maintained for participants under the Plan.</w:t>
      </w:r>
    </w:p>
    <w:p>
      <w:pPr>
        <w:spacing w:after="0" w:line="178"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amount of each contribution credited to a participant's account is proportionate to that participant's compensation compared to the total compensation paid to all participants in the Plan. The maximum annual compensation that may be used to determine benefits in the current plan year is $160,000, which amount will be adjusted in future years for cost-of-living increases. In addition, the aggregate amount contributed in any one plan year for a participant under the Money Purchase Pension Plan and Employee Stock Ownership Plan may not exceed the lesser of 25% of compensation or $30,000.</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Participant accounts in the Employee Stock Ownership Plan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GRANTS AND EXERCISES IN FISCAL 2000</w:t>
      </w:r>
    </w:p>
    <w:p>
      <w:pPr>
        <w:spacing w:after="0" w:line="180" w:lineRule="exact"/>
        <w:rPr>
          <w:sz w:val="20"/>
          <w:szCs w:val="20"/>
          <w:color w:val="auto"/>
        </w:rPr>
      </w:pPr>
    </w:p>
    <w:p>
      <w:pPr>
        <w:ind w:right="3679" w:firstLine="364"/>
        <w:spacing w:after="0" w:line="247" w:lineRule="auto"/>
        <w:rPr>
          <w:sz w:val="20"/>
          <w:szCs w:val="20"/>
          <w:color w:val="auto"/>
        </w:rPr>
      </w:pPr>
      <w:r>
        <w:rPr>
          <w:rFonts w:ascii="Courier New" w:cs="Courier New" w:eastAsia="Courier New" w:hAnsi="Courier New"/>
          <w:sz w:val="15"/>
          <w:szCs w:val="15"/>
          <w:color w:val="auto"/>
        </w:rPr>
        <w:t>There were no options granted to or exercised by the Named Executive Officers in fiscal 2000.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ON REPRICING OF OPTIONS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All decisions regarding compensation of executive officers of the Company in fiscal 2000 were made by the Compensation Committee of the Board of Directors. During fiscal 2000, the Compensation Committee was made up of the following directors: John S. McKeon, Duane M. Jergenson and G. Robert Gey. None of the current officers of the Company participates in any board vote setting his annual salary or bonus.</w:t>
      </w:r>
    </w:p>
    <w:p>
      <w:pPr>
        <w:spacing w:after="0" w:line="178"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COMPENSATION COMMITTEE REPORT ON ANNUAL COMPENSATION</w:t>
      </w:r>
    </w:p>
    <w:p>
      <w:pPr>
        <w:spacing w:after="0" w:line="180" w:lineRule="exact"/>
        <w:rPr>
          <w:sz w:val="20"/>
          <w:szCs w:val="20"/>
          <w:color w:val="auto"/>
        </w:rPr>
      </w:pPr>
    </w:p>
    <w:p>
      <w:pPr>
        <w:ind w:right="3039" w:firstLine="364"/>
        <w:spacing w:after="0" w:line="246" w:lineRule="auto"/>
        <w:rPr>
          <w:sz w:val="20"/>
          <w:szCs w:val="20"/>
          <w:color w:val="auto"/>
        </w:rPr>
      </w:pPr>
      <w:r>
        <w:rPr>
          <w:rFonts w:ascii="Courier New" w:cs="Courier New" w:eastAsia="Courier New" w:hAnsi="Courier New"/>
          <w:sz w:val="15"/>
          <w:szCs w:val="15"/>
          <w:color w:val="auto"/>
        </w:rPr>
        <w:t>The annual compensation programs of the Company are highly leveraged on the basis of performance. The Company's annual compensation mix generally has lower base salaries than comparable companies, coupled with a highly leveraged incentive system which will pay more with good performance and less with below par performance.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SALARIES</w:t>
      </w:r>
    </w:p>
    <w:p>
      <w:pPr>
        <w:spacing w:after="0" w:line="180" w:lineRule="exact"/>
        <w:rPr>
          <w:sz w:val="20"/>
          <w:szCs w:val="20"/>
          <w:color w:val="auto"/>
        </w:rPr>
      </w:pPr>
    </w:p>
    <w:p>
      <w:pPr>
        <w:ind w:right="3779" w:firstLine="364"/>
        <w:spacing w:after="0" w:line="247" w:lineRule="auto"/>
        <w:rPr>
          <w:sz w:val="20"/>
          <w:szCs w:val="20"/>
          <w:color w:val="auto"/>
        </w:rPr>
      </w:pPr>
      <w:r>
        <w:rPr>
          <w:rFonts w:ascii="Courier New" w:cs="Courier New" w:eastAsia="Courier New" w:hAnsi="Courier New"/>
          <w:sz w:val="15"/>
          <w:szCs w:val="15"/>
          <w:color w:val="auto"/>
        </w:rPr>
        <w:t>The salary increase of the Company's executive officers are tied to inflation, performance and increase in corporate profits.</w:t>
      </w:r>
    </w:p>
    <w:p>
      <w:pPr>
        <w:spacing w:after="0" w:line="1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8"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EXECUTIVE BONUS PLAN</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bonus plan for executive officers is based on the following factors: corporate performance, business unit performance and personal performance. The corporate performance rating is based on the Company's percentage growth in earnings per share over the prior year and its return on equity. These two factors are the primary determinants of share price over time. Business unit ratings are based primarily on profit performance (market share performance, new product development, workplace diversity and other factors are also considered). Personal ratings can include such qualitative factors as quality of the strategic plan, organizational and management development progress and industry, public affairs, and civic involvement.</w:t>
      </w:r>
    </w:p>
    <w:p>
      <w:pPr>
        <w:spacing w:after="0" w:line="181"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pacing w:after="0" w:line="180" w:lineRule="exact"/>
        <w:rPr>
          <w:sz w:val="20"/>
          <w:szCs w:val="20"/>
          <w:color w:val="auto"/>
        </w:rPr>
      </w:pPr>
    </w:p>
    <w:p>
      <w:pPr>
        <w:ind w:right="3039" w:firstLine="364"/>
        <w:spacing w:after="0" w:line="247" w:lineRule="auto"/>
        <w:rPr>
          <w:sz w:val="20"/>
          <w:szCs w:val="20"/>
          <w:color w:val="auto"/>
        </w:rPr>
      </w:pPr>
      <w:r>
        <w:rPr>
          <w:rFonts w:ascii="Courier New" w:cs="Courier New" w:eastAsia="Courier New" w:hAnsi="Courier New"/>
          <w:sz w:val="15"/>
          <w:szCs w:val="15"/>
          <w:color w:val="auto"/>
        </w:rPr>
        <w:t>The compensation of John R. Hawkins, Chief Executive Officer, is determined in the same manner as set forth above for all other executive officers.</w:t>
      </w:r>
    </w:p>
    <w:p>
      <w:pPr>
        <w:spacing w:after="0" w:line="175" w:lineRule="exact"/>
        <w:rPr>
          <w:sz w:val="20"/>
          <w:szCs w:val="20"/>
          <w:color w:val="auto"/>
        </w:rPr>
      </w:pPr>
    </w:p>
    <w:p>
      <w:pPr>
        <w:ind w:left="820"/>
        <w:spacing w:after="0"/>
        <w:tabs>
          <w:tab w:leader="none" w:pos="2880" w:val="left"/>
          <w:tab w:leader="none" w:pos="5340" w:val="left"/>
        </w:tabs>
        <w:rPr>
          <w:sz w:val="20"/>
          <w:szCs w:val="20"/>
          <w:color w:val="auto"/>
        </w:rPr>
      </w:pPr>
      <w:r>
        <w:rPr>
          <w:rFonts w:ascii="Courier New" w:cs="Courier New" w:eastAsia="Courier New" w:hAnsi="Courier New"/>
          <w:sz w:val="15"/>
          <w:szCs w:val="15"/>
          <w:color w:val="auto"/>
        </w:rPr>
        <w:t>JOHN S. MCKEON</w:t>
      </w:r>
      <w:r>
        <w:rPr>
          <w:sz w:val="20"/>
          <w:szCs w:val="20"/>
          <w:color w:val="auto"/>
        </w:rPr>
        <w:tab/>
      </w:r>
      <w:r>
        <w:rPr>
          <w:rFonts w:ascii="Courier New" w:cs="Courier New" w:eastAsia="Courier New" w:hAnsi="Courier New"/>
          <w:sz w:val="15"/>
          <w:szCs w:val="15"/>
          <w:color w:val="auto"/>
        </w:rPr>
        <w:t>DUANE M. JERGENSON</w:t>
      </w:r>
      <w:r>
        <w:rPr>
          <w:sz w:val="20"/>
          <w:szCs w:val="20"/>
          <w:color w:val="auto"/>
        </w:rPr>
        <w:tab/>
      </w:r>
      <w:r>
        <w:rPr>
          <w:rFonts w:ascii="Courier New" w:cs="Courier New" w:eastAsia="Courier New" w:hAnsi="Courier New"/>
          <w:sz w:val="15"/>
          <w:szCs w:val="15"/>
          <w:color w:val="auto"/>
        </w:rPr>
        <w:t>G. ROBERT GEY</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COMPENSATION COMMITTEE OF THE BOARD OF DIRECTORS</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5"/>
          <w:szCs w:val="15"/>
          <w:color w:val="auto"/>
        </w:rPr>
        <w:t>RELATED PARTY TRANSACTIONS</w:t>
      </w:r>
    </w:p>
    <w:p>
      <w:pPr>
        <w:spacing w:after="0" w:line="1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8" w:right="1440" w:bottom="1440" w:gutter="0" w:footer="0" w:header="0"/>
        </w:sectPr>
      </w:pPr>
    </w:p>
    <w:bookmarkStart w:id="12" w:name="page13"/>
    <w:bookmarkEnd w:id="12"/>
    <w:p>
      <w:pPr>
        <w:jc w:val="center"/>
        <w:ind w:right="3039"/>
        <w:spacing w:after="0"/>
        <w:rPr>
          <w:sz w:val="20"/>
          <w:szCs w:val="20"/>
          <w:color w:val="auto"/>
        </w:rPr>
      </w:pPr>
      <w:r>
        <w:rPr>
          <w:rFonts w:ascii="Courier New" w:cs="Courier New" w:eastAsia="Courier New" w:hAnsi="Courier New"/>
          <w:sz w:val="15"/>
          <w:szCs w:val="15"/>
          <w:color w:val="auto"/>
        </w:rPr>
        <w:t>COMPARATIVE STOCK PERFORMANCE GRAPH</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following is a graph comparing the annual percentage change in the cumulative total shareholder return on the Company's Common Stock with the cumulative total returns of the NASDAQ Composite Index and the NASDAQ Industrial Index for the Company's last five fiscal years. The graph assumes the investment of $100 in the Company's Common Stock, the NASDAQ Composite Index and the NASDAQ Industrial Index on October 1, 1995, and reinvestment of all dividends.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0" w:type="dxa"/>
            <w:vAlign w:val="bottom"/>
          </w:tcPr>
          <w:p>
            <w:pPr>
              <w:spacing w:after="0"/>
              <w:rPr>
                <w:sz w:val="20"/>
                <w:szCs w:val="20"/>
                <w:color w:val="auto"/>
              </w:rPr>
            </w:pPr>
            <w:r>
              <w:rPr>
                <w:rFonts w:ascii="Courier New" w:cs="Courier New" w:eastAsia="Courier New" w:hAnsi="Courier New"/>
                <w:sz w:val="15"/>
                <w:szCs w:val="15"/>
                <w:color w:val="auto"/>
              </w:rPr>
              <w:t>DOLLARS</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NASDAQ INDUSTRIAL INDEX</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NASDAQ COMPOSITE INDEX</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HAWKINS CHEMICAL, INC.</w:t>
            </w:r>
          </w:p>
        </w:tc>
      </w:tr>
      <w:tr>
        <w:trPr>
          <w:trHeight w:val="350"/>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112.83</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117.87</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103.49</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139.62</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162.43</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139.82</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107.82</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166.67</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147.49</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165.07</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267.93</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113.98</w:t>
            </w:r>
          </w:p>
        </w:tc>
      </w:tr>
      <w:tr>
        <w:trPr>
          <w:trHeight w:val="175"/>
        </w:trPr>
        <w:tc>
          <w:tcPr>
            <w:tcW w:w="7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208.49</w:t>
            </w:r>
          </w:p>
        </w:tc>
        <w:tc>
          <w:tcPr>
            <w:tcW w:w="21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351.96</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121.91</w:t>
            </w:r>
          </w:p>
        </w:tc>
      </w:tr>
    </w:tbl>
    <w:p>
      <w:pPr>
        <w:spacing w:after="0" w:line="35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PROPOSALS BY SHAREHOLDERS</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In order for a shareholder proposal to be considered for inclusion in the Company's proxy statement for next year's annual meeting, the written proposal must be received by the Company at its principal executive office no later than September 17, 2001. Any such proposals also must comply with the rules and regulations of the Securities and Exchange Commission regarding the inclusion of shareholder proposals in company sponsored proxy materials. In order for a shareholder proposal to be raised from the floor during next year's annual meeting (without being included in the proxy materials), written notice of the proposal must be received by the Company no later than December 1, 2001. The persons named as proxies by the Company for that meeting will have discretionary authority to vote on any shareholder proposal for which such notice is not properly received by the Company and as otherwise permitted pursuant to the Commission's rules and regulations regarding the voting of proxies. Any director nominations made by shareholders also must comply with the relevant provisions set forth in Article I of the Company's Bylaws, as described under the caption "Election of Directors--Nominations" elsewhere in this proxy statement. A copy of the Bylaws have been filed with the Commission and are available on the Commission's website (www.sec.gov) or they may be obtained by sending a written request to the Corporate Secretary at the Company's headquarters.</w:t>
      </w:r>
    </w:p>
    <w:p>
      <w:pPr>
        <w:spacing w:after="0" w:line="186"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8" w:right="1440" w:bottom="1440" w:gutter="0" w:footer="0" w:header="0"/>
        </w:sectPr>
      </w:pPr>
    </w:p>
    <w:bookmarkStart w:id="13" w:name="page14"/>
    <w:bookmarkEnd w:id="13"/>
    <w:p>
      <w:pPr>
        <w:ind w:left="3180"/>
        <w:spacing w:after="0"/>
        <w:rPr>
          <w:sz w:val="20"/>
          <w:szCs w:val="20"/>
          <w:color w:val="auto"/>
        </w:rPr>
      </w:pPr>
      <w:r>
        <w:rPr>
          <w:rFonts w:ascii="Courier New" w:cs="Courier New" w:eastAsia="Courier New" w:hAnsi="Courier New"/>
          <w:sz w:val="15"/>
          <w:szCs w:val="15"/>
          <w:color w:val="auto"/>
        </w:rPr>
        <w:t>FORM 10-K</w:t>
      </w:r>
    </w:p>
    <w:p>
      <w:pPr>
        <w:spacing w:after="0" w:line="180" w:lineRule="exact"/>
        <w:rPr>
          <w:sz w:val="20"/>
          <w:szCs w:val="20"/>
          <w:color w:val="auto"/>
        </w:rPr>
      </w:pPr>
    </w:p>
    <w:p>
      <w:pPr>
        <w:ind w:right="2959" w:firstLine="364"/>
        <w:spacing w:after="0" w:line="246" w:lineRule="auto"/>
        <w:rPr>
          <w:sz w:val="20"/>
          <w:szCs w:val="20"/>
          <w:color w:val="auto"/>
        </w:rPr>
      </w:pPr>
      <w:r>
        <w:rPr>
          <w:rFonts w:ascii="Courier New" w:cs="Courier New" w:eastAsia="Courier New" w:hAnsi="Courier New"/>
          <w:sz w:val="15"/>
          <w:szCs w:val="15"/>
          <w:color w:val="auto"/>
        </w:rPr>
        <w:t>The Company will provide each person whose proxy is solicited, upon receipt of a written request from such person, a copy of its annual report on Form 10-K as filed with the Securities and Exchange Commission, including the financial statements and financial statement schedules required to be filed with the Commission. Such written request should be directed to, Hawkins Chemical, Inc., 3100 East Hennepin Avenue, Minneapolis, Minnesota 55413, Attention: Corporate Secretary. The annual report on Form 10-K, as well as other Company reports, are also available on the Commission's website (www.sec.gov).</w:t>
      </w:r>
    </w:p>
    <w:p>
      <w:pPr>
        <w:spacing w:after="0" w:line="200" w:lineRule="exact"/>
        <w:rPr>
          <w:sz w:val="20"/>
          <w:szCs w:val="20"/>
          <w:color w:val="auto"/>
        </w:rPr>
      </w:pPr>
    </w:p>
    <w:p>
      <w:pPr>
        <w:spacing w:after="0" w:line="329" w:lineRule="exact"/>
        <w:rPr>
          <w:sz w:val="20"/>
          <w:szCs w:val="20"/>
          <w:color w:val="auto"/>
        </w:rPr>
      </w:pPr>
    </w:p>
    <w:p>
      <w:pPr>
        <w:spacing w:after="0"/>
        <w:tabs>
          <w:tab w:leader="none" w:pos="2340" w:val="left"/>
        </w:tabs>
        <w:rPr>
          <w:sz w:val="20"/>
          <w:szCs w:val="20"/>
          <w:color w:val="auto"/>
        </w:rPr>
      </w:pPr>
      <w:r>
        <w:rPr>
          <w:rFonts w:ascii="Courier New" w:cs="Courier New" w:eastAsia="Courier New" w:hAnsi="Courier New"/>
          <w:sz w:val="15"/>
          <w:szCs w:val="15"/>
          <w:color w:val="auto"/>
        </w:rPr>
        <w:t>Dated: January 15, 2001.</w:t>
        <w:tab/>
        <w:t>BY ORDER OF THE BOARD OF DIRECTORS</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MARVIN E. DEE, SECRETARY</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8" w:right="1440" w:bottom="1440" w:gutter="0" w:footer="0" w:header="0"/>
        </w:sectPr>
      </w:pPr>
    </w:p>
    <w:bookmarkStart w:id="14" w:name="page15"/>
    <w:bookmarkEnd w:id="14"/>
    <w:p>
      <w:pPr>
        <w:jc w:val="right"/>
        <w:ind w:right="2959"/>
        <w:spacing w:after="0"/>
        <w:rPr>
          <w:sz w:val="20"/>
          <w:szCs w:val="20"/>
          <w:color w:val="auto"/>
        </w:rPr>
      </w:pPr>
      <w:r>
        <w:rPr>
          <w:rFonts w:ascii="Courier New" w:cs="Courier New" w:eastAsia="Courier New" w:hAnsi="Courier New"/>
          <w:sz w:val="15"/>
          <w:szCs w:val="15"/>
          <w:color w:val="auto"/>
        </w:rPr>
        <w:t>APPENDIX I</w:t>
      </w:r>
    </w:p>
    <w:p>
      <w:pPr>
        <w:spacing w:after="0" w:line="180" w:lineRule="exact"/>
        <w:rPr>
          <w:sz w:val="20"/>
          <w:szCs w:val="20"/>
          <w:color w:val="auto"/>
        </w:rPr>
      </w:pPr>
    </w:p>
    <w:p>
      <w:pPr>
        <w:ind w:left="2627"/>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ind w:left="2547"/>
        <w:spacing w:after="0"/>
        <w:rPr>
          <w:sz w:val="20"/>
          <w:szCs w:val="20"/>
          <w:color w:val="auto"/>
        </w:rPr>
      </w:pPr>
      <w:r>
        <w:rPr>
          <w:rFonts w:ascii="Courier New" w:cs="Courier New" w:eastAsia="Courier New" w:hAnsi="Courier New"/>
          <w:sz w:val="15"/>
          <w:szCs w:val="15"/>
          <w:color w:val="auto"/>
        </w:rPr>
        <w:t>AUDIT COMMITTEE CHARTER</w:t>
      </w:r>
    </w:p>
    <w:p>
      <w:pPr>
        <w:spacing w:after="0" w:line="180" w:lineRule="exact"/>
        <w:rPr>
          <w:sz w:val="20"/>
          <w:szCs w:val="20"/>
          <w:color w:val="auto"/>
        </w:rPr>
      </w:pPr>
    </w:p>
    <w:p>
      <w:pPr>
        <w:ind w:left="367" w:hanging="367"/>
        <w:spacing w:after="0"/>
        <w:tabs>
          <w:tab w:leader="none" w:pos="36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primary function of the Audit Committee is to assist the Board of Directors of Hawkins Chemical, Inc. in fulfilling its oversight responsibilities related to corporate accounting, financial reporting practices, quality and integrity of financial reports as well as legal compliance and business ethics. The Audit Committee's primary duties and responsibilities are to:</w:t>
      </w:r>
    </w:p>
    <w:p>
      <w:pPr>
        <w:spacing w:after="0" w:line="178" w:lineRule="exact"/>
        <w:rPr>
          <w:sz w:val="20"/>
          <w:szCs w:val="20"/>
          <w:color w:val="auto"/>
        </w:rPr>
      </w:pPr>
    </w:p>
    <w:p>
      <w:pPr>
        <w:ind w:left="547" w:right="2959" w:hanging="183"/>
        <w:spacing w:after="0" w:line="247" w:lineRule="auto"/>
        <w:tabs>
          <w:tab w:leader="none" w:pos="54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an open avenue of communication among the independent accountants, financial and senior management and the Board of Directors.</w:t>
      </w:r>
    </w:p>
    <w:p>
      <w:pPr>
        <w:spacing w:after="0" w:line="174" w:lineRule="exact"/>
        <w:rPr>
          <w:rFonts w:ascii="Courier New" w:cs="Courier New" w:eastAsia="Courier New" w:hAnsi="Courier New"/>
          <w:sz w:val="15"/>
          <w:szCs w:val="15"/>
          <w:color w:val="auto"/>
        </w:rPr>
      </w:pPr>
    </w:p>
    <w:p>
      <w:pPr>
        <w:ind w:left="547" w:right="3139" w:hanging="183"/>
        <w:spacing w:after="0" w:line="247" w:lineRule="auto"/>
        <w:tabs>
          <w:tab w:leader="none" w:pos="54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Serve as an independent and objective party to monitor the corporation's financial reporting process and internal control system.</w:t>
      </w:r>
    </w:p>
    <w:p>
      <w:pPr>
        <w:spacing w:after="0" w:line="174" w:lineRule="exact"/>
        <w:rPr>
          <w:rFonts w:ascii="Courier New" w:cs="Courier New" w:eastAsia="Courier New" w:hAnsi="Courier New"/>
          <w:sz w:val="15"/>
          <w:szCs w:val="15"/>
          <w:color w:val="auto"/>
        </w:rPr>
      </w:pPr>
    </w:p>
    <w:p>
      <w:pPr>
        <w:ind w:left="547" w:right="3319" w:hanging="183"/>
        <w:spacing w:after="0" w:line="247" w:lineRule="auto"/>
        <w:tabs>
          <w:tab w:leader="none" w:pos="547"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appraise the audit efforts of the corporation's independent accountants.</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MEMBERSHIP</w:t>
      </w:r>
    </w:p>
    <w:p>
      <w:pPr>
        <w:spacing w:after="0" w:line="180" w:lineRule="exact"/>
        <w:rPr>
          <w:sz w:val="20"/>
          <w:szCs w:val="20"/>
          <w:color w:val="auto"/>
        </w:rPr>
      </w:pPr>
    </w:p>
    <w:p>
      <w:pPr>
        <w:ind w:left="7" w:right="3039" w:firstLine="364"/>
        <w:spacing w:after="0" w:line="246" w:lineRule="auto"/>
        <w:rPr>
          <w:sz w:val="20"/>
          <w:szCs w:val="20"/>
          <w:color w:val="auto"/>
        </w:rPr>
      </w:pPr>
      <w:r>
        <w:rPr>
          <w:rFonts w:ascii="Courier New" w:cs="Courier New" w:eastAsia="Courier New" w:hAnsi="Courier New"/>
          <w:sz w:val="15"/>
          <w:szCs w:val="15"/>
          <w:color w:val="auto"/>
        </w:rPr>
        <w:t>The Audit Committee shall be comprised of three or more directors as determined by the Board of Directors, each of whom shall be independent directors as defined in Rule 4200 of the National Association of Securities Dealers, Inc. The members will be free from any financial, family or other material personal relationships that, in the opinion of the Board or Audit Committee members, would interfere with the exercise of his or her independence from management and the corporation. All members of the Audit Committee will have a working familiarity with basic finance and accounting practices, and at least one member of the Audit Committee must have accounting or related financial management experience.</w:t>
      </w:r>
    </w:p>
    <w:p>
      <w:pPr>
        <w:spacing w:after="0" w:line="181"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members of the Audit Committee shall be elected by the Board of Directors at the annual organizational meeting of the Board of Directors. Unless the Board of Directors elects a Chair, the members of the Audit Committee may designate a Chair by majority vote of the Committee.</w:t>
      </w:r>
    </w:p>
    <w:p>
      <w:pPr>
        <w:spacing w:after="0" w:line="177" w:lineRule="exact"/>
        <w:rPr>
          <w:sz w:val="20"/>
          <w:szCs w:val="20"/>
          <w:color w:val="auto"/>
        </w:rPr>
      </w:pPr>
    </w:p>
    <w:p>
      <w:pPr>
        <w:ind w:left="547" w:hanging="547"/>
        <w:spacing w:after="0"/>
        <w:tabs>
          <w:tab w:leader="none" w:pos="5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w:t>
      </w:r>
    </w:p>
    <w:p>
      <w:pPr>
        <w:spacing w:after="0" w:line="180"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The Audit Committee will meet at least four times annually, either in person or by conference calls. A majority shall constitute a quorum of the Audit Committee. A majority of the members in attendance shall decide any questions brought before any meeting of the Committee.</w:t>
      </w:r>
    </w:p>
    <w:p>
      <w:pPr>
        <w:spacing w:after="0" w:line="177" w:lineRule="exact"/>
        <w:rPr>
          <w:sz w:val="20"/>
          <w:szCs w:val="20"/>
          <w:color w:val="auto"/>
        </w:rPr>
      </w:pPr>
    </w:p>
    <w:p>
      <w:pPr>
        <w:ind w:left="7" w:right="2959" w:firstLine="364"/>
        <w:spacing w:after="0" w:line="246" w:lineRule="auto"/>
        <w:rPr>
          <w:sz w:val="20"/>
          <w:szCs w:val="20"/>
          <w:color w:val="auto"/>
        </w:rPr>
      </w:pPr>
      <w:r>
        <w:rPr>
          <w:rFonts w:ascii="Courier New" w:cs="Courier New" w:eastAsia="Courier New" w:hAnsi="Courier New"/>
          <w:sz w:val="15"/>
          <w:szCs w:val="15"/>
          <w:color w:val="auto"/>
        </w:rPr>
        <w:t>As part of its job to foster open communication, the Audit Committee has access to management and the independent accountants to discuss any matters that the Committee or any one of these groups feels need to be discussed privately. In addition, the Audit Committee or at least the Chair should meet with management quarterly to review the corporation's quarterly financial results prior to release.</w:t>
      </w:r>
    </w:p>
    <w:p>
      <w:pPr>
        <w:spacing w:after="0" w:line="178" w:lineRule="exact"/>
        <w:rPr>
          <w:sz w:val="20"/>
          <w:szCs w:val="20"/>
          <w:color w:val="auto"/>
        </w:rPr>
      </w:pPr>
    </w:p>
    <w:p>
      <w:pPr>
        <w:ind w:left="7"/>
        <w:spacing w:after="0"/>
        <w:tabs>
          <w:tab w:leader="none" w:pos="426" w:val="left"/>
        </w:tabs>
        <w:rPr>
          <w:sz w:val="20"/>
          <w:szCs w:val="20"/>
          <w:color w:val="auto"/>
        </w:rPr>
      </w:pPr>
      <w:r>
        <w:rPr>
          <w:rFonts w:ascii="Courier New" w:cs="Courier New" w:eastAsia="Courier New" w:hAnsi="Courier New"/>
          <w:sz w:val="15"/>
          <w:szCs w:val="15"/>
          <w:color w:val="auto"/>
        </w:rPr>
        <w:t>IV.</w:t>
        <w:tab/>
        <w:t>RESPONSIBILITIES AND DUTIES</w:t>
      </w:r>
    </w:p>
    <w:p>
      <w:pPr>
        <w:spacing w:after="0" w:line="180" w:lineRule="exact"/>
        <w:rPr>
          <w:sz w:val="20"/>
          <w:szCs w:val="20"/>
          <w:color w:val="auto"/>
        </w:rPr>
      </w:pPr>
    </w:p>
    <w:p>
      <w:pPr>
        <w:ind w:left="7" w:right="3599" w:firstLine="364"/>
        <w:spacing w:after="0" w:line="247" w:lineRule="auto"/>
        <w:rPr>
          <w:sz w:val="20"/>
          <w:szCs w:val="20"/>
          <w:color w:val="auto"/>
        </w:rPr>
      </w:pPr>
      <w:r>
        <w:rPr>
          <w:rFonts w:ascii="Courier New" w:cs="Courier New" w:eastAsia="Courier New" w:hAnsi="Courier New"/>
          <w:sz w:val="15"/>
          <w:szCs w:val="15"/>
          <w:color w:val="auto"/>
        </w:rPr>
        <w:t>The Audit Committee will fulfill their duties and responsibilities as follows:</w:t>
      </w:r>
    </w:p>
    <w:p>
      <w:pPr>
        <w:spacing w:after="0" w:line="175" w:lineRule="exact"/>
        <w:rPr>
          <w:sz w:val="20"/>
          <w:szCs w:val="20"/>
          <w:color w:val="auto"/>
        </w:rPr>
      </w:pPr>
    </w:p>
    <w:p>
      <w:pPr>
        <w:ind w:left="727" w:hanging="363"/>
        <w:spacing w:after="0"/>
        <w:tabs>
          <w:tab w:leader="none" w:pos="72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80" w:lineRule="exact"/>
        <w:rPr>
          <w:sz w:val="20"/>
          <w:szCs w:val="20"/>
          <w:color w:val="auto"/>
        </w:rPr>
      </w:pPr>
    </w:p>
    <w:p>
      <w:pPr>
        <w:jc w:val="both"/>
        <w:ind w:left="547" w:right="3319" w:hanging="183"/>
        <w:spacing w:after="0" w:line="247" w:lineRule="auto"/>
        <w:tabs>
          <w:tab w:leader="none" w:pos="5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annually the formal written charter that is adopted by the full Board of Directors that specifies scope of responsibility, membership, etc.</w:t>
      </w:r>
    </w:p>
    <w:p>
      <w:pPr>
        <w:spacing w:after="0" w:line="174" w:lineRule="exact"/>
        <w:rPr>
          <w:rFonts w:ascii="Courier New" w:cs="Courier New" w:eastAsia="Courier New" w:hAnsi="Courier New"/>
          <w:sz w:val="15"/>
          <w:szCs w:val="15"/>
          <w:color w:val="auto"/>
        </w:rPr>
      </w:pPr>
    </w:p>
    <w:p>
      <w:pPr>
        <w:ind w:left="547" w:hanging="183"/>
        <w:spacing w:after="0"/>
        <w:tabs>
          <w:tab w:leader="none" w:pos="54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minutes or other records of meetings and activities.</w:t>
      </w:r>
    </w:p>
    <w:p>
      <w:pPr>
        <w:spacing w:after="0" w:line="180" w:lineRule="exact"/>
        <w:rPr>
          <w:sz w:val="20"/>
          <w:szCs w:val="20"/>
          <w:color w:val="auto"/>
        </w:rPr>
      </w:pPr>
    </w:p>
    <w:p>
      <w:pPr>
        <w:ind w:left="3447"/>
        <w:spacing w:after="0"/>
        <w:rPr>
          <w:sz w:val="20"/>
          <w:szCs w:val="20"/>
          <w:color w:val="auto"/>
        </w:rPr>
      </w:pPr>
      <w:r>
        <w:rPr>
          <w:rFonts w:ascii="Courier New" w:cs="Courier New" w:eastAsia="Courier New" w:hAnsi="Courier New"/>
          <w:sz w:val="15"/>
          <w:szCs w:val="15"/>
          <w:color w:val="auto"/>
        </w:rPr>
        <w:t>I-1</w:t>
      </w:r>
    </w:p>
    <w:p>
      <w:pPr>
        <w:sectPr>
          <w:pgSz w:w="11900" w:h="16838" w:orient="portrait"/>
          <w:cols w:equalWidth="0" w:num="1">
            <w:col w:w="10226"/>
          </w:cols>
          <w:pgMar w:left="233" w:top="468" w:right="1440" w:bottom="1440" w:gutter="0" w:footer="0" w:header="0"/>
        </w:sectPr>
      </w:pPr>
    </w:p>
    <w:bookmarkStart w:id="15" w:name="page16"/>
    <w:bookmarkEnd w:id="15"/>
    <w:p>
      <w:pPr>
        <w:ind w:left="540" w:right="3219" w:hanging="183"/>
        <w:spacing w:after="0" w:line="247" w:lineRule="auto"/>
        <w:tabs>
          <w:tab w:leader="none" w:pos="5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 Committee actions to the Board of Directors with recommendations the Committee may deem appropriate.</w:t>
      </w:r>
    </w:p>
    <w:p>
      <w:pPr>
        <w:spacing w:after="0" w:line="175" w:lineRule="exact"/>
        <w:rPr>
          <w:sz w:val="20"/>
          <w:szCs w:val="20"/>
          <w:color w:val="auto"/>
        </w:rPr>
      </w:pPr>
    </w:p>
    <w:p>
      <w:pPr>
        <w:ind w:left="720" w:hanging="363"/>
        <w:spacing w:after="0"/>
        <w:tabs>
          <w:tab w:leader="none" w:pos="7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INDEPENDENT ACCOUNTANTS</w:t>
      </w:r>
    </w:p>
    <w:p>
      <w:pPr>
        <w:spacing w:after="0" w:line="180" w:lineRule="exact"/>
        <w:rPr>
          <w:sz w:val="20"/>
          <w:szCs w:val="20"/>
          <w:color w:val="auto"/>
        </w:rPr>
      </w:pPr>
    </w:p>
    <w:p>
      <w:pPr>
        <w:ind w:left="540" w:right="3139" w:hanging="183"/>
        <w:spacing w:after="0" w:line="246"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Recommend to the Board of Directors the selection of independent accountants for the annual financial audit, considering independence and effectiveness. Review and approve the discharge of the independent accountants.</w:t>
      </w:r>
    </w:p>
    <w:p>
      <w:pPr>
        <w:spacing w:after="0" w:line="177" w:lineRule="exact"/>
        <w:rPr>
          <w:rFonts w:ascii="Courier New" w:cs="Courier New" w:eastAsia="Courier New" w:hAnsi="Courier New"/>
          <w:sz w:val="15"/>
          <w:szCs w:val="15"/>
          <w:color w:val="auto"/>
        </w:rPr>
      </w:pPr>
    </w:p>
    <w:p>
      <w:pPr>
        <w:ind w:left="540" w:right="2959" w:hanging="183"/>
        <w:spacing w:after="0" w:line="246"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Consult with independent accountants, with and without (at least once per year without) management's presence about internal controls, disagreements between the independent accountants and management, and the completeness/accuracy of financial statements.</w:t>
      </w:r>
    </w:p>
    <w:p>
      <w:pPr>
        <w:spacing w:after="0" w:line="177" w:lineRule="exact"/>
        <w:rPr>
          <w:rFonts w:ascii="Courier New" w:cs="Courier New" w:eastAsia="Courier New" w:hAnsi="Courier New"/>
          <w:sz w:val="15"/>
          <w:szCs w:val="15"/>
          <w:color w:val="auto"/>
        </w:rPr>
      </w:pPr>
    </w:p>
    <w:p>
      <w:pPr>
        <w:ind w:left="540" w:right="3219" w:hanging="183"/>
        <w:spacing w:after="0" w:line="247"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prior to the annual audit, the scope and general extent of the independent accountants' audit examinations, including their engagement letter.</w:t>
      </w:r>
    </w:p>
    <w:p>
      <w:pPr>
        <w:spacing w:after="0" w:line="174" w:lineRule="exact"/>
        <w:rPr>
          <w:rFonts w:ascii="Courier New" w:cs="Courier New" w:eastAsia="Courier New" w:hAnsi="Courier New"/>
          <w:sz w:val="15"/>
          <w:szCs w:val="15"/>
          <w:color w:val="auto"/>
        </w:rPr>
      </w:pPr>
    </w:p>
    <w:p>
      <w:pPr>
        <w:ind w:left="540" w:right="3319" w:hanging="183"/>
        <w:spacing w:after="0" w:line="247"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apprised on audit work performed by other accounting firms that the independent accountants rely upon.</w:t>
      </w:r>
    </w:p>
    <w:p>
      <w:pPr>
        <w:spacing w:after="0" w:line="174" w:lineRule="exact"/>
        <w:rPr>
          <w:rFonts w:ascii="Courier New" w:cs="Courier New" w:eastAsia="Courier New" w:hAnsi="Courier New"/>
          <w:sz w:val="15"/>
          <w:szCs w:val="15"/>
          <w:color w:val="auto"/>
        </w:rPr>
      </w:pPr>
    </w:p>
    <w:p>
      <w:pPr>
        <w:ind w:left="540" w:right="3139" w:hanging="183"/>
        <w:spacing w:after="0" w:line="246"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an annual basis, review and discuss with the accountants all significant relationships the accountants have with the corporation to determine the accountants' independence. This should include a review of management consulting services.</w:t>
      </w:r>
    </w:p>
    <w:p>
      <w:pPr>
        <w:spacing w:after="0" w:line="177" w:lineRule="exact"/>
        <w:rPr>
          <w:rFonts w:ascii="Courier New" w:cs="Courier New" w:eastAsia="Courier New" w:hAnsi="Courier New"/>
          <w:sz w:val="15"/>
          <w:szCs w:val="15"/>
          <w:color w:val="auto"/>
        </w:rPr>
      </w:pPr>
    </w:p>
    <w:p>
      <w:pPr>
        <w:ind w:left="540" w:right="3679" w:hanging="183"/>
        <w:spacing w:after="0" w:line="247" w:lineRule="auto"/>
        <w:tabs>
          <w:tab w:leader="none" w:pos="54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results of the independent accountants' last peer review, litigation status and disciplinary actions, if any.</w:t>
      </w:r>
    </w:p>
    <w:p>
      <w:pPr>
        <w:spacing w:after="0" w:line="175" w:lineRule="exact"/>
        <w:rPr>
          <w:sz w:val="20"/>
          <w:szCs w:val="20"/>
          <w:color w:val="auto"/>
        </w:rPr>
      </w:pPr>
    </w:p>
    <w:p>
      <w:pPr>
        <w:ind w:left="720" w:hanging="363"/>
        <w:spacing w:after="0"/>
        <w:tabs>
          <w:tab w:leader="none" w:pos="7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STATEMENTS/INTERNAL CONTROLS</w:t>
      </w:r>
    </w:p>
    <w:p>
      <w:pPr>
        <w:spacing w:after="0" w:line="180" w:lineRule="exact"/>
        <w:rPr>
          <w:sz w:val="20"/>
          <w:szCs w:val="20"/>
          <w:color w:val="auto"/>
        </w:rPr>
      </w:pPr>
    </w:p>
    <w:p>
      <w:pPr>
        <w:ind w:left="540" w:right="3039" w:hanging="183"/>
        <w:spacing w:after="0" w:line="246"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annual financial statements with management and the independent accountants to determine that the independent auditors are satisfied with the disclosure and content of the financial statements, and approve such financial statements prior to release of the annual earnings.</w:t>
      </w:r>
    </w:p>
    <w:p>
      <w:pPr>
        <w:spacing w:after="0" w:line="177" w:lineRule="exact"/>
        <w:rPr>
          <w:rFonts w:ascii="Courier New" w:cs="Courier New" w:eastAsia="Courier New" w:hAnsi="Courier New"/>
          <w:sz w:val="15"/>
          <w:szCs w:val="15"/>
          <w:color w:val="auto"/>
        </w:rPr>
      </w:pPr>
    </w:p>
    <w:p>
      <w:pPr>
        <w:ind w:left="540" w:hanging="183"/>
        <w:spacing w:after="0"/>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SEC Form 10-K prior to its filing.</w:t>
      </w:r>
    </w:p>
    <w:p>
      <w:pPr>
        <w:spacing w:after="0" w:line="179" w:lineRule="exact"/>
        <w:rPr>
          <w:rFonts w:ascii="Courier New" w:cs="Courier New" w:eastAsia="Courier New" w:hAnsi="Courier New"/>
          <w:sz w:val="15"/>
          <w:szCs w:val="15"/>
          <w:color w:val="auto"/>
        </w:rPr>
      </w:pPr>
    </w:p>
    <w:p>
      <w:pPr>
        <w:ind w:left="540" w:right="3419" w:hanging="183"/>
        <w:spacing w:after="0" w:line="247"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Consider independent accountants' judgments regarding the quality and appropriateness of financial statements.</w:t>
      </w:r>
    </w:p>
    <w:p>
      <w:pPr>
        <w:spacing w:after="0" w:line="174" w:lineRule="exact"/>
        <w:rPr>
          <w:rFonts w:ascii="Courier New" w:cs="Courier New" w:eastAsia="Courier New" w:hAnsi="Courier New"/>
          <w:sz w:val="15"/>
          <w:szCs w:val="15"/>
          <w:color w:val="auto"/>
        </w:rPr>
      </w:pPr>
    </w:p>
    <w:p>
      <w:pPr>
        <w:ind w:left="540" w:right="3139" w:hanging="183"/>
        <w:spacing w:after="0" w:line="247"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inquiries of management and independent accountants' concerning the adequacy of the corporation's system of internal controls.</w:t>
      </w:r>
    </w:p>
    <w:p>
      <w:pPr>
        <w:spacing w:after="0" w:line="174" w:lineRule="exact"/>
        <w:rPr>
          <w:rFonts w:ascii="Courier New" w:cs="Courier New" w:eastAsia="Courier New" w:hAnsi="Courier New"/>
          <w:sz w:val="15"/>
          <w:szCs w:val="15"/>
          <w:color w:val="auto"/>
        </w:rPr>
      </w:pPr>
    </w:p>
    <w:p>
      <w:pPr>
        <w:ind w:left="540" w:right="3219" w:hanging="183"/>
        <w:spacing w:after="0" w:line="247"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Inquire of management and the independent accountants about significant risks or exposures, including legal matters, that exist and assess the steps management has taken to minimize such risks and exposures.</w:t>
      </w:r>
    </w:p>
    <w:p>
      <w:pPr>
        <w:spacing w:after="0" w:line="174" w:lineRule="exact"/>
        <w:rPr>
          <w:rFonts w:ascii="Courier New" w:cs="Courier New" w:eastAsia="Courier New" w:hAnsi="Courier New"/>
          <w:sz w:val="15"/>
          <w:szCs w:val="15"/>
          <w:color w:val="auto"/>
        </w:rPr>
      </w:pPr>
    </w:p>
    <w:p>
      <w:pPr>
        <w:ind w:left="540" w:right="3139" w:hanging="183"/>
        <w:spacing w:after="0" w:line="247" w:lineRule="auto"/>
        <w:tabs>
          <w:tab w:leader="none" w:pos="5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completion of the annual audit, be apprised of any significant difficulties encountered during the course of the audit, including any restrictions on the scope of work or access to required information.</w:t>
      </w:r>
    </w:p>
    <w:p>
      <w:pPr>
        <w:spacing w:after="0" w:line="174" w:lineRule="exact"/>
        <w:rPr>
          <w:sz w:val="20"/>
          <w:szCs w:val="20"/>
          <w:color w:val="auto"/>
        </w:rPr>
      </w:pPr>
    </w:p>
    <w:p>
      <w:pPr>
        <w:ind w:left="720" w:hanging="363"/>
        <w:spacing w:after="0"/>
        <w:tabs>
          <w:tab w:leader="none" w:pos="7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ETHICS AND BUSINESS CONDUCT</w:t>
      </w:r>
    </w:p>
    <w:p>
      <w:pPr>
        <w:spacing w:after="0" w:line="180" w:lineRule="exact"/>
        <w:rPr>
          <w:sz w:val="20"/>
          <w:szCs w:val="20"/>
          <w:color w:val="auto"/>
        </w:rPr>
      </w:pPr>
    </w:p>
    <w:p>
      <w:pPr>
        <w:ind w:left="540" w:right="3139" w:hanging="183"/>
        <w:spacing w:after="0" w:line="247" w:lineRule="auto"/>
        <w:tabs>
          <w:tab w:leader="none" w:pos="5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the corporation's codes of conduct annually and direct management to establish a system reasonably designed to assure compliance with the code.</w:t>
      </w:r>
    </w:p>
    <w:p>
      <w:pPr>
        <w:spacing w:after="0" w:line="174" w:lineRule="exact"/>
        <w:rPr>
          <w:sz w:val="20"/>
          <w:szCs w:val="20"/>
          <w:color w:val="auto"/>
        </w:rPr>
      </w:pPr>
    </w:p>
    <w:p>
      <w:pPr>
        <w:ind w:right="3139" w:firstLine="364"/>
        <w:spacing w:after="0" w:line="246" w:lineRule="auto"/>
        <w:rPr>
          <w:sz w:val="20"/>
          <w:szCs w:val="20"/>
          <w:color w:val="auto"/>
        </w:rPr>
      </w:pPr>
      <w:r>
        <w:rPr>
          <w:rFonts w:ascii="Courier New" w:cs="Courier New" w:eastAsia="Courier New" w:hAnsi="Courier New"/>
          <w:sz w:val="15"/>
          <w:szCs w:val="15"/>
          <w:color w:val="auto"/>
        </w:rPr>
        <w:t>The above list represents examples of actions the Audit Committee may take in fulfilling their responsibilities. The list shall not be construed as mandatory functions of the committee. The Audit Committee has the power to conduct or authorize investigations into any matters within the committee's scope of responsibilities. The duties and responsibilities of a member of the Audit Committee are in addition to those duties set out for a member of the Board of Directors.</w:t>
      </w:r>
    </w:p>
    <w:p>
      <w:pPr>
        <w:spacing w:after="0" w:line="179" w:lineRule="exact"/>
        <w:rPr>
          <w:sz w:val="20"/>
          <w:szCs w:val="20"/>
          <w:color w:val="auto"/>
        </w:rPr>
      </w:pPr>
    </w:p>
    <w:p>
      <w:pPr>
        <w:ind w:left="3440"/>
        <w:spacing w:after="0"/>
        <w:rPr>
          <w:sz w:val="20"/>
          <w:szCs w:val="20"/>
          <w:color w:val="auto"/>
        </w:rPr>
      </w:pPr>
      <w:r>
        <w:rPr>
          <w:rFonts w:ascii="Courier New" w:cs="Courier New" w:eastAsia="Courier New" w:hAnsi="Courier New"/>
          <w:sz w:val="15"/>
          <w:szCs w:val="15"/>
          <w:color w:val="auto"/>
        </w:rPr>
        <w:t>I-2</w:t>
      </w:r>
    </w:p>
    <w:p>
      <w:pPr>
        <w:sectPr>
          <w:pgSz w:w="11900" w:h="16838" w:orient="portrait"/>
          <w:cols w:equalWidth="0" w:num="1">
            <w:col w:w="10219"/>
          </w:cols>
          <w:pgMar w:left="240" w:top="468" w:right="1440" w:bottom="1440" w:gutter="0" w:footer="0" w:header="0"/>
        </w:sectPr>
      </w:pPr>
    </w:p>
    <w:bookmarkStart w:id="16" w:name="page17"/>
    <w:bookmarkEnd w:id="16"/>
    <w:p>
      <w:pPr>
        <w:jc w:val="center"/>
        <w:ind w:right="-1400"/>
        <w:spacing w:after="0"/>
        <w:rPr>
          <w:sz w:val="20"/>
          <w:szCs w:val="20"/>
          <w:color w:val="auto"/>
        </w:rPr>
      </w:pPr>
      <w:r>
        <w:rPr>
          <w:rFonts w:ascii="Courier New" w:cs="Courier New" w:eastAsia="Courier New" w:hAnsi="Courier New"/>
          <w:sz w:val="15"/>
          <w:szCs w:val="15"/>
          <w:color w:val="auto"/>
        </w:rPr>
        <w:t>HAWKINS CHEMICAL, INC.</w:t>
      </w:r>
    </w:p>
    <w:p>
      <w:pPr>
        <w:spacing w:after="0" w:line="180"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ANNUAL MEETING OF SHAREHOLDERS</w:t>
      </w:r>
    </w:p>
    <w:p>
      <w:pPr>
        <w:spacing w:after="0" w:line="5"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WEDNESDAY, FEBRUARY 14, 2001</w:t>
      </w:r>
    </w:p>
    <w:p>
      <w:pPr>
        <w:spacing w:after="0" w:line="5" w:lineRule="exact"/>
        <w:rPr>
          <w:sz w:val="20"/>
          <w:szCs w:val="20"/>
          <w:color w:val="auto"/>
        </w:rPr>
      </w:pPr>
    </w:p>
    <w:p>
      <w:pPr>
        <w:jc w:val="center"/>
        <w:ind w:right="-1400"/>
        <w:spacing w:after="0"/>
        <w:rPr>
          <w:sz w:val="20"/>
          <w:szCs w:val="20"/>
          <w:color w:val="auto"/>
        </w:rPr>
      </w:pPr>
      <w:r>
        <w:rPr>
          <w:rFonts w:ascii="Courier New" w:cs="Courier New" w:eastAsia="Courier New" w:hAnsi="Courier New"/>
          <w:sz w:val="15"/>
          <w:szCs w:val="15"/>
          <w:color w:val="auto"/>
        </w:rPr>
        <w:t>3:30 P.M., CENTRAL STANDARD TIME</w:t>
      </w:r>
    </w:p>
    <w:p>
      <w:pPr>
        <w:spacing w:after="0" w:line="5" w:lineRule="exact"/>
        <w:rPr>
          <w:sz w:val="20"/>
          <w:szCs w:val="20"/>
          <w:color w:val="auto"/>
        </w:rPr>
      </w:pPr>
    </w:p>
    <w:p>
      <w:pPr>
        <w:jc w:val="center"/>
        <w:ind w:right="-1220"/>
        <w:spacing w:after="0"/>
        <w:rPr>
          <w:sz w:val="20"/>
          <w:szCs w:val="20"/>
          <w:color w:val="auto"/>
        </w:rPr>
      </w:pPr>
      <w:r>
        <w:rPr>
          <w:rFonts w:ascii="Courier New" w:cs="Courier New" w:eastAsia="Courier New" w:hAnsi="Courier New"/>
          <w:sz w:val="15"/>
          <w:szCs w:val="15"/>
          <w:color w:val="auto"/>
        </w:rPr>
        <w:t>FOUR POINTS SHERATON HOTEL</w:t>
      </w:r>
    </w:p>
    <w:p>
      <w:pPr>
        <w:spacing w:after="0" w:line="5" w:lineRule="exact"/>
        <w:rPr>
          <w:sz w:val="20"/>
          <w:szCs w:val="20"/>
          <w:color w:val="auto"/>
        </w:rPr>
      </w:pPr>
    </w:p>
    <w:p>
      <w:pPr>
        <w:ind w:left="4620"/>
        <w:spacing w:after="0"/>
        <w:rPr>
          <w:sz w:val="20"/>
          <w:szCs w:val="20"/>
          <w:color w:val="auto"/>
        </w:rPr>
      </w:pPr>
      <w:r>
        <w:rPr>
          <w:rFonts w:ascii="Courier New" w:cs="Courier New" w:eastAsia="Courier New" w:hAnsi="Courier New"/>
          <w:sz w:val="15"/>
          <w:szCs w:val="15"/>
          <w:color w:val="auto"/>
        </w:rPr>
        <w:t>1330 INDUSTRIAL BOULEVARD</w:t>
      </w:r>
    </w:p>
    <w:p>
      <w:pPr>
        <w:spacing w:after="0" w:line="5" w:lineRule="exact"/>
        <w:rPr>
          <w:sz w:val="20"/>
          <w:szCs w:val="20"/>
          <w:color w:val="auto"/>
        </w:rPr>
      </w:pPr>
    </w:p>
    <w:p>
      <w:pPr>
        <w:ind w:left="4720"/>
        <w:spacing w:after="0"/>
        <w:rPr>
          <w:sz w:val="20"/>
          <w:szCs w:val="20"/>
          <w:color w:val="auto"/>
        </w:rPr>
      </w:pPr>
      <w:r>
        <w:rPr>
          <w:rFonts w:ascii="Courier New" w:cs="Courier New" w:eastAsia="Courier New" w:hAnsi="Courier New"/>
          <w:sz w:val="15"/>
          <w:szCs w:val="15"/>
          <w:color w:val="auto"/>
        </w:rPr>
        <w:t>MINNEAPOLIS,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420" w:val="left"/>
        </w:tabs>
        <w:rPr>
          <w:sz w:val="20"/>
          <w:szCs w:val="20"/>
          <w:color w:val="auto"/>
        </w:rPr>
      </w:pPr>
      <w:r>
        <w:rPr>
          <w:rFonts w:ascii="Courier New" w:cs="Courier New" w:eastAsia="Courier New" w:hAnsi="Courier New"/>
          <w:sz w:val="15"/>
          <w:szCs w:val="15"/>
          <w:color w:val="auto"/>
        </w:rPr>
        <w:t>[HAWKINS LOGO]</w:t>
        <w:tab/>
        <w:t>HAWKINS CHEMICAL, INC.</w:t>
      </w:r>
    </w:p>
    <w:p>
      <w:pPr>
        <w:spacing w:after="0" w:line="5" w:lineRule="exact"/>
        <w:rPr>
          <w:sz w:val="20"/>
          <w:szCs w:val="20"/>
          <w:color w:val="auto"/>
        </w:rPr>
      </w:pPr>
    </w:p>
    <w:p>
      <w:pPr>
        <w:ind w:left="1440"/>
        <w:spacing w:after="0"/>
        <w:tabs>
          <w:tab w:leader="none" w:pos="6700" w:val="left"/>
        </w:tabs>
        <w:rPr>
          <w:sz w:val="20"/>
          <w:szCs w:val="20"/>
          <w:color w:val="auto"/>
        </w:rPr>
      </w:pPr>
      <w:r>
        <w:rPr>
          <w:rFonts w:ascii="Courier New" w:cs="Courier New" w:eastAsia="Courier New" w:hAnsi="Courier New"/>
          <w:sz w:val="15"/>
          <w:szCs w:val="15"/>
          <w:color w:val="auto"/>
        </w:rPr>
        <w:t>3100 EAST HENNEPIN AVENUE, MINNEAPOLIS, MINNESOTA 55413</w:t>
      </w:r>
      <w:r>
        <w:rPr>
          <w:sz w:val="20"/>
          <w:szCs w:val="20"/>
          <w:color w:val="auto"/>
        </w:rPr>
        <w:tab/>
      </w:r>
      <w:r>
        <w:rPr>
          <w:rFonts w:ascii="Courier New" w:cs="Courier New" w:eastAsia="Courier New" w:hAnsi="Courier New"/>
          <w:sz w:val="15"/>
          <w:szCs w:val="15"/>
          <w:color w:val="auto"/>
        </w:rPr>
        <w:t>PROXY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right="3039"/>
        <w:spacing w:after="0" w:line="247" w:lineRule="auto"/>
        <w:rPr>
          <w:sz w:val="20"/>
          <w:szCs w:val="20"/>
          <w:color w:val="auto"/>
        </w:rPr>
      </w:pPr>
      <w:r>
        <w:rPr>
          <w:rFonts w:ascii="Courier New" w:cs="Courier New" w:eastAsia="Courier New" w:hAnsi="Courier New"/>
          <w:sz w:val="15"/>
          <w:szCs w:val="15"/>
          <w:color w:val="auto"/>
        </w:rPr>
        <w:t>THIS PROXY IS SOLICITED BY THE BOARD OF DIRECTORS FOR USE AT THE ANNUAL MEETING ON FEBRUARY 14, 2001.</w:t>
      </w:r>
    </w:p>
    <w:p>
      <w:pPr>
        <w:spacing w:after="0" w:line="175" w:lineRule="exact"/>
        <w:rPr>
          <w:sz w:val="20"/>
          <w:szCs w:val="20"/>
          <w:color w:val="auto"/>
        </w:rPr>
      </w:pPr>
    </w:p>
    <w:p>
      <w:pPr>
        <w:ind w:right="3499"/>
        <w:spacing w:after="0" w:line="247" w:lineRule="auto"/>
        <w:rPr>
          <w:sz w:val="20"/>
          <w:szCs w:val="20"/>
          <w:color w:val="auto"/>
        </w:rPr>
      </w:pPr>
      <w:r>
        <w:rPr>
          <w:rFonts w:ascii="Courier New" w:cs="Courier New" w:eastAsia="Courier New" w:hAnsi="Courier New"/>
          <w:sz w:val="15"/>
          <w:szCs w:val="15"/>
          <w:color w:val="auto"/>
        </w:rPr>
        <w:t>The shares of stock you hold in your account or in a dividend reinvestment account will be voted as you specify on the reverse side.</w:t>
      </w:r>
    </w:p>
    <w:p>
      <w:pPr>
        <w:spacing w:after="0" w:line="175"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IF NO CHOICE IS SPECIFIED, THE PROXY WILL BE VOTED "FOR" ALL NOMINEES IN ITEM 1 AND "FOR" ITEM 2.</w:t>
      </w:r>
    </w:p>
    <w:p>
      <w:pPr>
        <w:spacing w:after="0" w:line="175"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By signing the proxy, you revoke all prior proxies and appoint John R. Hawkins, Kurt R. Norman and Marvin E. Dee, and each of them, with full power of substitution, to vote your shares on the matters shown on the reverse side and any other matters that may come before the Annual Meeting and all adjournments.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720"/>
        <w:spacing w:after="0"/>
        <w:rPr>
          <w:sz w:val="20"/>
          <w:szCs w:val="20"/>
          <w:color w:val="auto"/>
        </w:rPr>
      </w:pPr>
      <w:r>
        <w:rPr>
          <w:rFonts w:ascii="Courier New" w:cs="Courier New" w:eastAsia="Courier New" w:hAnsi="Courier New"/>
          <w:sz w:val="15"/>
          <w:szCs w:val="15"/>
          <w:color w:val="auto"/>
        </w:rPr>
        <w:t>SEE REVERSE FOR VOTING INSTRUCTIONS.</w:t>
      </w:r>
    </w:p>
    <w:p>
      <w:pPr>
        <w:sectPr>
          <w:pgSz w:w="11900" w:h="16838" w:orient="portrait"/>
          <w:cols w:equalWidth="0" w:num="1">
            <w:col w:w="10219"/>
          </w:cols>
          <w:pgMar w:left="240" w:top="643" w:right="1440" w:bottom="1440" w:gutter="0" w:footer="0" w:header="0"/>
        </w:sectPr>
      </w:pPr>
    </w:p>
    <w:bookmarkStart w:id="17" w:name="page18"/>
    <w:bookmarkEnd w:id="17"/>
    <w:p>
      <w:pPr>
        <w:ind w:left="2187"/>
        <w:spacing w:after="0"/>
        <w:tabs>
          <w:tab w:leader="none" w:pos="2526" w:val="left"/>
          <w:tab w:leader="none" w:pos="4426" w:val="left"/>
        </w:tabs>
        <w:rPr>
          <w:sz w:val="20"/>
          <w:szCs w:val="20"/>
          <w:color w:val="auto"/>
        </w:rPr>
      </w:pPr>
      <w:r>
        <w:rPr>
          <w:rFonts w:ascii="Courier New" w:cs="Courier New" w:eastAsia="Courier New" w:hAnsi="Courier New"/>
          <w:sz w:val="15"/>
          <w:szCs w:val="15"/>
          <w:color w:val="auto"/>
        </w:rPr>
        <w:t>V</w:t>
      </w:r>
      <w:r>
        <w:rPr>
          <w:sz w:val="20"/>
          <w:szCs w:val="20"/>
          <w:color w:val="auto"/>
        </w:rPr>
        <w:tab/>
      </w:r>
      <w:r>
        <w:rPr>
          <w:rFonts w:ascii="Courier New" w:cs="Courier New" w:eastAsia="Courier New" w:hAnsi="Courier New"/>
          <w:sz w:val="15"/>
          <w:szCs w:val="15"/>
          <w:color w:val="auto"/>
        </w:rPr>
        <w:t>PLEASE DETACH HERE</w:t>
        <w:tab/>
        <w:t>V</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354"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THE BOARD OF DIRECTORS RECOMMENDS A VOTE FOR ALL NOMINEES IN ITEM 1.</w:t>
      </w:r>
    </w:p>
    <w:p>
      <w:pPr>
        <w:sectPr>
          <w:pgSz w:w="11900" w:h="16838" w:orient="portrait"/>
          <w:cols w:equalWidth="0" w:num="1">
            <w:col w:w="11527"/>
          </w:cols>
          <w:pgMar w:left="233" w:top="1167" w:right="139" w:bottom="1440" w:gutter="0" w:footer="0" w:header="0"/>
        </w:sectPr>
      </w:pP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Election of directors:</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01 John R. Hawkins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02 Kurt R. Norman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03 Dean L. Hahn</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06 John S. McKeon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07 Duane M. Jergenson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08 G. Robert Gey</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Vote FOR</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all Nominees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(except as marked)</w:t>
      </w:r>
    </w:p>
    <w:p>
      <w:pPr>
        <w:spacing w:after="0" w:line="20" w:lineRule="exact"/>
        <w:rPr>
          <w:sz w:val="20"/>
          <w:szCs w:val="20"/>
          <w:color w:val="auto"/>
        </w:rPr>
      </w:pPr>
      <w:r>
        <w:rPr>
          <w:sz w:val="20"/>
          <w:szCs w:val="20"/>
          <w:color w:val="auto"/>
        </w:rPr>
        <w:br w:type="column"/>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Vote WITHHELD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ALL nominees</w:t>
      </w:r>
    </w:p>
    <w:p>
      <w:pPr>
        <w:spacing w:after="0" w:line="179" w:lineRule="exact"/>
        <w:rPr>
          <w:sz w:val="20"/>
          <w:szCs w:val="20"/>
          <w:color w:val="auto"/>
        </w:rPr>
      </w:pPr>
    </w:p>
    <w:p>
      <w:pPr>
        <w:sectPr>
          <w:pgSz w:w="11900" w:h="16838" w:orient="portrait"/>
          <w:cols w:equalWidth="0" w:num="5">
            <w:col w:w="2267" w:space="460"/>
            <w:col w:w="1640" w:space="260"/>
            <w:col w:w="1920" w:space="540"/>
            <w:col w:w="2000" w:space="360"/>
            <w:col w:w="2080"/>
          </w:cols>
          <w:pgMar w:left="233" w:top="1167" w:right="139" w:bottom="1440" w:gutter="0" w:footer="0" w:header="0"/>
          <w:type w:val="continuous"/>
        </w:sectPr>
      </w:pPr>
    </w:p>
    <w:p>
      <w:pPr>
        <w:ind w:left="2727"/>
        <w:spacing w:after="0"/>
        <w:rPr>
          <w:sz w:val="20"/>
          <w:szCs w:val="20"/>
          <w:color w:val="auto"/>
        </w:rPr>
      </w:pPr>
      <w:r>
        <w:rPr>
          <w:rFonts w:ascii="Courier New" w:cs="Courier New" w:eastAsia="Courier New" w:hAnsi="Courier New"/>
          <w:sz w:val="15"/>
          <w:szCs w:val="15"/>
          <w:color w:val="auto"/>
        </w:rPr>
        <w:t>04 Donald L. Shipp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09 Daryl I. Skaar</w:t>
      </w:r>
    </w:p>
    <w:p>
      <w:pPr>
        <w:spacing w:after="0" w:line="5" w:lineRule="exact"/>
        <w:rPr>
          <w:sz w:val="20"/>
          <w:szCs w:val="20"/>
          <w:color w:val="auto"/>
        </w:rPr>
      </w:pPr>
    </w:p>
    <w:p>
      <w:pPr>
        <w:sectPr>
          <w:pgSz w:w="11900" w:h="16838" w:orient="portrait"/>
          <w:cols w:equalWidth="0" w:num="2">
            <w:col w:w="4367" w:space="260"/>
            <w:col w:w="6900"/>
          </w:cols>
          <w:pgMar w:left="233" w:top="1167" w:right="139" w:bottom="1440" w:gutter="0" w:footer="0" w:header="0"/>
          <w:type w:val="continuous"/>
        </w:sectPr>
      </w:pPr>
    </w:p>
    <w:p>
      <w:pPr>
        <w:ind w:left="2727"/>
        <w:spacing w:after="0"/>
        <w:rPr>
          <w:sz w:val="20"/>
          <w:szCs w:val="20"/>
          <w:color w:val="auto"/>
        </w:rPr>
      </w:pPr>
      <w:r>
        <w:rPr>
          <w:rFonts w:ascii="Courier New" w:cs="Courier New" w:eastAsia="Courier New" w:hAnsi="Courier New"/>
          <w:sz w:val="15"/>
          <w:szCs w:val="15"/>
          <w:color w:val="auto"/>
        </w:rPr>
        <w:t>05 Howard M. Hawkins</w:t>
      </w:r>
    </w:p>
    <w:p>
      <w:pPr>
        <w:sectPr>
          <w:pgSz w:w="11900" w:h="16838" w:orient="portrait"/>
          <w:cols w:equalWidth="0" w:num="1">
            <w:col w:w="11527"/>
          </w:cols>
          <w:pgMar w:left="233" w:top="1167" w:right="139" w:bottom="1440" w:gutter="0" w:footer="0" w:header="0"/>
          <w:type w:val="continuous"/>
        </w:sectPr>
      </w:pPr>
    </w:p>
    <w:p>
      <w:pPr>
        <w:spacing w:after="0" w:line="180" w:lineRule="exact"/>
        <w:rPr>
          <w:sz w:val="20"/>
          <w:szCs w:val="20"/>
          <w:color w:val="auto"/>
        </w:rPr>
      </w:pPr>
    </w:p>
    <w:p>
      <w:pPr>
        <w:jc w:val="both"/>
        <w:ind w:left="7"/>
        <w:spacing w:after="0" w:line="246" w:lineRule="auto"/>
        <w:rPr>
          <w:sz w:val="20"/>
          <w:szCs w:val="20"/>
          <w:color w:val="auto"/>
        </w:rPr>
      </w:pPr>
      <w:r>
        <w:rPr>
          <w:rFonts w:ascii="Courier New" w:cs="Courier New" w:eastAsia="Courier New" w:hAnsi="Courier New"/>
          <w:sz w:val="15"/>
          <w:szCs w:val="15"/>
          <w:color w:val="auto"/>
        </w:rPr>
        <w:t>(INSTRUCTIONS: TO WITHHOLD AUTHORITY TO VOTE FOR ANY INDICATED NOMINEE, WRITE THE NUMBER(S) OF THE NOMINEE(S) IN THE BOX PROVIDED TO THE RIGHT.)</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9" w:lineRule="exact"/>
        <w:rPr>
          <w:sz w:val="20"/>
          <w:szCs w:val="20"/>
          <w:color w:val="auto"/>
        </w:rPr>
      </w:pPr>
    </w:p>
    <w:p>
      <w:pPr>
        <w:sectPr>
          <w:pgSz w:w="11900" w:h="16838" w:orient="portrait"/>
          <w:cols w:equalWidth="0" w:num="2">
            <w:col w:w="6547" w:space="540"/>
            <w:col w:w="4440"/>
          </w:cols>
          <w:pgMar w:left="233" w:top="1167" w:right="139" w:bottom="1440" w:gutter="0" w:footer="0" w:header="0"/>
          <w:type w:val="continuous"/>
        </w:sectPr>
      </w:pPr>
    </w:p>
    <w:p>
      <w:pPr>
        <w:ind w:left="7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1087"/>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2. Amendment of Articles of Incorporation to change corporate name</w:t>
      </w:r>
    </w:p>
    <w:p>
      <w:pPr>
        <w:sectPr>
          <w:pgSz w:w="11900" w:h="16838" w:orient="portrait"/>
          <w:cols w:equalWidth="0" w:num="1">
            <w:col w:w="11527"/>
          </w:cols>
          <w:pgMar w:left="233" w:top="1167" w:right="139" w:bottom="1440" w:gutter="0" w:footer="0" w:header="0"/>
          <w:type w:val="continuous"/>
        </w:sectPr>
      </w:pPr>
    </w:p>
    <w:p>
      <w:pPr>
        <w:spacing w:after="0" w:line="5" w:lineRule="exact"/>
        <w:rPr>
          <w:sz w:val="20"/>
          <w:szCs w:val="20"/>
          <w:color w:val="auto"/>
        </w:rPr>
      </w:pPr>
    </w:p>
    <w:p>
      <w:pPr>
        <w:ind w:left="267"/>
        <w:spacing w:after="0"/>
        <w:rPr>
          <w:sz w:val="20"/>
          <w:szCs w:val="20"/>
          <w:color w:val="auto"/>
        </w:rPr>
      </w:pPr>
      <w:r>
        <w:rPr>
          <w:rFonts w:ascii="Courier New" w:cs="Courier New" w:eastAsia="Courier New" w:hAnsi="Courier New"/>
          <w:sz w:val="15"/>
          <w:szCs w:val="15"/>
          <w:color w:val="auto"/>
        </w:rPr>
        <w:t>to "Hawkins,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FOR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AGAINST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 ABSTAIN</w:t>
      </w:r>
    </w:p>
    <w:p>
      <w:pPr>
        <w:spacing w:after="0" w:line="180" w:lineRule="exact"/>
        <w:rPr>
          <w:sz w:val="20"/>
          <w:szCs w:val="20"/>
          <w:color w:val="auto"/>
        </w:rPr>
      </w:pPr>
    </w:p>
    <w:p>
      <w:pPr>
        <w:sectPr>
          <w:pgSz w:w="11900" w:h="16838" w:orient="portrait"/>
          <w:cols w:equalWidth="0" w:num="4">
            <w:col w:w="5827" w:space="720"/>
            <w:col w:w="1180" w:space="720"/>
            <w:col w:w="1200" w:space="720"/>
            <w:col w:w="1160"/>
          </w:cols>
          <w:pgMar w:left="233" w:top="1167" w:right="139" w:bottom="1440" w:gutter="0" w:footer="0" w:header="0"/>
          <w:type w:val="continuous"/>
        </w:sectPr>
      </w:pPr>
    </w:p>
    <w:p>
      <w:pPr>
        <w:ind w:left="267" w:hanging="267"/>
        <w:spacing w:after="0"/>
        <w:tabs>
          <w:tab w:leader="none" w:pos="26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w:t>
      </w:r>
    </w:p>
    <w:p>
      <w:pPr>
        <w:spacing w:after="0" w:line="179" w:lineRule="exact"/>
        <w:rPr>
          <w:rFonts w:ascii="Courier New" w:cs="Courier New" w:eastAsia="Courier New" w:hAnsi="Courier New"/>
          <w:sz w:val="15"/>
          <w:szCs w:val="15"/>
          <w:color w:val="auto"/>
        </w:rPr>
      </w:pPr>
    </w:p>
    <w:p>
      <w:pPr>
        <w:ind w:left="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THIS PROXY WHEN PROPERLY EXECUTED WILL BE VOTED AS DIRECTED OR, IF NO DIRECTION IS GIVEN, WILL BE VOTED FOR EACH PROPOSAL.</w:t>
      </w:r>
    </w:p>
    <w:p>
      <w:pPr>
        <w:spacing w:after="0" w:line="180" w:lineRule="exact"/>
        <w:rPr>
          <w:sz w:val="20"/>
          <w:szCs w:val="20"/>
          <w:color w:val="auto"/>
        </w:rPr>
      </w:pPr>
    </w:p>
    <w:p>
      <w:pPr>
        <w:ind w:left="7"/>
        <w:spacing w:after="0"/>
        <w:tabs>
          <w:tab w:leader="none" w:pos="1526" w:val="left"/>
          <w:tab w:leader="none" w:pos="2426" w:val="left"/>
        </w:tabs>
        <w:rPr>
          <w:sz w:val="20"/>
          <w:szCs w:val="20"/>
          <w:color w:val="auto"/>
        </w:rPr>
      </w:pPr>
      <w:r>
        <w:rPr>
          <w:rFonts w:ascii="Courier New" w:cs="Courier New" w:eastAsia="Courier New" w:hAnsi="Courier New"/>
          <w:sz w:val="15"/>
          <w:szCs w:val="15"/>
          <w:color w:val="auto"/>
        </w:rPr>
        <w:t>Address Change?</w:t>
        <w:tab/>
        <w:t>Mark Box</w:t>
        <w:tab/>
        <w:t>/ /</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Indicate changes below:</w:t>
      </w:r>
    </w:p>
    <w:p>
      <w:pPr>
        <w:spacing w:after="0" w:line="180" w:lineRule="exact"/>
        <w:rPr>
          <w:sz w:val="20"/>
          <w:szCs w:val="20"/>
          <w:color w:val="auto"/>
        </w:rPr>
      </w:pPr>
    </w:p>
    <w:p>
      <w:pPr>
        <w:ind w:left="8547"/>
        <w:spacing w:after="0"/>
        <w:rPr>
          <w:sz w:val="20"/>
          <w:szCs w:val="20"/>
          <w:color w:val="auto"/>
        </w:rPr>
      </w:pPr>
      <w:r>
        <w:rPr>
          <w:rFonts w:ascii="Courier New" w:cs="Courier New" w:eastAsia="Courier New" w:hAnsi="Courier New"/>
          <w:sz w:val="15"/>
          <w:szCs w:val="15"/>
          <w:color w:val="auto"/>
        </w:rPr>
        <w:t>Date</w:t>
      </w:r>
    </w:p>
    <w:p>
      <w:pPr>
        <w:spacing w:after="0" w:line="5" w:lineRule="exact"/>
        <w:rPr>
          <w:sz w:val="20"/>
          <w:szCs w:val="20"/>
          <w:color w:val="auto"/>
        </w:rPr>
      </w:pPr>
    </w:p>
    <w:p>
      <w:pPr>
        <w:ind w:left="9007"/>
        <w:spacing w:after="0"/>
        <w:rPr>
          <w:sz w:val="20"/>
          <w:szCs w:val="20"/>
          <w:color w:val="auto"/>
        </w:rPr>
      </w:pPr>
      <w:r>
        <w:rPr>
          <w:rFonts w:ascii="Courier New" w:cs="Courier New" w:eastAsia="Courier New" w:hAnsi="Courier New"/>
          <w:sz w:val="15"/>
          <w:szCs w:val="15"/>
          <w:color w:val="auto"/>
        </w:rPr>
        <w:t>--------------------------</w:t>
      </w:r>
    </w:p>
    <w:p>
      <w:pPr>
        <w:spacing w:after="0" w:line="354"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w:t>
      </w:r>
    </w:p>
    <w:p>
      <w:pPr>
        <w:spacing w:after="0" w:line="180"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Signature(s) In Box</w:t>
      </w:r>
    </w:p>
    <w:p>
      <w:pPr>
        <w:spacing w:after="0" w:line="180"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(Please sign exactly as your name</w:t>
      </w:r>
    </w:p>
    <w:p>
      <w:pPr>
        <w:spacing w:after="0" w:line="5" w:lineRule="exact"/>
        <w:rPr>
          <w:sz w:val="20"/>
          <w:szCs w:val="20"/>
          <w:color w:val="auto"/>
        </w:rPr>
      </w:pPr>
    </w:p>
    <w:p>
      <w:pPr>
        <w:ind w:left="8087"/>
        <w:spacing w:after="0"/>
        <w:tabs>
          <w:tab w:leader="none" w:pos="10066" w:val="left"/>
        </w:tabs>
        <w:rPr>
          <w:sz w:val="20"/>
          <w:szCs w:val="20"/>
          <w:color w:val="auto"/>
        </w:rPr>
      </w:pPr>
      <w:r>
        <w:rPr>
          <w:rFonts w:ascii="Courier New" w:cs="Courier New" w:eastAsia="Courier New" w:hAnsi="Courier New"/>
          <w:sz w:val="15"/>
          <w:szCs w:val="15"/>
          <w:color w:val="auto"/>
        </w:rPr>
        <w:t>appears to the left.</w:t>
        <w:tab/>
        <w:t>When shares are</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held by joint tenants, both should</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sign. When signing as executor,</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administrator, attorney, trustee or</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guardian, please give full title as</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such. If a corporation, please sign in</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full corporate name by president or</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other authorized officer. If a</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partnership, please sign in</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partnership name by an authorized</w:t>
      </w:r>
    </w:p>
    <w:p>
      <w:pPr>
        <w:spacing w:after="0" w:line="5" w:lineRule="exact"/>
        <w:rPr>
          <w:sz w:val="20"/>
          <w:szCs w:val="20"/>
          <w:color w:val="auto"/>
        </w:rPr>
      </w:pPr>
    </w:p>
    <w:p>
      <w:pPr>
        <w:ind w:left="8087"/>
        <w:spacing w:after="0"/>
        <w:rPr>
          <w:sz w:val="20"/>
          <w:szCs w:val="20"/>
          <w:color w:val="auto"/>
        </w:rPr>
      </w:pPr>
      <w:r>
        <w:rPr>
          <w:rFonts w:ascii="Courier New" w:cs="Courier New" w:eastAsia="Courier New" w:hAnsi="Courier New"/>
          <w:sz w:val="15"/>
          <w:szCs w:val="15"/>
          <w:color w:val="auto"/>
        </w:rPr>
        <w:t>person.)</w:t>
      </w:r>
    </w:p>
    <w:sectPr>
      <w:pgSz w:w="11900" w:h="16838" w:orient="portrait"/>
      <w:cols w:equalWidth="0" w:num="1">
        <w:col w:w="11527"/>
      </w:cols>
      <w:pgMar w:left="233" w:top="1167"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2"/>
      <w:numFmt w:val="bullet"/>
      <w:start w:val="1"/>
    </w:lvl>
  </w:abstractNum>
  <w:abstractNum w:abstractNumId="4">
    <w:nsid w:val="4E6AFB66"/>
    <w:multiLevelType w:val="hybridMultilevel"/>
    <w:lvl w:ilvl="0">
      <w:lvlJc w:val="left"/>
      <w:lvlText w:val="3"/>
      <w:numFmt w:val="bullet"/>
      <w:start w:val="1"/>
    </w:lvl>
  </w:abstractNum>
  <w:abstractNum w:abstractNumId="5">
    <w:nsid w:val="25E45D32"/>
    <w:multiLevelType w:val="hybridMultilevel"/>
    <w:lvl w:ilvl="0">
      <w:lvlJc w:val="left"/>
      <w:lvlText w:val="4"/>
      <w:numFmt w:val="bullet"/>
      <w:start w:val="1"/>
    </w:lvl>
  </w:abstractNum>
  <w:abstractNum w:abstractNumId="6">
    <w:nsid w:val="519B500D"/>
    <w:multiLevelType w:val="hybridMultilevel"/>
    <w:lvl w:ilvl="0">
      <w:lvlJc w:val="left"/>
      <w:lvlText w:val="/"/>
      <w:numFmt w:val="bullet"/>
      <w:start w:val="1"/>
    </w:lvl>
    <w:lvl w:ilvl="1">
      <w:lvlJc w:val="left"/>
      <w:lvlText w:val="5"/>
      <w:numFmt w:val="bullet"/>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lowerLetter"/>
      <w:start w:val="1"/>
    </w:lvl>
  </w:abstractNum>
  <w:abstractNum w:abstractNumId="10">
    <w:nsid w:val="257130A3"/>
    <w:multiLevelType w:val="hybridMultilevel"/>
    <w:lvl w:ilvl="0">
      <w:lvlJc w:val="left"/>
      <w:lvlText w:val="(%1)"/>
      <w:numFmt w:val="lowerLetter"/>
      <w:start w:val="3"/>
    </w:lvl>
  </w:abstractNum>
  <w:abstractNum w:abstractNumId="11">
    <w:nsid w:val="62BBD95A"/>
    <w:multiLevelType w:val="hybridMultilevel"/>
    <w:lvl w:ilvl="0">
      <w:lvlJc w:val="left"/>
      <w:lvlText w:val="%1"/>
      <w:numFmt w:val="decimal"/>
      <w:start w:val="54"/>
    </w:lvl>
  </w:abstractNum>
  <w:abstractNum w:abstractNumId="12">
    <w:nsid w:val="436C6125"/>
    <w:multiLevelType w:val="hybridMultilevel"/>
    <w:lvl w:ilvl="0">
      <w:lvlJc w:val="left"/>
      <w:lvlText w:val="%1"/>
      <w:numFmt w:val="decimal"/>
      <w:start w:val="56"/>
    </w:lvl>
  </w:abstractNum>
  <w:abstractNum w:abstractNumId="13">
    <w:nsid w:val="628C895D"/>
    <w:multiLevelType w:val="hybridMultilevel"/>
    <w:lvl w:ilvl="0">
      <w:lvlJc w:val="left"/>
      <w:lvlText w:val="(%1)"/>
      <w:numFmt w:val="decimal"/>
      <w:start w:val="3"/>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upperLetter"/>
      <w:start w:val="9"/>
    </w:lvl>
  </w:abstractNum>
  <w:abstractNum w:abstractNumId="16">
    <w:nsid w:val="2443A858"/>
    <w:multiLevelType w:val="hybridMultilevel"/>
    <w:lvl w:ilvl="0">
      <w:lvlJc w:val="left"/>
      <w:lvlText w:val="%1."/>
      <w:numFmt w:val="upperLetter"/>
      <w:start w:val="34"/>
    </w:lvl>
    <w:lvl w:ilvl="1">
      <w:lvlJc w:val="left"/>
      <w:lvlText w:val="-"/>
      <w:numFmt w:val="bullet"/>
      <w:start w:val="1"/>
    </w:lvl>
  </w:abstractNum>
  <w:abstractNum w:abstractNumId="17">
    <w:nsid w:val="2D1D5AE9"/>
    <w:multiLevelType w:val="hybridMultilevel"/>
    <w:lvl w:ilvl="0">
      <w:lvlJc w:val="left"/>
      <w:lvlText w:val="%1."/>
      <w:numFmt w:val="upperLetter"/>
      <w:start w:val="61"/>
    </w:lvl>
  </w:abstractNum>
  <w:abstractNum w:abstractNumId="18">
    <w:nsid w:val="6763845E"/>
    <w:multiLevelType w:val="hybridMultilevel"/>
    <w:lvl w:ilvl="0">
      <w:lvlJc w:val="left"/>
      <w:lvlText w:val="%1."/>
      <w:numFmt w:val="upperLetter"/>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1."/>
      <w:numFmt w:val="upperLetter"/>
      <w:start w:val="2"/>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1."/>
      <w:numFmt w:val="upperLetter"/>
      <w:start w:val="3"/>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upperLetter"/>
      <w:start w:val="4"/>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2019-12-13T01:48:28Z</dcterms:created>
  <dcterms:modified xsi:type="dcterms:W3CDTF">2019-12-13T01:48:28Z</dcterms:modified>
</cp:coreProperties>
</file>