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January 1, 2012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MINNESOTA</w:t>
            </w:r>
          </w:p>
        </w:tc>
        <w:tc>
          <w:tcPr>
            <w:tcW w:w="5760" w:type="dxa"/>
            <w:vAlign w:val="bottom"/>
            <w:tcBorders>
              <w:bottom w:val="single" w:sz="8" w:color="auto"/>
            </w:tcBorders>
          </w:tcPr>
          <w:p>
            <w:pPr>
              <w:jc w:val="right"/>
              <w:ind w:right="2232"/>
              <w:spacing w:after="0"/>
              <w:rPr>
                <w:sz w:val="20"/>
                <w:szCs w:val="20"/>
                <w:color w:val="auto"/>
              </w:rPr>
            </w:pPr>
            <w:r>
              <w:rPr>
                <w:rFonts w:ascii="Arial" w:cs="Arial" w:eastAsia="Arial" w:hAnsi="Arial"/>
                <w:sz w:val="18"/>
                <w:szCs w:val="18"/>
                <w:b w:val="1"/>
                <w:bCs w:val="1"/>
                <w:color w:val="auto"/>
              </w:rPr>
              <w:t>41-0771293</w:t>
            </w:r>
          </w:p>
        </w:tc>
      </w:tr>
      <w:tr>
        <w:trPr>
          <w:trHeight w:val="216"/>
        </w:trPr>
        <w:tc>
          <w:tcPr>
            <w:tcW w:w="5660" w:type="dxa"/>
            <w:vAlign w:val="bottom"/>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5760" w:type="dxa"/>
            <w:vAlign w:val="bottom"/>
          </w:tcPr>
          <w:p>
            <w:pPr>
              <w:jc w:val="center"/>
              <w:ind w:left="21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5660" w:type="dxa"/>
            <w:vAlign w:val="bottom"/>
          </w:tcPr>
          <w:p>
            <w:pPr>
              <w:jc w:val="center"/>
              <w:spacing w:after="0"/>
              <w:rPr>
                <w:sz w:val="20"/>
                <w:szCs w:val="20"/>
                <w:color w:val="auto"/>
              </w:rPr>
            </w:pPr>
            <w:r>
              <w:rPr>
                <w:rFonts w:ascii="Arial" w:cs="Arial" w:eastAsia="Arial" w:hAnsi="Arial"/>
                <w:sz w:val="18"/>
                <w:szCs w:val="18"/>
                <w:color w:val="auto"/>
                <w:w w:val="90"/>
              </w:rPr>
              <w:t>incorporation or organization)</w:t>
            </w:r>
          </w:p>
        </w:tc>
        <w:tc>
          <w:tcPr>
            <w:tcW w:w="5760" w:type="dxa"/>
            <w:vAlign w:val="bottom"/>
          </w:tcPr>
          <w:p>
            <w:pPr>
              <w:spacing w:after="0"/>
              <w:rPr>
                <w:sz w:val="19"/>
                <w:szCs w:val="19"/>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1" w:lineRule="exact"/>
        <w:rPr>
          <w:sz w:val="24"/>
          <w:szCs w:val="24"/>
          <w:color w:val="auto"/>
        </w:rPr>
      </w:pPr>
    </w:p>
    <w:p>
      <w:pPr>
        <w:jc w:val="both"/>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99" w:lineRule="exact"/>
        <w:rPr>
          <w:sz w:val="24"/>
          <w:szCs w:val="24"/>
          <w:color w:val="auto"/>
        </w:rPr>
      </w:pPr>
    </w:p>
    <w:p>
      <w:pPr>
        <w:spacing w:after="0" w:line="207" w:lineRule="exact"/>
        <w:tabs>
          <w:tab w:leader="none" w:pos="2060" w:val="left"/>
          <w:tab w:leader="none" w:pos="3700" w:val="left"/>
          <w:tab w:leader="none" w:pos="57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700"/>
        <w:spacing w:after="0" w:line="207" w:lineRule="exact"/>
        <w:tabs>
          <w:tab w:leader="none" w:pos="1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CLASS</w:t>
            </w:r>
          </w:p>
        </w:tc>
        <w:tc>
          <w:tcPr>
            <w:tcW w:w="568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93"/>
              </w:rPr>
              <w:t>OUTSTANDING AT JANUARY 31, 2012</w:t>
            </w:r>
          </w:p>
        </w:tc>
      </w:tr>
      <w:tr>
        <w:trPr>
          <w:trHeight w:val="222"/>
        </w:trPr>
        <w:tc>
          <w:tcPr>
            <w:tcW w:w="5740" w:type="dxa"/>
            <w:vAlign w:val="bottom"/>
          </w:tcPr>
          <w:p>
            <w:pPr>
              <w:jc w:val="center"/>
              <w:spacing w:after="0"/>
              <w:rPr>
                <w:sz w:val="20"/>
                <w:szCs w:val="20"/>
                <w:color w:val="auto"/>
              </w:rPr>
            </w:pPr>
            <w:r>
              <w:rPr>
                <w:rFonts w:ascii="Arial" w:cs="Arial" w:eastAsia="Arial" w:hAnsi="Arial"/>
                <w:sz w:val="18"/>
                <w:szCs w:val="18"/>
                <w:color w:val="auto"/>
                <w:w w:val="87"/>
              </w:rPr>
              <w:t>Common Stock, par value $.05 per share</w:t>
            </w:r>
          </w:p>
        </w:tc>
        <w:tc>
          <w:tcPr>
            <w:tcW w:w="5680" w:type="dxa"/>
            <w:vAlign w:val="bottom"/>
          </w:tcPr>
          <w:p>
            <w:pPr>
              <w:jc w:val="right"/>
              <w:ind w:right="2252"/>
              <w:spacing w:after="0"/>
              <w:rPr>
                <w:sz w:val="20"/>
                <w:szCs w:val="20"/>
                <w:color w:val="auto"/>
              </w:rPr>
            </w:pPr>
            <w:r>
              <w:rPr>
                <w:rFonts w:ascii="Arial" w:cs="Arial" w:eastAsia="Arial" w:hAnsi="Arial"/>
                <w:sz w:val="18"/>
                <w:szCs w:val="18"/>
                <w:color w:val="auto"/>
              </w:rPr>
              <w:t>10,428,296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16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78"/>
        </w:trPr>
        <w:tc>
          <w:tcPr>
            <w:tcW w:w="1260" w:type="dxa"/>
            <w:vAlign w:val="bottom"/>
            <w:vMerge w:val="continue"/>
          </w:tcPr>
          <w:p>
            <w:pPr>
              <w:spacing w:after="0"/>
              <w:rPr>
                <w:sz w:val="15"/>
                <w:szCs w:val="15"/>
                <w:color w:val="auto"/>
              </w:rPr>
            </w:pPr>
          </w:p>
        </w:tc>
        <w:tc>
          <w:tcPr>
            <w:tcW w:w="9160" w:type="dxa"/>
            <w:vAlign w:val="bottom"/>
            <w:gridSpan w:val="10"/>
            <w:vMerge w:val="continue"/>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91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91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January 1, 2012 and April 3, 2011</w:t>
              </w:r>
            </w:hyperlink>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85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Income – Three and Nine Months Ended January 1, 2012 and December 31, 2010</w:t>
              </w:r>
            </w:hyperlink>
          </w:p>
        </w:tc>
        <w:tc>
          <w:tcPr>
            <w:tcW w:w="620" w:type="dxa"/>
            <w:vAlign w:val="bottom"/>
          </w:tcPr>
          <w:p>
            <w:pPr>
              <w:spacing w:after="0"/>
              <w:rPr>
                <w:sz w:val="24"/>
                <w:szCs w:val="24"/>
                <w:color w:val="auto"/>
              </w:rPr>
            </w:pP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4"/>
                <w:szCs w:val="24"/>
                <w:color w:val="auto"/>
              </w:rPr>
            </w:pPr>
          </w:p>
        </w:tc>
        <w:tc>
          <w:tcPr>
            <w:tcW w:w="9160" w:type="dxa"/>
            <w:vAlign w:val="bottom"/>
            <w:gridSpan w:val="10"/>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Cash Flows –Nine Months Ended January 1, 2012 and December 31, 2010</w:t>
              </w:r>
            </w:hyperlink>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4"/>
                <w:szCs w:val="24"/>
                <w:color w:val="auto"/>
              </w:rPr>
            </w:pPr>
          </w:p>
        </w:tc>
        <w:tc>
          <w:tcPr>
            <w:tcW w:w="8040" w:type="dxa"/>
            <w:vAlign w:val="bottom"/>
            <w:tcBorders>
              <w:top w:val="single" w:sz="8" w:color="0000EE"/>
            </w:tcBorders>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120" w:type="dxa"/>
            <w:vAlign w:val="bottom"/>
            <w:gridSpan w:val="2"/>
          </w:tcPr>
          <w:p>
            <w:pPr>
              <w:spacing w:after="0"/>
              <w:rPr>
                <w:sz w:val="24"/>
                <w:szCs w:val="24"/>
                <w:color w:val="auto"/>
              </w:rPr>
            </w:pP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Management’s Discussion and Analysis of Financial Condition and Results of Operations</w:t>
              </w:r>
            </w:hyperlink>
          </w:p>
        </w:tc>
        <w:tc>
          <w:tcPr>
            <w:tcW w:w="2860" w:type="dxa"/>
            <w:vAlign w:val="bottom"/>
            <w:gridSpan w:val="3"/>
          </w:tcPr>
          <w:p>
            <w:pPr>
              <w:spacing w:after="0"/>
              <w:rPr>
                <w:sz w:val="24"/>
                <w:szCs w:val="24"/>
                <w:color w:val="auto"/>
              </w:rPr>
            </w:pPr>
          </w:p>
        </w:tc>
        <w:tc>
          <w:tcPr>
            <w:tcW w:w="1000" w:type="dxa"/>
            <w:vAlign w:val="bottom"/>
          </w:tcPr>
          <w:p>
            <w:pPr>
              <w:jc w:val="center"/>
              <w:ind w:left="532"/>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Quantitative and Qualitative Disclosures about Market Risk</w:t>
              </w:r>
            </w:hyperlink>
          </w:p>
        </w:tc>
        <w:tc>
          <w:tcPr>
            <w:tcW w:w="4960" w:type="dxa"/>
            <w:vAlign w:val="bottom"/>
            <w:gridSpan w:val="5"/>
          </w:tcPr>
          <w:p>
            <w:pPr>
              <w:spacing w:after="0"/>
              <w:rPr>
                <w:sz w:val="24"/>
                <w:szCs w:val="24"/>
                <w:color w:val="auto"/>
              </w:rPr>
            </w:pPr>
          </w:p>
        </w:tc>
        <w:tc>
          <w:tcPr>
            <w:tcW w:w="1000" w:type="dxa"/>
            <w:vAlign w:val="bottom"/>
          </w:tcPr>
          <w:p>
            <w:pPr>
              <w:jc w:val="center"/>
              <w:ind w:left="532"/>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Controls and Procedures</w:t>
              </w:r>
            </w:hyperlink>
          </w:p>
        </w:tc>
        <w:tc>
          <w:tcPr>
            <w:tcW w:w="7440" w:type="dxa"/>
            <w:vAlign w:val="bottom"/>
            <w:gridSpan w:val="9"/>
          </w:tcPr>
          <w:p>
            <w:pPr>
              <w:spacing w:after="0"/>
              <w:rPr>
                <w:sz w:val="24"/>
                <w:szCs w:val="24"/>
                <w:color w:val="auto"/>
              </w:rPr>
            </w:pPr>
          </w:p>
        </w:tc>
        <w:tc>
          <w:tcPr>
            <w:tcW w:w="1000" w:type="dxa"/>
            <w:vAlign w:val="bottom"/>
          </w:tcPr>
          <w:p>
            <w:pPr>
              <w:jc w:val="center"/>
              <w:ind w:left="532"/>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3180" w:type="dxa"/>
            <w:vAlign w:val="bottom"/>
            <w:gridSpan w:val="5"/>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OTHER INFORMATION</w:t>
              </w:r>
            </w:hyperlink>
          </w:p>
        </w:tc>
        <w:tc>
          <w:tcPr>
            <w:tcW w:w="6980" w:type="dxa"/>
            <w:vAlign w:val="bottom"/>
          </w:tcPr>
          <w:p>
            <w:pPr>
              <w:spacing w:after="0"/>
              <w:rPr>
                <w:sz w:val="17"/>
                <w:szCs w:val="17"/>
                <w:color w:val="auto"/>
              </w:rPr>
            </w:pPr>
          </w:p>
        </w:tc>
      </w:tr>
      <w:tr>
        <w:trPr>
          <w:trHeight w:val="412"/>
        </w:trPr>
        <w:tc>
          <w:tcPr>
            <w:tcW w:w="12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Legal Proceedings</w:t>
              </w:r>
            </w:hyperlink>
          </w:p>
        </w:tc>
        <w:tc>
          <w:tcPr>
            <w:tcW w:w="66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6980" w:type="dxa"/>
            <w:vAlign w:val="bottom"/>
          </w:tcPr>
          <w:p>
            <w:pPr>
              <w:jc w:val="right"/>
              <w:ind w:right="9"/>
              <w:spacing w:after="0"/>
              <w:rPr>
                <w:sz w:val="20"/>
                <w:szCs w:val="20"/>
                <w:color w:val="auto"/>
              </w:rPr>
            </w:pPr>
            <w:r>
              <w:rPr>
                <w:rFonts w:ascii="Arial" w:cs="Arial" w:eastAsia="Arial" w:hAnsi="Arial"/>
                <w:sz w:val="18"/>
                <w:szCs w:val="18"/>
                <w:color w:val="auto"/>
              </w:rPr>
              <w:t>17</w:t>
            </w:r>
          </w:p>
        </w:tc>
      </w:tr>
      <w:tr>
        <w:trPr>
          <w:trHeight w:val="412"/>
        </w:trPr>
        <w:tc>
          <w:tcPr>
            <w:tcW w:w="12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2300" w:type="dxa"/>
            <w:vAlign w:val="bottom"/>
            <w:gridSpan w:val="3"/>
          </w:tcPr>
          <w:p>
            <w:pPr>
              <w:spacing w:after="0"/>
              <w:rPr>
                <w:sz w:val="24"/>
                <w:szCs w:val="24"/>
                <w:color w:val="auto"/>
              </w:rPr>
            </w:pPr>
          </w:p>
        </w:tc>
        <w:tc>
          <w:tcPr>
            <w:tcW w:w="6980" w:type="dxa"/>
            <w:vAlign w:val="bottom"/>
          </w:tcPr>
          <w:p>
            <w:pPr>
              <w:jc w:val="right"/>
              <w:ind w:right="9"/>
              <w:spacing w:after="0"/>
              <w:rPr>
                <w:sz w:val="20"/>
                <w:szCs w:val="20"/>
                <w:color w:val="auto"/>
              </w:rPr>
            </w:pPr>
            <w:r>
              <w:rPr>
                <w:rFonts w:ascii="Arial" w:cs="Arial" w:eastAsia="Arial" w:hAnsi="Arial"/>
                <w:sz w:val="18"/>
                <w:szCs w:val="18"/>
                <w:color w:val="auto"/>
              </w:rPr>
              <w:t>17</w:t>
            </w:r>
          </w:p>
        </w:tc>
      </w:tr>
      <w:tr>
        <w:trPr>
          <w:trHeight w:val="412"/>
        </w:trPr>
        <w:tc>
          <w:tcPr>
            <w:tcW w:w="1260" w:type="dxa"/>
            <w:vAlign w:val="bottom"/>
            <w:gridSpan w:val="3"/>
          </w:tcPr>
          <w:p>
            <w:pPr>
              <w:spacing w:after="0"/>
              <w:rPr>
                <w:sz w:val="20"/>
                <w:szCs w:val="20"/>
                <w:color w:val="auto"/>
              </w:rPr>
            </w:pPr>
            <w:r>
              <w:rPr>
                <w:rFonts w:ascii="Arial" w:cs="Arial" w:eastAsia="Arial" w:hAnsi="Arial"/>
                <w:sz w:val="18"/>
                <w:szCs w:val="18"/>
                <w:color w:val="auto"/>
              </w:rPr>
              <w:t>Item 6.</w:t>
            </w:r>
          </w:p>
        </w:tc>
        <w:tc>
          <w:tcPr>
            <w:tcW w:w="3180" w:type="dxa"/>
            <w:vAlign w:val="bottom"/>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6980" w:type="dxa"/>
            <w:vAlign w:val="bottom"/>
          </w:tcPr>
          <w:p>
            <w:pPr>
              <w:jc w:val="right"/>
              <w:ind w:right="9"/>
              <w:spacing w:after="0"/>
              <w:rPr>
                <w:sz w:val="20"/>
                <w:szCs w:val="20"/>
                <w:color w:val="auto"/>
              </w:rPr>
            </w:pPr>
            <w:r>
              <w:rPr>
                <w:rFonts w:ascii="Arial" w:cs="Arial" w:eastAsia="Arial" w:hAnsi="Arial"/>
                <w:sz w:val="18"/>
                <w:szCs w:val="18"/>
                <w:color w:val="auto"/>
              </w:rPr>
              <w:t>18</w:t>
            </w:r>
          </w:p>
        </w:tc>
      </w:tr>
      <w:tr>
        <w:trPr>
          <w:trHeight w:val="412"/>
        </w:trPr>
        <w:tc>
          <w:tcPr>
            <w:tcW w:w="126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980" w:type="dxa"/>
            <w:vAlign w:val="bottom"/>
          </w:tcPr>
          <w:p>
            <w:pPr>
              <w:jc w:val="right"/>
              <w:ind w:right="9"/>
              <w:spacing w:after="0"/>
              <w:rPr>
                <w:sz w:val="20"/>
                <w:szCs w:val="20"/>
                <w:color w:val="auto"/>
              </w:rPr>
            </w:pPr>
            <w:r>
              <w:rPr>
                <w:rFonts w:ascii="Arial" w:cs="Arial" w:eastAsia="Arial" w:hAnsi="Arial"/>
                <w:sz w:val="18"/>
                <w:szCs w:val="18"/>
                <w:color w:val="auto"/>
              </w:rPr>
              <w:t>18</w:t>
            </w: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412"/>
        </w:trPr>
        <w:tc>
          <w:tcPr>
            <w:tcW w:w="126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 Index</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980" w:type="dxa"/>
            <w:vAlign w:val="bottom"/>
          </w:tcPr>
          <w:p>
            <w:pPr>
              <w:jc w:val="right"/>
              <w:ind w:right="9"/>
              <w:spacing w:after="0"/>
              <w:rPr>
                <w:sz w:val="20"/>
                <w:szCs w:val="20"/>
                <w:color w:val="auto"/>
              </w:rPr>
            </w:pPr>
            <w:r>
              <w:rPr>
                <w:rFonts w:ascii="Arial" w:cs="Arial" w:eastAsia="Arial" w:hAnsi="Arial"/>
                <w:sz w:val="18"/>
                <w:szCs w:val="18"/>
                <w:color w:val="auto"/>
              </w:rPr>
              <w:t>19</w:t>
            </w:r>
          </w:p>
        </w:tc>
      </w:tr>
      <w:tr>
        <w:trPr>
          <w:trHeight w:val="422"/>
        </w:trPr>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980" w:type="dxa"/>
            <w:vAlign w:val="bottom"/>
          </w:tcPr>
          <w:p>
            <w:pPr>
              <w:jc w:val="right"/>
              <w:ind w:right="5569"/>
              <w:spacing w:after="0"/>
              <w:rPr>
                <w:sz w:val="20"/>
                <w:szCs w:val="20"/>
                <w:color w:val="auto"/>
              </w:rPr>
            </w:pPr>
            <w:r>
              <w:rPr>
                <w:rFonts w:ascii="Arial" w:cs="Arial" w:eastAsia="Arial" w:hAnsi="Arial"/>
                <w:sz w:val="22"/>
                <w:szCs w:val="22"/>
                <w:color w:val="auto"/>
              </w:rPr>
              <w:t>2</w:t>
            </w:r>
          </w:p>
        </w:tc>
      </w:tr>
      <w:tr>
        <w:trPr>
          <w:trHeight w:val="220"/>
        </w:trPr>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980" w:type="dxa"/>
            <w:vAlign w:val="bottom"/>
            <w:tcBorders>
              <w:bottom w:val="single" w:sz="8" w:color="auto"/>
            </w:tcBorders>
          </w:tcPr>
          <w:p>
            <w:pPr>
              <w:spacing w:after="0"/>
              <w:rPr>
                <w:sz w:val="19"/>
                <w:szCs w:val="19"/>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data)</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January 1, 2012</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3, 2011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95"/>
              </w:rPr>
              <w:t>(Unaudited)</w:t>
            </w:r>
          </w:p>
        </w:tc>
        <w:tc>
          <w:tcPr>
            <w:tcW w:w="8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Investments available-for-sale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10,971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receivables - less allowance for doubtful accounts: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$435 as of January 1, 2012 and $406 as of April 3, 2011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35,381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32,367</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6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100,393</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69,900</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7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6,495</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78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6,365</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191,655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185,005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7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 trade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payroll and employee benefits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Container deposits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1,329</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accruals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6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29,184</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7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38,027</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7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w w:val="96"/>
              </w:rPr>
              <w:t>Common stock, par value $0.05; 10,334,280 shares issued and outstanding as of January 1, 2012</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and 10,307,177 shares issued and outstanding as of April 3, 2011</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517</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42,512</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110,870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6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153,628</w:t>
            </w: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191,655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02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 (UNAUDITED)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 except share and per-share data)</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900" w:type="dxa"/>
            <w:vAlign w:val="bottom"/>
            <w:gridSpan w:val="4"/>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2580" w:type="dxa"/>
            <w:vAlign w:val="bottom"/>
            <w:gridSpan w:val="3"/>
          </w:tcPr>
          <w:p>
            <w:pPr>
              <w:ind w:left="540"/>
              <w:spacing w:after="0"/>
              <w:rPr>
                <w:sz w:val="20"/>
                <w:szCs w:val="20"/>
                <w:color w:val="auto"/>
              </w:rPr>
            </w:pPr>
            <w:r>
              <w:rPr>
                <w:rFonts w:ascii="Arial" w:cs="Arial" w:eastAsia="Arial" w:hAnsi="Arial"/>
                <w:sz w:val="18"/>
                <w:szCs w:val="18"/>
                <w:b w:val="1"/>
                <w:bCs w:val="1"/>
                <w:color w:val="auto"/>
              </w:rPr>
              <w:t>Nine Months Ended</w:t>
            </w:r>
          </w:p>
        </w:tc>
      </w:tr>
      <w:tr>
        <w:trPr>
          <w:trHeight w:val="224"/>
        </w:trPr>
        <w:tc>
          <w:tcPr>
            <w:tcW w:w="14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January 1,</w:t>
            </w: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300" w:type="dxa"/>
            <w:vAlign w:val="bottom"/>
          </w:tcPr>
          <w:p>
            <w:pPr>
              <w:spacing w:after="0"/>
              <w:rPr>
                <w:sz w:val="19"/>
                <w:szCs w:val="19"/>
                <w:color w:val="auto"/>
              </w:rPr>
            </w:pPr>
          </w:p>
        </w:tc>
        <w:tc>
          <w:tcPr>
            <w:tcW w:w="14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9"/>
              </w:rPr>
              <w:t>January 1,</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December 31,</w:t>
            </w:r>
          </w:p>
        </w:tc>
      </w:tr>
      <w:tr>
        <w:trPr>
          <w:trHeight w:val="265"/>
        </w:trPr>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3"/>
                <w:szCs w:val="23"/>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23"/>
                <w:szCs w:val="23"/>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3"/>
                <w:szCs w:val="23"/>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r>
    </w:tbl>
    <w:p>
      <w:pPr>
        <w:spacing w:after="0" w:line="95" w:lineRule="exact"/>
        <w:rPr>
          <w:sz w:val="20"/>
          <w:szCs w:val="20"/>
          <w:color w:val="auto"/>
        </w:rPr>
      </w:pPr>
    </w:p>
    <w:p>
      <w:pPr>
        <w:sectPr>
          <w:pgSz w:w="11900" w:h="16838" w:orient="portrait"/>
          <w:cols w:equalWidth="0" w:num="2">
            <w:col w:w="5120" w:space="720"/>
            <w:col w:w="55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84,160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70,620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260,624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(68,481)</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(56,894)</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(208,268)</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13,726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(7,163)</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(22,864)</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6,833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8,542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6,904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(11,255)</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4,254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0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5,552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4,254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90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outstanding-basic</w:t>
            </w:r>
          </w:p>
        </w:tc>
        <w:tc>
          <w:tcPr>
            <w:tcW w:w="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10,332,480</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10,259,458</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10,320,810</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10,256,674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10,410,533</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10,355,888</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10,403,711</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10,336,169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9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90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9"/>
                <w:szCs w:val="19"/>
                <w:color w:val="auto"/>
              </w:rPr>
            </w:pPr>
          </w:p>
        </w:tc>
        <w:tc>
          <w:tcPr>
            <w:tcW w:w="2720" w:type="dxa"/>
            <w:vAlign w:val="bottom"/>
            <w:gridSpan w:val="5"/>
          </w:tcPr>
          <w:p>
            <w:pPr>
              <w:ind w:left="5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7"/>
        </w:trPr>
        <w:tc>
          <w:tcPr>
            <w:tcW w:w="8580" w:type="dxa"/>
            <w:vAlign w:val="bottom"/>
            <w:gridSpan w:val="2"/>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2"/>
              <w:spacing w:after="0" w:line="197" w:lineRule="exact"/>
              <w:rPr>
                <w:sz w:val="20"/>
                <w:szCs w:val="20"/>
                <w:color w:val="auto"/>
              </w:rPr>
            </w:pPr>
            <w:r>
              <w:rPr>
                <w:rFonts w:ascii="Arial" w:cs="Arial" w:eastAsia="Arial" w:hAnsi="Arial"/>
                <w:sz w:val="18"/>
                <w:szCs w:val="18"/>
                <w:b w:val="1"/>
                <w:bCs w:val="1"/>
                <w:color w:val="auto"/>
                <w:w w:val="92"/>
              </w:rPr>
              <w:t>January 1,</w:t>
            </w:r>
          </w:p>
        </w:tc>
        <w:tc>
          <w:tcPr>
            <w:tcW w:w="5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spacing w:after="0" w:line="197"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19,180</w:t>
            </w: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to cash flows: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6,238</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Stock compensation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from property disposals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Changes in operating accounts providing (using) cash:</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receivables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(3,414)</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20,455</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5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(10,735)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and maturities of investments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Acquisition of Vertex</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property disposals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(14,207)</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Cash dividends paid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Excess tax benefit from share-based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sale of stock under the employee stock purchase plan</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8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85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18,940</w:t>
            </w:r>
          </w:p>
        </w:tc>
        <w:tc>
          <w:tcPr>
            <w:tcW w:w="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8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19,280</w:t>
            </w: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200"/>
              <w:spacing w:after="0"/>
              <w:rPr>
                <w:sz w:val="20"/>
                <w:szCs w:val="20"/>
                <w:color w:val="auto"/>
              </w:rPr>
            </w:pPr>
            <w:r>
              <w:rPr>
                <w:rFonts w:ascii="Arial" w:cs="Arial" w:eastAsia="Arial" w:hAnsi="Arial"/>
                <w:sz w:val="18"/>
                <w:szCs w:val="18"/>
                <w:color w:val="auto"/>
              </w:rPr>
              <w:t>Noncash investing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Capital expenditures in 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1,103</w:t>
            </w: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our Annual Report on Form 10-K for the fiscal year ended April 3, 2011,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financial statements were of a normal recurring nature.</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accounting policies we follow are set forth in “Item 8. Financial Statements and Supplementary Data, Note 1 – Nature of Business and Significant Accounting Policies” to our financial statements in our Annual Report on Form 10-K for the fiscal year ended April 3, 2011 (“fiscal 2011”) filed with the SEC on June 9,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the beginning of the current fiscal year ending April 1, 2012 (“fiscal 2012”), we changed our quarterly reporting to a 13 week convention.</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results of operations for the period ended January 1, 2012 are not necessarily indicative of the results that may be expected for the full year. During the fourth quarter of fiscal 2011 we acquired substantially all of the assets of Vertex Chemical Corporation, Novel Wash Co. Inc. and R.H.A. Corporation, (collectively, “Vertex”). Vertex’s results are incorporated in the consolidated financial statements from the date of acquisition. See Note 11 – Business Combinations for additional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260" w:type="dxa"/>
            <w:vAlign w:val="bottom"/>
            <w:gridSpan w:val="3"/>
          </w:tcPr>
          <w:p>
            <w:pPr>
              <w:jc w:val="right"/>
              <w:ind w:right="272"/>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2340" w:type="dxa"/>
            <w:vAlign w:val="bottom"/>
            <w:gridSpan w:val="4"/>
          </w:tcPr>
          <w:p>
            <w:pPr>
              <w:ind w:left="40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20" w:type="dxa"/>
            <w:vAlign w:val="bottom"/>
          </w:tcPr>
          <w:p>
            <w:pPr>
              <w:spacing w:after="0"/>
              <w:rPr>
                <w:sz w:val="23"/>
                <w:szCs w:val="23"/>
                <w:color w:val="auto"/>
              </w:rPr>
            </w:pPr>
          </w:p>
        </w:tc>
        <w:tc>
          <w:tcPr>
            <w:tcW w:w="6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4"/>
              </w:rPr>
              <w:t>January 1,</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87"/>
              </w:rPr>
              <w:t>December 31,</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4"/>
              </w:rPr>
              <w:t>January 1,</w:t>
            </w:r>
          </w:p>
        </w:tc>
        <w:tc>
          <w:tcPr>
            <w:tcW w:w="300" w:type="dxa"/>
            <w:vAlign w:val="bottom"/>
          </w:tcPr>
          <w:p>
            <w:pPr>
              <w:spacing w:after="0"/>
              <w:rPr>
                <w:sz w:val="23"/>
                <w:szCs w:val="23"/>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93"/>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134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12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2012</w:t>
            </w:r>
          </w:p>
        </w:tc>
        <w:tc>
          <w:tcPr>
            <w:tcW w:w="132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10,332,480</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10,259,458</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10,320,810</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10,256,674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78,053</w:t>
            </w:r>
          </w:p>
        </w:tc>
        <w:tc>
          <w:tcPr>
            <w:tcW w:w="300" w:type="dxa"/>
            <w:vAlign w:val="bottom"/>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96,430</w:t>
            </w:r>
          </w:p>
        </w:tc>
        <w:tc>
          <w:tcPr>
            <w:tcW w:w="3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82,901</w:t>
            </w:r>
          </w:p>
        </w:tc>
        <w:tc>
          <w:tcPr>
            <w:tcW w:w="3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10,410,533</w:t>
            </w:r>
          </w:p>
        </w:tc>
        <w:tc>
          <w:tcPr>
            <w:tcW w:w="1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10,355,888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10,403,711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10,336,169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periods ended January 1, 2012 and December 31, 2010, there were no shares or stock options excluded from the calculation of weighted-average common shares for diluted EPS.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February 2009, we agreed to sell our inventory and entered into a marketing agreement regarding the business of our Pharmaceutical segment, which provided pharmaceutical chemicals to retail pharmacies and small-scale pharmaceutical manufacturers. The agreement provides for annual payments based on a percentage of gross profit on future sales up to a maximum of approximately $3.7 million. We have no significant remaining obligations to fulfill under the agreement. To date we have received $2.2 million under this agreement and have recorded gains of approximately $1.3 million before taxes in fiscal 2012. The results of the Pharmaceutical segment have been reported as discontinued operations for all periods presented.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Investments</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8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1,</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35"/>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r>
      <w:tr>
        <w:trPr>
          <w:trHeight w:val="198"/>
        </w:trPr>
        <w:tc>
          <w:tcPr>
            <w:tcW w:w="4980" w:type="dxa"/>
            <w:vAlign w:val="bottom"/>
            <w:tcBorders>
              <w:top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18,744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   18,744</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Money market securities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4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35"/>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r>
      <w:tr>
        <w:trPr>
          <w:trHeight w:val="198"/>
        </w:trPr>
        <w:tc>
          <w:tcPr>
            <w:tcW w:w="4980" w:type="dxa"/>
            <w:vAlign w:val="bottom"/>
            <w:tcBorders>
              <w:top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18,485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  18,485</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980" w:type="dxa"/>
            <w:vAlign w:val="bottom"/>
            <w:gridSpan w:val="2"/>
          </w:tcPr>
          <w:p>
            <w:pPr>
              <w:ind w:left="580"/>
              <w:spacing w:after="0"/>
              <w:rPr>
                <w:sz w:val="20"/>
                <w:szCs w:val="20"/>
                <w:color w:val="auto"/>
              </w:rPr>
            </w:pPr>
            <w:r>
              <w:rPr>
                <w:rFonts w:ascii="Arial" w:cs="Arial" w:eastAsia="Arial" w:hAnsi="Arial"/>
                <w:sz w:val="18"/>
                <w:szCs w:val="18"/>
                <w:color w:val="auto"/>
              </w:rPr>
              <w:t>Money market securities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financial assets that are measured at fair value on a recurring basis are certificates of deposit (“CD’s”), with maturities ranging from three months to two years which fall within valuation technique Level 2. The CD’s are classified as investments in current assets and noncurrent assets on the Condensed Consolidated Balance Sheets. As of January 1, 2012, the CD’s in current assets had a fair value of $11.0 million, and in noncurrent assets, the CD’s had a fair value of $6.3 million.</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carrying value of cash and cash equivalents accounts approximates fair value, as maturities are three months or less. We did not have any financial liability instruments subject to recurring fair value measurements as of January 1,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January 1, 2012 and April 3, 2011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2"/>
              <w:spacing w:after="0"/>
              <w:rPr>
                <w:sz w:val="20"/>
                <w:szCs w:val="20"/>
                <w:color w:val="auto"/>
              </w:rPr>
            </w:pPr>
            <w:r>
              <w:rPr>
                <w:rFonts w:ascii="Arial" w:cs="Arial" w:eastAsia="Arial" w:hAnsi="Arial"/>
                <w:sz w:val="18"/>
                <w:szCs w:val="18"/>
                <w:b w:val="1"/>
                <w:bCs w:val="1"/>
                <w:color w:val="auto"/>
                <w:w w:val="89"/>
              </w:rPr>
              <w:t>January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April 3,</w:t>
            </w:r>
          </w:p>
        </w:tc>
      </w:tr>
      <w:tr>
        <w:trPr>
          <w:trHeight w:val="228"/>
        </w:trPr>
        <w:tc>
          <w:tcPr>
            <w:tcW w:w="4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19"/>
                <w:szCs w:val="19"/>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 thousands)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Finished goods (FIFO basis)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420"/>
              <w:spacing w:after="0"/>
              <w:rPr>
                <w:sz w:val="20"/>
                <w:szCs w:val="20"/>
                <w:color w:val="auto"/>
              </w:rPr>
            </w:pPr>
            <w:r>
              <w:rPr>
                <w:rFonts w:ascii="Arial" w:cs="Arial" w:eastAsia="Arial" w:hAnsi="Arial"/>
                <w:sz w:val="18"/>
                <w:szCs w:val="18"/>
                <w:color w:val="auto"/>
              </w:rPr>
              <w:t>38,048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ind w:left="380"/>
              <w:spacing w:after="0"/>
              <w:rPr>
                <w:sz w:val="20"/>
                <w:szCs w:val="20"/>
                <w:color w:val="auto"/>
              </w:rPr>
            </w:pPr>
            <w:r>
              <w:rPr>
                <w:rFonts w:ascii="Arial" w:cs="Arial" w:eastAsia="Arial" w:hAnsi="Arial"/>
                <w:sz w:val="18"/>
                <w:szCs w:val="18"/>
                <w:color w:val="auto"/>
                <w:w w:val="98"/>
              </w:rPr>
              <w:t>35,071</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LIFO reserve</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4"/>
              </w:rPr>
              <w:t>(5,681)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4"/>
              </w:rPr>
              <w:t>(5,854)</w:t>
            </w:r>
          </w:p>
        </w:tc>
        <w:tc>
          <w:tcPr>
            <w:tcW w:w="100" w:type="dxa"/>
            <w:vAlign w:val="bottom"/>
            <w:shd w:val="clear" w:color="auto" w:fill="CCEEFF"/>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Net inventory</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420"/>
              <w:spacing w:after="0"/>
              <w:rPr>
                <w:sz w:val="20"/>
                <w:szCs w:val="20"/>
                <w:color w:val="auto"/>
              </w:rPr>
            </w:pPr>
            <w:r>
              <w:rPr>
                <w:rFonts w:ascii="Arial" w:cs="Arial" w:eastAsia="Arial" w:hAnsi="Arial"/>
                <w:sz w:val="18"/>
                <w:szCs w:val="18"/>
                <w:color w:val="auto"/>
              </w:rPr>
              <w:t>32,367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ind w:left="380"/>
              <w:spacing w:after="0"/>
              <w:rPr>
                <w:sz w:val="20"/>
                <w:szCs w:val="20"/>
                <w:color w:val="auto"/>
              </w:rPr>
            </w:pPr>
            <w:r>
              <w:rPr>
                <w:rFonts w:ascii="Arial" w:cs="Arial" w:eastAsia="Arial" w:hAnsi="Arial"/>
                <w:sz w:val="18"/>
                <w:szCs w:val="18"/>
                <w:color w:val="auto"/>
                <w:w w:val="98"/>
              </w:rPr>
              <w:t>29,217</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$32.0 million at January 1, 2012 and $28.6 million at April 3, 2011. The remainder of the inventory was valued and accounted for under the FIFO method.</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LIFO reserve decreased $0.6 million during the three months ended January 1, 2012 compared to an increase of $0.6 million the three months ended December 31, 2010. During the nine months ended January 1, 2012, the LIFO reserve decreased $0.2 million while the reserve increased $1.4 million in the nine months ended December 31, 2010 as a result of the changes in projected fiscal year-end inventory costs, inventory product mix and inventory volumes. The valuation of LIFO inventory for interim periods is based on our estimates of year-end inventory levels and costs.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as of January 1, 2012 was $6.5 million and at April 3, 2011 was $6.2 million.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$0.3 million increase in goodwill relates to the finalization of the determination of the fair value of inventory acquired as part of the acquisition of Vertex.</w:t>
      </w:r>
    </w:p>
    <w:p>
      <w:pPr>
        <w:spacing w:after="0" w:line="194"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Intangible assets consist primarily of customer lists, trade secrets and non-compete agreements classified as finite life and trademarks and trade names classified as indefinite life, related to previous business acquisitions. A summary of our intangible assets as of January 1, 2012 and April 3, 2011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w w:val="97"/>
              </w:rPr>
              <w:t>January 1, 2012</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600" w:type="dxa"/>
            <w:vAlign w:val="bottom"/>
          </w:tcPr>
          <w:p>
            <w:pPr>
              <w:spacing w:after="0"/>
              <w:rPr>
                <w:sz w:val="17"/>
                <w:szCs w:val="17"/>
                <w:color w:val="auto"/>
              </w:rPr>
            </w:pPr>
          </w:p>
        </w:tc>
        <w:tc>
          <w:tcPr>
            <w:tcW w:w="13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Gross Carrying</w:t>
            </w:r>
          </w:p>
        </w:tc>
        <w:tc>
          <w:tcPr>
            <w:tcW w:w="360" w:type="dxa"/>
            <w:vAlign w:val="bottom"/>
          </w:tcPr>
          <w:p>
            <w:pPr>
              <w:spacing w:after="0"/>
              <w:rPr>
                <w:sz w:val="17"/>
                <w:szCs w:val="17"/>
                <w:color w:val="auto"/>
              </w:rPr>
            </w:pPr>
          </w:p>
        </w:tc>
        <w:tc>
          <w:tcPr>
            <w:tcW w:w="142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rPr>
              <w:t>Accumulated</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93"/>
              </w:rPr>
              <w:t>Amount</w:t>
            </w:r>
          </w:p>
        </w:tc>
        <w:tc>
          <w:tcPr>
            <w:tcW w:w="360" w:type="dxa"/>
            <w:vAlign w:val="bottom"/>
          </w:tcPr>
          <w:p>
            <w:pPr>
              <w:spacing w:after="0"/>
              <w:rPr>
                <w:sz w:val="19"/>
                <w:szCs w:val="19"/>
                <w:color w:val="auto"/>
              </w:rPr>
            </w:pPr>
          </w:p>
        </w:tc>
        <w:tc>
          <w:tcPr>
            <w:tcW w:w="1420" w:type="dxa"/>
            <w:vAlign w:val="bottom"/>
            <w:gridSpan w:val="2"/>
          </w:tcPr>
          <w:p>
            <w:pPr>
              <w:jc w:val="right"/>
              <w:ind w:right="152"/>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Net</w:t>
            </w:r>
          </w:p>
        </w:tc>
      </w:tr>
      <w:tr>
        <w:trPr>
          <w:trHeight w:val="198"/>
        </w:trPr>
        <w:tc>
          <w:tcPr>
            <w:tcW w:w="460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 thousands)</w:t>
            </w: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Finite-life intangible assets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5,508</w:t>
            </w: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4,871</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Trademark</w:t>
            </w:r>
          </w:p>
        </w:tc>
        <w:tc>
          <w:tcPr>
            <w:tcW w:w="2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1,240</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secrets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862</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Carrier relationships</w:t>
            </w:r>
          </w:p>
        </w:tc>
        <w:tc>
          <w:tcPr>
            <w:tcW w:w="2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finite-life 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339</w:t>
            </w:r>
          </w:p>
        </w:tc>
        <w:tc>
          <w:tcPr>
            <w:tcW w:w="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21"/>
        </w:trPr>
        <w:tc>
          <w:tcPr>
            <w:tcW w:w="4600" w:type="dxa"/>
            <w:vAlign w:val="bottom"/>
          </w:tcPr>
          <w:p>
            <w:pPr>
              <w:spacing w:after="0"/>
              <w:rPr>
                <w:sz w:val="20"/>
                <w:szCs w:val="20"/>
                <w:color w:val="auto"/>
              </w:rPr>
            </w:pPr>
            <w:r>
              <w:rPr>
                <w:rFonts w:ascii="Arial" w:cs="Arial" w:eastAsia="Arial" w:hAnsi="Arial"/>
                <w:sz w:val="18"/>
                <w:szCs w:val="18"/>
                <w:color w:val="auto"/>
              </w:rPr>
              <w:t>Total finite-life intangible assets</w:t>
            </w:r>
          </w:p>
        </w:tc>
        <w:tc>
          <w:tcPr>
            <w:tcW w:w="2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8,749</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(1,635)</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19"/>
                <w:szCs w:val="19"/>
                <w:color w:val="auto"/>
              </w:rPr>
            </w:pPr>
          </w:p>
        </w:tc>
      </w:tr>
      <w:tr>
        <w:trPr>
          <w:trHeight w:val="218"/>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Indefinite-life 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c>
          <w:tcPr>
            <w:tcW w:w="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Total intangible assets, net</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9,976</w:t>
            </w:r>
          </w:p>
        </w:tc>
        <w:tc>
          <w:tcPr>
            <w:tcW w:w="9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(1,635)</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8,341</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rPr>
              <w:t>April 3, 2011</w:t>
            </w: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600" w:type="dxa"/>
            <w:vAlign w:val="bottom"/>
          </w:tcPr>
          <w:p>
            <w:pPr>
              <w:spacing w:after="0"/>
              <w:rPr>
                <w:sz w:val="17"/>
                <w:szCs w:val="17"/>
                <w:color w:val="auto"/>
              </w:rPr>
            </w:pPr>
          </w:p>
        </w:tc>
        <w:tc>
          <w:tcPr>
            <w:tcW w:w="13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Gross Carrying</w:t>
            </w:r>
          </w:p>
        </w:tc>
        <w:tc>
          <w:tcPr>
            <w:tcW w:w="360" w:type="dxa"/>
            <w:vAlign w:val="bottom"/>
          </w:tcPr>
          <w:p>
            <w:pPr>
              <w:spacing w:after="0"/>
              <w:rPr>
                <w:sz w:val="17"/>
                <w:szCs w:val="17"/>
                <w:color w:val="auto"/>
              </w:rPr>
            </w:pPr>
          </w:p>
        </w:tc>
        <w:tc>
          <w:tcPr>
            <w:tcW w:w="142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rPr>
              <w:t>Accumulated</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93"/>
              </w:rPr>
              <w:t>Amount</w:t>
            </w:r>
          </w:p>
        </w:tc>
        <w:tc>
          <w:tcPr>
            <w:tcW w:w="360" w:type="dxa"/>
            <w:vAlign w:val="bottom"/>
          </w:tcPr>
          <w:p>
            <w:pPr>
              <w:spacing w:after="0"/>
              <w:rPr>
                <w:sz w:val="19"/>
                <w:szCs w:val="19"/>
                <w:color w:val="auto"/>
              </w:rPr>
            </w:pPr>
          </w:p>
        </w:tc>
        <w:tc>
          <w:tcPr>
            <w:tcW w:w="1420" w:type="dxa"/>
            <w:vAlign w:val="bottom"/>
            <w:gridSpan w:val="2"/>
          </w:tcPr>
          <w:p>
            <w:pPr>
              <w:jc w:val="right"/>
              <w:ind w:right="152"/>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Net</w:t>
            </w:r>
          </w:p>
        </w:tc>
      </w:tr>
      <w:tr>
        <w:trPr>
          <w:trHeight w:val="198"/>
        </w:trPr>
        <w:tc>
          <w:tcPr>
            <w:tcW w:w="460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 thousands)</w:t>
            </w: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Finite-life intangible assets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5,508</w:t>
            </w: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5,085</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Trademark</w:t>
            </w:r>
          </w:p>
        </w:tc>
        <w:tc>
          <w:tcPr>
            <w:tcW w:w="2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1,240</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secrets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862</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Carrier relationships</w:t>
            </w:r>
          </w:p>
        </w:tc>
        <w:tc>
          <w:tcPr>
            <w:tcW w:w="2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finite-life 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339</w:t>
            </w:r>
          </w:p>
        </w:tc>
        <w:tc>
          <w:tcPr>
            <w:tcW w:w="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21"/>
        </w:trPr>
        <w:tc>
          <w:tcPr>
            <w:tcW w:w="4600" w:type="dxa"/>
            <w:vAlign w:val="bottom"/>
          </w:tcPr>
          <w:p>
            <w:pPr>
              <w:spacing w:after="0"/>
              <w:rPr>
                <w:sz w:val="20"/>
                <w:szCs w:val="20"/>
                <w:color w:val="auto"/>
              </w:rPr>
            </w:pPr>
            <w:r>
              <w:rPr>
                <w:rFonts w:ascii="Arial" w:cs="Arial" w:eastAsia="Arial" w:hAnsi="Arial"/>
                <w:sz w:val="18"/>
                <w:szCs w:val="18"/>
                <w:color w:val="auto"/>
              </w:rPr>
              <w:t>Total finite-life intangible assets</w:t>
            </w:r>
          </w:p>
        </w:tc>
        <w:tc>
          <w:tcPr>
            <w:tcW w:w="2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8,749</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(1,165)</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19"/>
                <w:szCs w:val="19"/>
                <w:color w:val="auto"/>
              </w:rPr>
            </w:pPr>
          </w:p>
        </w:tc>
      </w:tr>
      <w:tr>
        <w:trPr>
          <w:trHeight w:val="218"/>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Indefinite-life 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c>
          <w:tcPr>
            <w:tcW w:w="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Total intangible assets, net</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9,976</w:t>
            </w:r>
          </w:p>
        </w:tc>
        <w:tc>
          <w:tcPr>
            <w:tcW w:w="94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(1,165)</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8,811</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preparation of our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Changes in recognition or measurement are reflected in the period in which the change in judgment occurs.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Accumulated Other Comprehensive Income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income (loss)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8"/>
                <w:szCs w:val="18"/>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8"/>
                <w:szCs w:val="18"/>
                <w:color w:val="auto"/>
                <w:w w:val="85"/>
              </w:rPr>
              <w:t>January 1,</w:t>
            </w:r>
          </w:p>
        </w:tc>
        <w:tc>
          <w:tcPr>
            <w:tcW w:w="12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April 3,</w:t>
            </w:r>
          </w:p>
        </w:tc>
        <w:tc>
          <w:tcPr>
            <w:tcW w:w="0" w:type="dxa"/>
            <w:vAlign w:val="bottom"/>
          </w:tcPr>
          <w:p>
            <w:pPr>
              <w:spacing w:after="0"/>
              <w:rPr>
                <w:sz w:val="1"/>
                <w:szCs w:val="1"/>
                <w:color w:val="auto"/>
              </w:rPr>
            </w:pPr>
          </w:p>
        </w:tc>
      </w:tr>
      <w:tr>
        <w:trPr>
          <w:trHeight w:val="222"/>
        </w:trPr>
        <w:tc>
          <w:tcPr>
            <w:tcW w:w="516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2012</w:t>
            </w: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1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Unrealized gain (loss) on:</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Available-for-sale investments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Post-retirement plan liability adjustments</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rPr>
              <w:t>(271)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 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The following table represents the stock option activity for the nine months ended January 1, 2012: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2780" w:type="dxa"/>
            <w:vAlign w:val="bottom"/>
            <w:gridSpan w:val="5"/>
          </w:tcPr>
          <w:p>
            <w:pPr>
              <w:jc w:val="right"/>
              <w:ind w:right="1120"/>
              <w:spacing w:after="0"/>
              <w:rPr>
                <w:sz w:val="20"/>
                <w:szCs w:val="20"/>
                <w:color w:val="auto"/>
              </w:rPr>
            </w:pPr>
            <w:r>
              <w:rPr>
                <w:rFonts w:ascii="Arial" w:cs="Arial" w:eastAsia="Arial" w:hAnsi="Arial"/>
                <w:sz w:val="18"/>
                <w:szCs w:val="18"/>
                <w:b w:val="1"/>
                <w:bCs w:val="1"/>
                <w:color w:val="auto"/>
              </w:rPr>
              <w:t>Outstanding</w:t>
            </w:r>
          </w:p>
        </w:tc>
        <w:tc>
          <w:tcPr>
            <w:tcW w:w="2320" w:type="dxa"/>
            <w:vAlign w:val="bottom"/>
            <w:gridSpan w:val="5"/>
          </w:tcPr>
          <w:p>
            <w:pPr>
              <w:ind w:left="680"/>
              <w:spacing w:after="0"/>
              <w:rPr>
                <w:sz w:val="20"/>
                <w:szCs w:val="20"/>
                <w:color w:val="auto"/>
              </w:rPr>
            </w:pPr>
            <w:r>
              <w:rPr>
                <w:rFonts w:ascii="Arial" w:cs="Arial" w:eastAsia="Arial" w:hAnsi="Arial"/>
                <w:sz w:val="18"/>
                <w:szCs w:val="18"/>
                <w:b w:val="1"/>
                <w:bCs w:val="1"/>
                <w:color w:val="auto"/>
              </w:rPr>
              <w:t>Exercisable</w:t>
            </w:r>
          </w:p>
        </w:tc>
      </w:tr>
      <w:tr>
        <w:trPr>
          <w:trHeight w:val="197"/>
        </w:trPr>
        <w:tc>
          <w:tcPr>
            <w:tcW w:w="34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2"/>
              <w:spacing w:after="0" w:line="197" w:lineRule="exact"/>
              <w:rPr>
                <w:sz w:val="20"/>
                <w:szCs w:val="20"/>
                <w:color w:val="auto"/>
              </w:rPr>
            </w:pPr>
            <w:r>
              <w:rPr>
                <w:rFonts w:ascii="Arial" w:cs="Arial" w:eastAsia="Arial" w:hAnsi="Arial"/>
                <w:sz w:val="18"/>
                <w:szCs w:val="18"/>
                <w:b w:val="1"/>
                <w:bCs w:val="1"/>
                <w:color w:val="auto"/>
                <w:w w:val="87"/>
              </w:rPr>
              <w:t>Weighted-</w:t>
            </w:r>
          </w:p>
        </w:tc>
        <w:tc>
          <w:tcPr>
            <w:tcW w:w="4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60"/>
              <w:spacing w:after="0" w:line="197" w:lineRule="exact"/>
              <w:rPr>
                <w:sz w:val="20"/>
                <w:szCs w:val="20"/>
                <w:color w:val="auto"/>
              </w:rPr>
            </w:pPr>
            <w:r>
              <w:rPr>
                <w:rFonts w:ascii="Arial" w:cs="Arial" w:eastAsia="Arial" w:hAnsi="Arial"/>
                <w:sz w:val="18"/>
                <w:szCs w:val="18"/>
                <w:b w:val="1"/>
                <w:bCs w:val="1"/>
                <w:color w:val="auto"/>
                <w:w w:val="85"/>
              </w:rPr>
              <w:t>Weighted-</w:t>
            </w:r>
          </w:p>
        </w:tc>
        <w:tc>
          <w:tcPr>
            <w:tcW w:w="100" w:type="dxa"/>
            <w:vAlign w:val="bottom"/>
          </w:tcPr>
          <w:p>
            <w:pPr>
              <w:spacing w:after="0"/>
              <w:rPr>
                <w:sz w:val="17"/>
                <w:szCs w:val="17"/>
                <w:color w:val="auto"/>
              </w:rPr>
            </w:pPr>
          </w:p>
        </w:tc>
      </w:tr>
      <w:tr>
        <w:trPr>
          <w:trHeight w:val="216"/>
        </w:trPr>
        <w:tc>
          <w:tcPr>
            <w:tcW w:w="3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4"/>
              </w:rPr>
              <w:t>Average</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3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Exercise</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w:t>
            </w:r>
          </w:p>
        </w:tc>
      </w:tr>
      <w:tr>
        <w:trPr>
          <w:trHeight w:val="228"/>
        </w:trPr>
        <w:tc>
          <w:tcPr>
            <w:tcW w:w="346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Price</w:t>
            </w:r>
          </w:p>
        </w:tc>
      </w:tr>
      <w:tr>
        <w:trPr>
          <w:trHeight w:val="212"/>
        </w:trPr>
        <w:tc>
          <w:tcPr>
            <w:tcW w:w="34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at beginning of period</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131,997</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66,666</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27,999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(12,333)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15.43</w:t>
            </w:r>
          </w:p>
        </w:tc>
        <w:tc>
          <w:tcPr>
            <w:tcW w:w="4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(12,333)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119,664</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4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82,332</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the three and nine months ended January 1, 2012 and December 31, 2010 related to stock options was not material.</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Performance-Based Restricted Stock Units. </w:t>
      </w:r>
      <w:r>
        <w:rPr>
          <w:rFonts w:ascii="Arial" w:cs="Arial" w:eastAsia="Arial" w:hAnsi="Arial"/>
          <w:sz w:val="16"/>
          <w:szCs w:val="16"/>
          <w:color w:val="auto"/>
        </w:rPr>
        <w:t>Our Board of Directors approved a performance-based equity compensation arrangement for our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first quarters of each of fiscal 2011 and 2012. These performance-based arrangements provide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45,081 shares in the aggregate for fiscal 2012.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nine months ended January 1, 2012:</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Weighted-</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 Grant</w:t>
            </w: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Date Fair Value</w:t>
            </w:r>
          </w:p>
        </w:tc>
      </w:tr>
      <w:tr>
        <w:trPr>
          <w:trHeight w:val="212"/>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at beginning of period</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33,321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Forfeited or expired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recorded compensation expense of $0.2 million and $0.6 million related to performance share units for the three and nine months ended January 1, 2012, respectively. We recorded compensation expense of $0.4 million and $0.9 million related to performance share units for the three and nine months ended December 31, 2010, respectively. Substantially all of the compensation expense was recorded in Selling, general and administrative expenses in the Condensed Consolidated Statements of Income.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As part of their retainer, each non-employee Director receives an annual grant of restricted stock for their Board services. The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awards are expensed over the requisite vesting period, which is one year from the date of issuance, based on the market value on the date of grant. The following table represents the Board’s restricted stock activity for the nine months ended January 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Average Grant</w:t>
            </w: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Shares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8"/>
              </w:rPr>
              <w:t>Date Fair Value</w:t>
            </w:r>
          </w:p>
        </w:tc>
      </w:tr>
      <w:tr>
        <w:trPr>
          <w:trHeight w:val="212"/>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at beginning of period</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6,120</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34.31</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(6,996)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Forfeited or expired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Compensation expense for the quarter ended January 1, 2012 related to restricted stock awards to the Board was $0.1 million. Compensation expense for the quarter ended December 31, 2010 was not material. We recorded $0.2 million in compensation expense related to restricted stock awards to the Board for the nine month period ended January 1, 2012 and $0.1 million for the nine month period ended December 31, 2010.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b w:val="1"/>
          <w:bCs w:val="1"/>
          <w:color w:val="auto"/>
        </w:rPr>
        <w:t>—</w:t>
      </w:r>
      <w:r>
        <w:rPr>
          <w:rFonts w:ascii="Arial" w:cs="Arial" w:eastAsia="Arial" w:hAnsi="Arial"/>
          <w:sz w:val="16"/>
          <w:szCs w:val="16"/>
          <w:color w:val="auto"/>
        </w:rPr>
        <w:t>On November 3, 2009, ICL Performance Products, LP (“ICL”), a chemical supplier to us, filed a lawsuit in the United States District Court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Eastern District of Missouri, asserting breach of a contract for the sale of phosphoric acid in 2009 (the “2009 Contract”). ICL seeks to recover $7.3 million in damages and pre-judgment interest, and additionally seeks to recover its costs and attorneys’ fees. ICL also claimed that we breached a contract for the sale of phosphoric acid in 2008 (the “2008 Contract”). ICL has since dropped its claim for breach of the 2008 Contract. We have counterclaimed against ICL alleging that ICL falsely claimed to have a shortage of raw materials that prevented it from supplying us with the contracted quantity of phosphoric acid for 2008. We claim that ICL used this alleged shortage and the threat of discontinued shipments of phosphoric acid to force us to pay increased prices for the remainder of 2008, and to sign the 2009 Contract. Based on this alleged conduct, we have brought four alternate causes of action including: (1) breach of contract, (2) breach of the implied covenant of good faith and fair dealing, (3) negligent misrepresentation, and (4) intentional misrepresentation. We seek to recover $1.5 million in damages, and additionally seek to recover punitive damages, pre- and post-judgment interest, and our costs and attorneys’ fees. The discovery phase in this action is complete, and both parties have moved for summary judgment in their favor. We do not know how or when the Court might rule on the parties’ summary judgment motions. No trial date has been set. We are not able to predict the ultimate outcome of this litigation, but it may be costly and disruptive. Lawsuits such as this can result in substantial costs and divert our management’s attention and resources, which may have a material adverse effect on our business and results of operations, including cash flows.</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are a party from time to time in other legal proceedings arising in the ordinary course of our business. To date, none of the litigation has had a material effect on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Combinations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14, 2011, we completed the acquisition of the assets of Vertex for $27.2 million with $25.5 million paid at closing and the remaining $1.7 million paid during the first quarter of fiscal 2012. We acquired substantially all of the assets used in Vertex’s business, which is primarily the manufacture and distribution of sodium hypochlorite and the distribution of caustic soda, hydrochloric acid and related products.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Vertex operating results are included in our Condensed Consolidated Statements of Income in our Industrial segment from the date of acquisition.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unaudited pro forma condensed consolidated financial results of operations are presented as if the Vertex acquisition had been completed at the beginning of the each period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2540" w:type="dxa"/>
            <w:vAlign w:val="bottom"/>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spacing w:after="0" w:line="197" w:lineRule="exact"/>
              <w:rPr>
                <w:sz w:val="20"/>
                <w:szCs w:val="20"/>
                <w:color w:val="auto"/>
              </w:rPr>
            </w:pPr>
            <w:r>
              <w:rPr>
                <w:rFonts w:ascii="Arial" w:cs="Arial" w:eastAsia="Arial" w:hAnsi="Arial"/>
                <w:sz w:val="18"/>
                <w:szCs w:val="18"/>
                <w:b w:val="1"/>
                <w:bCs w:val="1"/>
                <w:color w:val="auto"/>
              </w:rPr>
              <w:t>January 1,</w:t>
            </w:r>
          </w:p>
        </w:tc>
        <w:tc>
          <w:tcPr>
            <w:tcW w:w="1300" w:type="dxa"/>
            <w:vAlign w:val="bottom"/>
            <w:tcBorders>
              <w:top w:val="single" w:sz="8" w:color="auto"/>
            </w:tcBorders>
            <w:gridSpan w:val="2"/>
          </w:tcPr>
          <w:p>
            <w:pPr>
              <w:ind w:left="100"/>
              <w:spacing w:after="0" w:line="197" w:lineRule="exact"/>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spacing w:after="0" w:line="197" w:lineRule="exact"/>
              <w:rPr>
                <w:sz w:val="20"/>
                <w:szCs w:val="20"/>
                <w:color w:val="auto"/>
              </w:rPr>
            </w:pPr>
            <w:r>
              <w:rPr>
                <w:rFonts w:ascii="Arial" w:cs="Arial" w:eastAsia="Arial" w:hAnsi="Arial"/>
                <w:sz w:val="18"/>
                <w:szCs w:val="18"/>
                <w:b w:val="1"/>
                <w:bCs w:val="1"/>
                <w:color w:val="auto"/>
              </w:rPr>
              <w:t>January 1,</w:t>
            </w:r>
          </w:p>
        </w:tc>
        <w:tc>
          <w:tcPr>
            <w:tcW w:w="1300" w:type="dxa"/>
            <w:vAlign w:val="bottom"/>
            <w:tcBorders>
              <w:top w:val="single" w:sz="8" w:color="auto"/>
            </w:tcBorders>
            <w:gridSpan w:val="2"/>
          </w:tcPr>
          <w:p>
            <w:pPr>
              <w:ind w:left="80"/>
              <w:spacing w:after="0" w:line="197" w:lineRule="exact"/>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180" w:type="dxa"/>
            <w:vAlign w:val="bottom"/>
          </w:tcPr>
          <w:p>
            <w:pPr>
              <w:spacing w:after="0"/>
              <w:rPr>
                <w:sz w:val="20"/>
                <w:szCs w:val="20"/>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 forma 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84,160</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260,624</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245,977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Pro forma net earnings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19,180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19,799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1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10,332,480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10,259,458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10,320,810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10,256,674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10,410,533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10,355,888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10,403,711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10,336,169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results for the three and nine months ended January 1, 2012 shown in this table reflect actual condensed consolidated financial results for the period, while the results for the three and nine months ended December 31, 2010 reflect pro forma condensed consolidated financial results. These unaudited financial results have been prepared for illustrative purposes only and do not purport to be indicative of the results of operations that actually would have resulted had the acquisition occurred on the first day of each fiscal period presented, or of future results of the consolidated entities. The unaudited pro forma condensed consolidated financial information does not reflect any operating efficiencies and cost savings that may be realized from the integration of the acquisition.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1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as disclosed in our fiscal 2011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 represents 10 percent or more of our revenue. Sales are primarily within the United States and all assets are located within the United States.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Water</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8"/>
                <w:szCs w:val="18"/>
                <w:b w:val="1"/>
                <w:bCs w:val="1"/>
                <w:color w:val="auto"/>
              </w:rPr>
              <w:t>Reportable Segments</w:t>
            </w:r>
          </w:p>
        </w:tc>
        <w:tc>
          <w:tcPr>
            <w:tcW w:w="18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9"/>
                <w:szCs w:val="19"/>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Treatment</w:t>
            </w:r>
          </w:p>
        </w:tc>
        <w:tc>
          <w:tcPr>
            <w:tcW w:w="28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198"/>
        </w:trPr>
        <w:tc>
          <w:tcPr>
            <w:tcW w:w="416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Three months ended January 1, 2012: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63,741</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20,419</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10,213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5,466</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15,679</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5,716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00" w:type="dxa"/>
            <w:vAlign w:val="bottom"/>
            <w:shd w:val="clear" w:color="auto" w:fill="CCEEFF"/>
          </w:tcPr>
          <w:p>
            <w:pPr>
              <w:spacing w:after="0"/>
              <w:rPr>
                <w:sz w:val="18"/>
                <w:szCs w:val="18"/>
                <w:color w:val="auto"/>
              </w:rPr>
            </w:pPr>
          </w:p>
        </w:tc>
      </w:tr>
      <w:tr>
        <w:trPr>
          <w:trHeight w:val="431"/>
        </w:trPr>
        <w:tc>
          <w:tcPr>
            <w:tcW w:w="4160" w:type="dxa"/>
            <w:vAlign w:val="bottom"/>
          </w:tcPr>
          <w:p>
            <w:pPr>
              <w:spacing w:after="0"/>
              <w:rPr>
                <w:sz w:val="20"/>
                <w:szCs w:val="20"/>
                <w:color w:val="auto"/>
              </w:rPr>
            </w:pPr>
            <w:r>
              <w:rPr>
                <w:rFonts w:ascii="Arial" w:cs="Arial" w:eastAsia="Arial" w:hAnsi="Arial"/>
                <w:sz w:val="18"/>
                <w:szCs w:val="18"/>
                <w:color w:val="auto"/>
              </w:rPr>
              <w:t>Three months ended December 31, 2010: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51,282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8,627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5,099</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13,726</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4,130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100" w:type="dxa"/>
            <w:vAlign w:val="bottom"/>
            <w:shd w:val="clear" w:color="auto" w:fill="CCEEFF"/>
          </w:tcPr>
          <w:p>
            <w:pPr>
              <w:spacing w:after="0"/>
              <w:rPr>
                <w:sz w:val="18"/>
                <w:szCs w:val="18"/>
                <w:color w:val="auto"/>
              </w:rPr>
            </w:pPr>
          </w:p>
        </w:tc>
      </w:tr>
      <w:tr>
        <w:trPr>
          <w:trHeight w:val="431"/>
        </w:trPr>
        <w:tc>
          <w:tcPr>
            <w:tcW w:w="4160" w:type="dxa"/>
            <w:vAlign w:val="bottom"/>
          </w:tcPr>
          <w:p>
            <w:pPr>
              <w:spacing w:after="0"/>
              <w:rPr>
                <w:sz w:val="20"/>
                <w:szCs w:val="20"/>
                <w:color w:val="auto"/>
              </w:rPr>
            </w:pPr>
            <w:r>
              <w:rPr>
                <w:rFonts w:ascii="Arial" w:cs="Arial" w:eastAsia="Arial" w:hAnsi="Arial"/>
                <w:sz w:val="18"/>
                <w:szCs w:val="18"/>
                <w:color w:val="auto"/>
              </w:rPr>
              <w:t>Nine months ended January 1, 2012: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188,646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71,978</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260,624</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31,786</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20,570</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52,356</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17,143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29,492</w:t>
            </w:r>
          </w:p>
        </w:tc>
        <w:tc>
          <w:tcPr>
            <w:tcW w:w="100" w:type="dxa"/>
            <w:vAlign w:val="bottom"/>
            <w:shd w:val="clear" w:color="auto" w:fill="CCEEFF"/>
          </w:tcPr>
          <w:p>
            <w:pPr>
              <w:spacing w:after="0"/>
              <w:rPr>
                <w:sz w:val="18"/>
                <w:szCs w:val="18"/>
                <w:color w:val="auto"/>
              </w:rPr>
            </w:pPr>
          </w:p>
        </w:tc>
      </w:tr>
      <w:tr>
        <w:trPr>
          <w:trHeight w:val="431"/>
        </w:trPr>
        <w:tc>
          <w:tcPr>
            <w:tcW w:w="4160" w:type="dxa"/>
            <w:vAlign w:val="bottom"/>
          </w:tcPr>
          <w:p>
            <w:pPr>
              <w:spacing w:after="0"/>
              <w:rPr>
                <w:sz w:val="20"/>
                <w:szCs w:val="20"/>
                <w:color w:val="auto"/>
              </w:rPr>
            </w:pPr>
            <w:r>
              <w:rPr>
                <w:rFonts w:ascii="Arial" w:cs="Arial" w:eastAsia="Arial" w:hAnsi="Arial"/>
                <w:sz w:val="18"/>
                <w:szCs w:val="18"/>
                <w:color w:val="auto"/>
              </w:rPr>
              <w:t>Nine months ended December 31, 2010: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146,016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69,668</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215,684</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28,550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21,366</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49,916</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15,894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29,548</w:t>
            </w:r>
          </w:p>
        </w:tc>
        <w:tc>
          <w:tcPr>
            <w:tcW w:w="100" w:type="dxa"/>
            <w:vAlign w:val="bottom"/>
            <w:shd w:val="clear" w:color="auto" w:fill="CCEEFF"/>
          </w:tcPr>
          <w:p>
            <w:pPr>
              <w:spacing w:after="0"/>
              <w:rPr>
                <w:sz w:val="18"/>
                <w:szCs w:val="18"/>
                <w:color w:val="auto"/>
              </w:rPr>
            </w:pPr>
          </w:p>
        </w:tc>
      </w:tr>
    </w:tbl>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33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three and nine months ended January 1, 2012 as compared to December 31, 2010. This discussion should be read in conjunction with the Condensed Financial Statements and Notes to Condensed Financial Statements included in this Form 10-Q and Item 8 of our Annual Report on Form 10-K for the fiscal year ended April 3, 2011 (“fiscal 2011”). References to fiscal 2012 refer to the fiscal year ending April 1,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We expect this specialty chemical portion of our business to continue to grow.</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of fiscal 2012, we completed the purchase of a 28-acre parcel of land in Rosemount, Minnesota. We began construction of a new facility on the site during the quarter and expect it to be operational in late calendar 2012. The site provides capacity for future business growth and lessens our dependence on our flood-prone sites on the Mississippi River. While we expect to transfer some blending and manufacturing activity to the Rosemount site, we do not intend to close any sites we currently operate.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fiscal 2011, we completed the acquisition of substantially all of the assets of Vertex, a manufacturer of sodium hypochlorite in the central Midwest. In addition to the manufacture of sodium hypochlorite bleaches, Vertex distributes and provides terminal services for bulk liquid inorganic chemicals, and contract and private label packaging for household chemicals. Its corporate headquarters are located in St. Louis, Missouri, with manufacturing sites in Dupo, Illinois, Camanche, Iowa, and Memphis, Tennessee. In connection with the acquisition we paid the sellers $27.2 million and assumed certain liabilities of Vertex. Vertex’s business is part of our Industrial Group.</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use the last in, first out (“LIFO”) method for valuing substantially all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 We recorded a $0.6 million decrease in our LIFO reserve for the three months ended January 1, 2012 and a $0.2 million decrease in our LIFO reserve for the nine months ended January 1, 2012, which increased our reported gross profit by those amounts in those periods. While we experienced rising commodity chemical costs during the first nine months of fiscal 2012, we anticipate certain commodity chemical costs to decline through the remainder of the fiscal year. We are also projecting lower inventory volumes at the end of fiscal 2012 when compared to the end of fiscal 2011. We recorded a $0.6 million increase in our LIFO reserve for the three months ended December 31, 2010 and a $1.4 million increase in our LIFO reserve for the nine months ended December 31, 2010, which decreased our gross profit by that amount in those periods.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84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w w:val="93"/>
              </w:rPr>
              <w:t>Three months ended</w:t>
            </w:r>
          </w:p>
        </w:tc>
        <w:tc>
          <w:tcPr>
            <w:tcW w:w="620" w:type="dxa"/>
            <w:vAlign w:val="bottom"/>
          </w:tcPr>
          <w:p>
            <w:pPr>
              <w:spacing w:after="0"/>
              <w:rPr>
                <w:sz w:val="18"/>
                <w:szCs w:val="18"/>
                <w:color w:val="auto"/>
              </w:rPr>
            </w:pPr>
          </w:p>
        </w:tc>
        <w:tc>
          <w:tcPr>
            <w:tcW w:w="174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w w:val="93"/>
              </w:rPr>
              <w:t>Nine months ended</w:t>
            </w: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Jan 1</w:t>
            </w:r>
          </w:p>
        </w:tc>
        <w:tc>
          <w:tcPr>
            <w:tcW w:w="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Dec 31</w:t>
            </w: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9"/>
              </w:rPr>
              <w:t>Jan 1</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9"/>
              </w:rPr>
              <w:t>Dec 31</w:t>
            </w:r>
          </w:p>
        </w:tc>
        <w:tc>
          <w:tcPr>
            <w:tcW w:w="2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9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2012</w:t>
            </w:r>
          </w:p>
        </w:tc>
        <w:tc>
          <w:tcPr>
            <w:tcW w:w="6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2010</w:t>
            </w:r>
          </w:p>
        </w:tc>
        <w:tc>
          <w:tcPr>
            <w:tcW w:w="6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2012</w:t>
            </w:r>
          </w:p>
        </w:tc>
        <w:tc>
          <w:tcPr>
            <w:tcW w:w="6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CEEFF"/>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9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Sales</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6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Cost of sales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6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6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Investment income</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Incoming from continuing operations</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640" w:type="dxa"/>
            <w:vAlign w:val="bottom"/>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20" w:type="dxa"/>
            <w:vAlign w:val="bottom"/>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6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48" w:lineRule="exact"/>
        <w:rPr>
          <w:sz w:val="20"/>
          <w:szCs w:val="20"/>
          <w:color w:val="auto"/>
        </w:rPr>
      </w:pPr>
    </w:p>
    <w:p>
      <w:pPr>
        <w:ind w:right="438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January 1, 2012 Compared to the Three Months Ended December 31, 2010 </w:t>
      </w:r>
      <w:r>
        <w:rPr>
          <w:rFonts w:ascii="Arial" w:cs="Arial" w:eastAsia="Arial" w:hAnsi="Arial"/>
          <w:sz w:val="18"/>
          <w:szCs w:val="18"/>
          <w:i w:val="1"/>
          <w:iCs w:val="1"/>
          <w:color w:val="auto"/>
        </w:rPr>
        <w:t>Sales</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Sales increased $13.5 million, or 19.2%, to $84.2 million in the three months ended January 1, 2012 as compared to $70.6 million in the same period of the prior year. Sales of bulk chemicals, including caustic soda, were approximately 23% of sales during the three months ended January 1, 2012 as compared to 20% during the same period of the prior year. Vertex, which we acquired during the fourth quarter of fiscal 2011, contributed $9.3 million of the increase in sales during the third quarter of fiscal 2012. We experienced increased sales across the majority of our product lines in the third quarter of fiscal 2012 as compared to the same period in fiscal 2011.</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$12.5 million, or 24.3%, to $63.7 million for the three months ended January 1, 2012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the prior year. Vertex contributed $9.3 million of the increase in sales during the third quarter of fiscal 2012. The remaining increase in sales was the result of higher selling prices across the majority of our product lines due to increased commodity chemical prices, partially offset by somewhat lower overall sales volumes.</w:t>
      </w:r>
    </w:p>
    <w:p>
      <w:pPr>
        <w:spacing w:after="0" w:line="14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$1.1 million, or 5.6%, to $20.4 million for the three months ended January 1,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of the prior year. The sales increase was primarily due to higher selling prices across the majority of our product lines, partially offset by somewhat lower bulk chemical sales volumes.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Gross profit was $15.7 million, or 18.6% of sales, for the three months ended January 1, 2012, as compared to $13.7 million, or 19.4% of sales, for the same period of the prior year. The LIFO method of valuing inventory increased gross profit by $0.6 million for the three months ended January 1, 2012 whereas it decreased gross profit by $0.6 million for the three months ended December 31, 2010.</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$10.2 million, or 16.0% of sales, for the three months ended January 1, 2012, as compared to $8.6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16.8% of sales, for the same period of the prior year. The increase in gross profit dollars resulted from the addition of the Vertex business to this segment, partially offset by competitive pricing pressures. The LIFO method of valuing inventory increased gross profit in this segment by $0.3 million for the three months ended January 1, 2012, while it decreased gross profit by $0.6 million for the three months ended December 31, 2010.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$5.5 million, or 26.8% of sales, for the three months ended January 1,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$5.1 million, or 26.4% of sales, for the three months ended December 31, 2010. The increase in gross profit was primarily due to increased profits across certain product lines partially offset by higher operational and infrastructure costs compared to the prior year. The LIFO method of valuing inventory increased gross profit in this segment by $0.3 million for the three months ended January 1, 2012, while it had a negligible impact on gross profit for the three months ended December 31,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were $7.2 million, or 8.5% of sales, for the three months ended January 1, 2012 as compared to $6.9 million, or</w:t>
      </w:r>
    </w:p>
    <w:p>
      <w:pPr>
        <w:spacing w:after="0" w:line="38" w:lineRule="exact"/>
        <w:rPr>
          <w:sz w:val="20"/>
          <w:szCs w:val="20"/>
          <w:color w:val="auto"/>
        </w:rPr>
      </w:pPr>
    </w:p>
    <w:p>
      <w:pPr>
        <w:spacing w:after="0" w:line="361" w:lineRule="auto"/>
        <w:rPr>
          <w:sz w:val="20"/>
          <w:szCs w:val="20"/>
          <w:color w:val="auto"/>
        </w:rPr>
      </w:pPr>
      <w:r>
        <w:rPr>
          <w:rFonts w:ascii="Arial" w:cs="Arial" w:eastAsia="Arial" w:hAnsi="Arial"/>
          <w:sz w:val="15"/>
          <w:szCs w:val="15"/>
          <w:color w:val="auto"/>
        </w:rPr>
        <w:t>9.8% of sales, for the three months ended December 31, 2010. The increase was due to the addition of expenses related to the Vertex business, which we acquired during the fourth quarter of fiscal 2011, partially offset by lower equity and other incentive plan costs and costs in the prior year related to the Vertex acquisition.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Operating income was $8.5 million for the three months ended January 1, 2012 and $6.8 million for the three months ended December 31, 2010. The Industrial segment increased $1.6 million while the Water Treatment segment increased $0.1 million for the three months ended January 1, 2012, as compared to the same period of the prior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was negligible during the three months ended January 1, 2012 and $0.1 million for the three months ended December 31,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effective income tax rate was 38.1% for the three months ended January 1, 2012, compared to 38.4% for the three months ended December 31, 2010. The effective tax rate is impacted by projected levels of taxable income, permanent items, and state taxes.</w:t>
      </w:r>
    </w:p>
    <w:p>
      <w:pPr>
        <w:spacing w:after="0" w:line="132" w:lineRule="exact"/>
        <w:rPr>
          <w:sz w:val="20"/>
          <w:szCs w:val="20"/>
          <w:color w:val="auto"/>
        </w:rPr>
      </w:pPr>
    </w:p>
    <w:p>
      <w:pPr>
        <w:ind w:right="4500"/>
        <w:spacing w:after="0" w:line="438" w:lineRule="auto"/>
        <w:rPr>
          <w:sz w:val="20"/>
          <w:szCs w:val="20"/>
          <w:color w:val="auto"/>
        </w:rPr>
      </w:pPr>
      <w:r>
        <w:rPr>
          <w:rFonts w:ascii="Arial" w:cs="Arial" w:eastAsia="Arial" w:hAnsi="Arial"/>
          <w:sz w:val="18"/>
          <w:szCs w:val="18"/>
          <w:b w:val="1"/>
          <w:bCs w:val="1"/>
          <w:i w:val="1"/>
          <w:iCs w:val="1"/>
          <w:color w:val="auto"/>
        </w:rPr>
        <w:t xml:space="preserve">Nine Months Ended January 1, 2012 Compared to the Nine Months Ended December 31, 2010 </w:t>
      </w:r>
      <w:r>
        <w:rPr>
          <w:rFonts w:ascii="Arial" w:cs="Arial" w:eastAsia="Arial" w:hAnsi="Arial"/>
          <w:sz w:val="18"/>
          <w:szCs w:val="18"/>
          <w:i w:val="1"/>
          <w:iCs w:val="1"/>
          <w:color w:val="auto"/>
        </w:rPr>
        <w:t>Sales</w:t>
      </w:r>
    </w:p>
    <w:p>
      <w:pPr>
        <w:spacing w:after="0" w:line="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Sales increased $44.9 million, or 20.8%, to $260.6 million in the nine months ended January 1, 2012 as compared to $215.7 million in the same period of the prior year. Sales of bulk chemicals, including caustic soda, were approximately 22% of sales during the nine months ended January 1, 2012 and 20% during the nine months ended December 31, 2010. Vertex, which we acquired during the fourth quarter of fiscal 2011, contributed $30.7 million of the increase in sales during the nine months ended January 1, 2012. We experienced higher selling prices due to increased commodity chemical prices, which was partially offset by lower bulk sales volumes in the nine months ended January 1, 2012 as compared to the nine months ended December 31, 2010.</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$42.6 million, or 29.2%, to $188.6 million for the nine months ended January 1, 2012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the prior year. Vertex contributed $30.7 million of the increase in sales during the nine months ended January 1, 2012. The remaining increase in sales was the result of higher selling prices across the majority of our product lines due to increased commodity chemical prices, partially offset by lower bulk chemical sales volumes.</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Water Treatment segment sales increased $2.3 million, or 3.3%, to $72.0 million for the nine months ended January 1, 2012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of the prior year. The sales increase was primarily due to increased sales of manufactured and specialty chemical products partially offset by lower bulk chemical sales, with overall sales volumes negatively impacted by unfavorable weather conditions during the first half of the 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profit was $52.4 million, or 20.1% of sales, for the nine months ended January 1, 2012, as compared to $49.9 million, or 23.1% of sales, for the nine months ended December 31, 2010. The LIFO method of valuing inventory increased gross profit by $0.2 million for the nine months ended January 1, 2012, and decreased gross profit by $1.4 million for the nine months ended December 31, 2010.</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$31.8 million, or 16.8% of sales, for the nine months ended January 1, 2012,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$28.5 million, or 19.6% of sales, for the nine months ended December 31, 2010. The increase in gross profit dollars resulted from the addition of the Vertex business to this segment, offset by competitive pricing pressures. The LIFO method of valuing inventory had a minimal impact on gross profit for the nine months ended January 1, 2012 and decreased gross profit in this segment by $1.3 million for the nine months ended December 31, 2010.</w:t>
      </w:r>
    </w:p>
    <w:p>
      <w:pPr>
        <w:spacing w:after="0" w:line="11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$20.6 million, or 28.6% of sales, for the nine months ended January 1,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$21.4 million, or 30.7% of sales, for the nine months ended December 31, 2010. The decrease in gross profit was primarily due to competitive pricing pressures and lowered sales volumes because of unfavorable weather conditions during the first half of fiscal 2012. The LIFO method of valuing inventory increased gross profit in this segment by $0.2 million for the nine months ended January 1, 2012 and decreased gross profit in this segment by $0.1 million for the nine months ended December 31,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Selling, general and administrative expenses were $22.9 million, or 8.8% of sales, for the nine months ended January 1, 2012 as compared to $20.4 million, or 9.4% of sales, for the three months ended December 31, 2010. The increase was primarily due to the addition of expenses related to the Vertex business, which we acquired during the fourth quarter of fiscal 2011, partially offset by lower equity and other incentive plan costs and costs in the prior year related to the Vertex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Operating income was $29.5 million for the nine months ended January 1, 2012 and the same period in the prior year. The Industrial segment increased $1.3 million and the Water Treatment segment decreased $1.3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was $0.1 million for the nine months ended January 1, 2012 compared to $0.3 million for the nine months ended December 31,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Our effective income tax rate was 38.0% for the nine months ended January 1, 2012, compared to 38.2% for the nine months ended December 31, 2010. The effective tax rate is impacted by projected levels of taxable income, permanent items, and state taxes.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provided by operating activities for the nine months ended January 1, 2012 was $20.5 million compared to $24.3 million for the nine months ended December 31, 2010. The decrease in cash provided by operating activities was due primarily to an increase in working capital balances, including the timing of inventory purchases and the related vendor payments, and the timing of income tax payments. Due to the nature of our operations, which includes purchases of large quantities of bulk chemicals, timing of purchases can result in significant changes in working capital investment and the resulting operating cash flow. Historically, our cash requirements increase during the period from April through November as caustic soda inventory levels increase as the majority of barges are received during this period. Additionally, due to the seasonality of the water treatment business, our accounts receivable balance generally increases during the period of April through September.</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and investments available-for-sale of $36.6 million at January 1, 2012 decreased by $0.8 million as compared with the $37.4 million available as of April 3, 2011, primarily due to cash flows generated from operations, offset by capital expenditures, dividends paid and $1.7 million disbursed for the acquisition of Vertex.</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Capital expenditures were $13.8 million for the nine months ended January 1, 2012 compared to $7.8 million in the same period in the prior fiscal year. Significant capital expenditures during the nine months ended January 1, 2012 consisted of approximately $4.8 million related to site acquisition costs and the construction of our new facility in Rosemount, Minnesota, $3.5 million for business expansion and process improvement projects, $1.7 million for other facility, regulatory and safety improvements and $0.5 million for new and replacement route sales trucks for the Water Treatment segment. We expect cash balances and our cash flows from operations will be sufficient to fund our planned capital expenditures for the remainder of fiscal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significant accounting policies are set forth in Note 1 to our financial statements in our Annual Report on Form 10-K for the fiscal year ended April 3,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used in preparing our interim fiscal 2011 financial statements are the same as those described in our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3, 2011.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At January 1, 2012, our investment portfolio included $17.3 million of certificates of deposit classified as fixed income securities and cash and cash equivalents of $19.3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Consequently, we would not expect to recognize an adverse impact on net income or cash flows during the holding period. We adjust the carrying value of our investments if impairment occurs that is other than temporary.</w:t>
      </w:r>
    </w:p>
    <w:p>
      <w:pPr>
        <w:spacing w:after="0" w:line="138"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in the future as our pricing must be competitive.</w:t>
      </w: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2012 that has materially affected, or is reasonably likely to materially affect, our internal control over financial reporting.</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November 3, 2009, ICL Performance Products, LP (“ICL”), a chemical supplier to us, filed a lawsuit in the United States District Court for the Eastern District of Missouri, asserting breach of a contract for the sale of phosphoric acid in 2009 (the “2009 Contract”). ICL seeks to recover $7.3 million in damages and pre-judgment interest, and additionally seeks to recover its costs and attorneys’ fees. ICL also claimed that we breached a contract for the sale of phosphoric acid in 2008 (the “2008 Contract”). ICL has since dropped its claim for breach of the 2008 Contract. We have counterclaimed against ICL alleging that ICL falsely claimed to have a shortage of raw materials that prevented it from supplying us with the contracted quantity of phosphoric acid for 2008. We claim that ICL used this alleged shortage and the threat of discontinued shipments of phosphoric acid to force us to pay increased prices for the remainder of 2008, and to sign the 2009 Contract. Based on this alleged conduct, we have brought four alternate causes of action including: (1) breach of contract, (2) breach of the implied covenant of good faith and fair dealing, (3) negligent misrepresentation, and (4) intentional misrepresentation. We seek to recover $1.5 million in damages, and additionally seek to recover punitive damages, pre- and post-judgment interest, and our costs and attorneys’ fees. The discovery phase in this action is complete, and both parties have moved for summary judgment in their favor. We do not know how or when the Court might rule on the parties’ summary judgment motions. No trial date has been set. We are not able to predict the ultimate outcome of this litigation, but legal proceedings such as this can result in substantial costs and divert our management’s attention and resources, which may have a material adverse effect on our business and results of operations, including cash flows.</w:t>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a party from time to time in other legal proceedings arising in the ordinary course of our business. To date, none of the litigation has had a material effect on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3, 2011.</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980" w:type="dxa"/>
            <w:vAlign w:val="bottom"/>
            <w:gridSpan w:val="5"/>
          </w:tcPr>
          <w:p>
            <w:pPr>
              <w:spacing w:after="0"/>
              <w:rPr>
                <w:sz w:val="20"/>
                <w:szCs w:val="20"/>
                <w:color w:val="auto"/>
              </w:rPr>
            </w:pPr>
            <w:r>
              <w:rPr>
                <w:rFonts w:ascii="Arial" w:cs="Arial" w:eastAsia="Arial" w:hAnsi="Arial"/>
                <w:sz w:val="18"/>
                <w:szCs w:val="18"/>
                <w:color w:val="auto"/>
              </w:rPr>
              <w:t>ITEM 6. EXHIBITS</w:t>
            </w: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19"/>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60" w:type="dxa"/>
            <w:vAlign w:val="bottom"/>
            <w:gridSpan w:val="3"/>
          </w:tcPr>
          <w:p>
            <w:pPr>
              <w:jc w:val="center"/>
              <w:spacing w:after="0"/>
              <w:rPr>
                <w:sz w:val="20"/>
                <w:szCs w:val="20"/>
                <w:color w:val="auto"/>
              </w:rPr>
            </w:pPr>
            <w:r>
              <w:rPr>
                <w:rFonts w:ascii="Arial" w:cs="Arial" w:eastAsia="Arial" w:hAnsi="Arial"/>
                <w:sz w:val="18"/>
                <w:szCs w:val="18"/>
                <w:color w:val="auto"/>
                <w:w w:val="93"/>
              </w:rPr>
              <w:t>Exhibit Index</w:t>
            </w: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Exhibit</w:t>
            </w:r>
          </w:p>
        </w:tc>
        <w:tc>
          <w:tcPr>
            <w:tcW w:w="354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Description</w:t>
            </w:r>
          </w:p>
        </w:tc>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Method of Filing</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3.1</w:t>
            </w:r>
          </w:p>
        </w:tc>
        <w:tc>
          <w:tcPr>
            <w:tcW w:w="3540" w:type="dxa"/>
            <w:vAlign w:val="bottom"/>
          </w:tcPr>
          <w:p>
            <w:pPr>
              <w:ind w:left="180"/>
              <w:spacing w:after="0" w:line="203" w:lineRule="exact"/>
              <w:rPr>
                <w:sz w:val="20"/>
                <w:szCs w:val="20"/>
                <w:color w:val="auto"/>
              </w:rPr>
            </w:pPr>
            <w:r>
              <w:rPr>
                <w:rFonts w:ascii="Arial" w:cs="Arial" w:eastAsia="Arial" w:hAnsi="Arial"/>
                <w:sz w:val="18"/>
                <w:szCs w:val="18"/>
                <w:color w:val="auto"/>
                <w:w w:val="86"/>
              </w:rPr>
              <w:t>Amended and Restated Articles of Incorporation.</w:t>
            </w:r>
          </w:p>
        </w:tc>
        <w:tc>
          <w:tcPr>
            <w:tcW w:w="840" w:type="dxa"/>
            <w:vAlign w:val="bottom"/>
          </w:tcPr>
          <w:p>
            <w:pPr>
              <w:jc w:val="right"/>
              <w:ind w:right="392"/>
              <w:spacing w:after="0" w:line="203" w:lineRule="exact"/>
              <w:rPr>
                <w:sz w:val="20"/>
                <w:szCs w:val="20"/>
                <w:color w:val="auto"/>
              </w:rPr>
            </w:pPr>
            <w:r>
              <w:rPr>
                <w:rFonts w:ascii="Arial" w:cs="Arial" w:eastAsia="Arial" w:hAnsi="Arial"/>
                <w:sz w:val="18"/>
                <w:szCs w:val="18"/>
                <w:color w:val="auto"/>
              </w:rPr>
              <w:t>(1)</w:t>
            </w:r>
          </w:p>
        </w:tc>
        <w:tc>
          <w:tcPr>
            <w:tcW w:w="3480" w:type="dxa"/>
            <w:vAlign w:val="bottom"/>
          </w:tcPr>
          <w:p>
            <w:pPr>
              <w:spacing w:after="0"/>
              <w:rPr>
                <w:sz w:val="17"/>
                <w:szCs w:val="17"/>
                <w:color w:val="auto"/>
              </w:rPr>
            </w:pPr>
          </w:p>
        </w:tc>
        <w:tc>
          <w:tcPr>
            <w:tcW w:w="2160" w:type="dxa"/>
            <w:vAlign w:val="bottom"/>
            <w:gridSpan w:val="3"/>
          </w:tcPr>
          <w:p>
            <w:pPr>
              <w:jc w:val="center"/>
              <w:ind w:left="192"/>
              <w:spacing w:after="0" w:line="203" w:lineRule="exact"/>
              <w:rPr>
                <w:sz w:val="20"/>
                <w:szCs w:val="20"/>
                <w:color w:val="auto"/>
              </w:rPr>
            </w:pPr>
            <w:r>
              <w:rPr>
                <w:rFonts w:ascii="Arial" w:cs="Arial" w:eastAsia="Arial" w:hAnsi="Arial"/>
                <w:sz w:val="18"/>
                <w:szCs w:val="18"/>
                <w:color w:val="auto"/>
                <w:w w:val="88"/>
              </w:rPr>
              <w:t>Incorporated by Reference</w:t>
            </w:r>
          </w:p>
        </w:tc>
      </w:tr>
      <w:tr>
        <w:trPr>
          <w:trHeight w:val="216"/>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860" w:type="dxa"/>
            <w:vAlign w:val="bottom"/>
            <w:gridSpan w:val="3"/>
          </w:tcPr>
          <w:p>
            <w:pPr>
              <w:ind w:left="180"/>
              <w:spacing w:after="0"/>
              <w:rPr>
                <w:sz w:val="20"/>
                <w:szCs w:val="20"/>
                <w:color w:val="auto"/>
              </w:rPr>
            </w:pPr>
            <w:r>
              <w:rPr>
                <w:rFonts w:ascii="Arial" w:cs="Arial" w:eastAsia="Arial" w:hAnsi="Arial"/>
                <w:sz w:val="18"/>
                <w:szCs w:val="18"/>
                <w:color w:val="auto"/>
              </w:rPr>
              <w:t>Amended and Restated By-Laws. (2)</w:t>
            </w:r>
          </w:p>
        </w:tc>
        <w:tc>
          <w:tcPr>
            <w:tcW w:w="216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Incorporated by Reference</w:t>
            </w:r>
          </w:p>
        </w:tc>
      </w:tr>
      <w:tr>
        <w:trPr>
          <w:trHeight w:val="216"/>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7860" w:type="dxa"/>
            <w:vAlign w:val="bottom"/>
            <w:gridSpan w:val="3"/>
          </w:tcPr>
          <w:p>
            <w:pPr>
              <w:ind w:left="1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160" w:type="dxa"/>
            <w:vAlign w:val="bottom"/>
            <w:gridSpan w:val="3"/>
          </w:tcPr>
          <w:p>
            <w:pPr>
              <w:jc w:val="center"/>
              <w:ind w:left="192"/>
              <w:spacing w:after="0"/>
              <w:rPr>
                <w:sz w:val="20"/>
                <w:szCs w:val="20"/>
                <w:color w:val="auto"/>
              </w:rPr>
            </w:pPr>
            <w:r>
              <w:rPr>
                <w:rFonts w:ascii="Arial" w:cs="Arial" w:eastAsia="Arial" w:hAnsi="Arial"/>
                <w:sz w:val="18"/>
                <w:szCs w:val="18"/>
                <w:color w:val="auto"/>
                <w:w w:val="93"/>
              </w:rPr>
              <w:t>Filed Electronically</w:t>
            </w:r>
          </w:p>
        </w:tc>
      </w:tr>
      <w:tr>
        <w:trPr>
          <w:trHeight w:val="216"/>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860" w:type="dxa"/>
            <w:vAlign w:val="bottom"/>
            <w:gridSpan w:val="3"/>
          </w:tcPr>
          <w:p>
            <w:pPr>
              <w:ind w:left="1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160" w:type="dxa"/>
            <w:vAlign w:val="bottom"/>
            <w:gridSpan w:val="3"/>
          </w:tcPr>
          <w:p>
            <w:pPr>
              <w:jc w:val="center"/>
              <w:ind w:left="192"/>
              <w:spacing w:after="0"/>
              <w:rPr>
                <w:sz w:val="20"/>
                <w:szCs w:val="20"/>
                <w:color w:val="auto"/>
              </w:rPr>
            </w:pPr>
            <w:r>
              <w:rPr>
                <w:rFonts w:ascii="Arial" w:cs="Arial" w:eastAsia="Arial" w:hAnsi="Arial"/>
                <w:sz w:val="18"/>
                <w:szCs w:val="18"/>
                <w:color w:val="auto"/>
                <w:w w:val="93"/>
              </w:rPr>
              <w:t>Filed Electronically</w:t>
            </w:r>
          </w:p>
        </w:tc>
      </w:tr>
      <w:tr>
        <w:trPr>
          <w:trHeight w:val="216"/>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7860" w:type="dxa"/>
            <w:vAlign w:val="bottom"/>
            <w:gridSpan w:val="3"/>
          </w:tcPr>
          <w:p>
            <w:pPr>
              <w:ind w:left="180"/>
              <w:spacing w:after="0"/>
              <w:rPr>
                <w:sz w:val="20"/>
                <w:szCs w:val="20"/>
                <w:color w:val="auto"/>
              </w:rPr>
            </w:pPr>
            <w:r>
              <w:rPr>
                <w:rFonts w:ascii="Arial" w:cs="Arial" w:eastAsia="Arial" w:hAnsi="Arial"/>
                <w:sz w:val="18"/>
                <w:szCs w:val="18"/>
                <w:color w:val="auto"/>
              </w:rPr>
              <w:t>Section 1350 Certification by Chief Executive Officer.</w:t>
            </w:r>
          </w:p>
        </w:tc>
        <w:tc>
          <w:tcPr>
            <w:tcW w:w="2160" w:type="dxa"/>
            <w:vAlign w:val="bottom"/>
            <w:gridSpan w:val="3"/>
          </w:tcPr>
          <w:p>
            <w:pPr>
              <w:jc w:val="center"/>
              <w:ind w:left="192"/>
              <w:spacing w:after="0"/>
              <w:rPr>
                <w:sz w:val="20"/>
                <w:szCs w:val="20"/>
                <w:color w:val="auto"/>
              </w:rPr>
            </w:pPr>
            <w:r>
              <w:rPr>
                <w:rFonts w:ascii="Arial" w:cs="Arial" w:eastAsia="Arial" w:hAnsi="Arial"/>
                <w:sz w:val="18"/>
                <w:szCs w:val="18"/>
                <w:color w:val="auto"/>
                <w:w w:val="93"/>
              </w:rPr>
              <w:t>Filed Electronically</w:t>
            </w:r>
          </w:p>
        </w:tc>
      </w:tr>
      <w:tr>
        <w:trPr>
          <w:trHeight w:val="216"/>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7860" w:type="dxa"/>
            <w:vAlign w:val="bottom"/>
            <w:gridSpan w:val="3"/>
          </w:tcPr>
          <w:p>
            <w:pPr>
              <w:ind w:left="180"/>
              <w:spacing w:after="0"/>
              <w:rPr>
                <w:sz w:val="20"/>
                <w:szCs w:val="20"/>
                <w:color w:val="auto"/>
              </w:rPr>
            </w:pPr>
            <w:r>
              <w:rPr>
                <w:rFonts w:ascii="Arial" w:cs="Arial" w:eastAsia="Arial" w:hAnsi="Arial"/>
                <w:sz w:val="18"/>
                <w:szCs w:val="18"/>
                <w:color w:val="auto"/>
              </w:rPr>
              <w:t>Section 1350 Certification by Chief Financial Officer.</w:t>
            </w:r>
          </w:p>
        </w:tc>
        <w:tc>
          <w:tcPr>
            <w:tcW w:w="2160" w:type="dxa"/>
            <w:vAlign w:val="bottom"/>
            <w:gridSpan w:val="3"/>
          </w:tcPr>
          <w:p>
            <w:pPr>
              <w:jc w:val="center"/>
              <w:ind w:left="192"/>
              <w:spacing w:after="0"/>
              <w:rPr>
                <w:sz w:val="20"/>
                <w:szCs w:val="20"/>
                <w:color w:val="auto"/>
              </w:rPr>
            </w:pPr>
            <w:r>
              <w:rPr>
                <w:rFonts w:ascii="Arial" w:cs="Arial" w:eastAsia="Arial" w:hAnsi="Arial"/>
                <w:sz w:val="18"/>
                <w:szCs w:val="18"/>
                <w:color w:val="auto"/>
                <w:w w:val="93"/>
              </w:rPr>
              <w:t>Filed Electronically</w:t>
            </w:r>
          </w:p>
        </w:tc>
      </w:tr>
      <w:tr>
        <w:trPr>
          <w:trHeight w:val="216"/>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7860" w:type="dxa"/>
            <w:vAlign w:val="bottom"/>
            <w:gridSpan w:val="3"/>
          </w:tcPr>
          <w:p>
            <w:pPr>
              <w:ind w:left="180"/>
              <w:spacing w:after="0"/>
              <w:rPr>
                <w:sz w:val="20"/>
                <w:szCs w:val="20"/>
                <w:color w:val="auto"/>
              </w:rPr>
            </w:pPr>
            <w:r>
              <w:rPr>
                <w:rFonts w:ascii="Arial" w:cs="Arial" w:eastAsia="Arial" w:hAnsi="Arial"/>
                <w:sz w:val="18"/>
                <w:szCs w:val="18"/>
                <w:color w:val="auto"/>
                <w:w w:val="97"/>
              </w:rPr>
              <w:t>Financial statements from the Quarterly Report on Form 10-Q of Hawkins, Inc. for the period ended</w:t>
            </w:r>
          </w:p>
        </w:tc>
        <w:tc>
          <w:tcPr>
            <w:tcW w:w="2160" w:type="dxa"/>
            <w:vAlign w:val="bottom"/>
            <w:gridSpan w:val="3"/>
          </w:tcPr>
          <w:p>
            <w:pPr>
              <w:jc w:val="center"/>
              <w:ind w:left="192"/>
              <w:spacing w:after="0"/>
              <w:rPr>
                <w:sz w:val="20"/>
                <w:szCs w:val="20"/>
                <w:color w:val="auto"/>
              </w:rPr>
            </w:pPr>
            <w:r>
              <w:rPr>
                <w:rFonts w:ascii="Arial" w:cs="Arial" w:eastAsia="Arial" w:hAnsi="Arial"/>
                <w:sz w:val="18"/>
                <w:szCs w:val="18"/>
                <w:color w:val="auto"/>
                <w:w w:val="93"/>
              </w:rPr>
              <w:t>Filed Electronically</w:t>
            </w: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60" w:type="dxa"/>
            <w:vAlign w:val="bottom"/>
            <w:gridSpan w:val="3"/>
          </w:tcPr>
          <w:p>
            <w:pPr>
              <w:ind w:left="180"/>
              <w:spacing w:after="0"/>
              <w:rPr>
                <w:sz w:val="20"/>
                <w:szCs w:val="20"/>
                <w:color w:val="auto"/>
              </w:rPr>
            </w:pPr>
            <w:r>
              <w:rPr>
                <w:rFonts w:ascii="Arial" w:cs="Arial" w:eastAsia="Arial" w:hAnsi="Arial"/>
                <w:sz w:val="18"/>
                <w:szCs w:val="18"/>
                <w:color w:val="auto"/>
                <w:w w:val="95"/>
              </w:rPr>
              <w:t>January 1, 2012, filed with the SEC on February 2, 2012, formatted in Extensible Business Reporting</w:t>
            </w: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60" w:type="dxa"/>
            <w:vAlign w:val="bottom"/>
            <w:gridSpan w:val="3"/>
          </w:tcPr>
          <w:p>
            <w:pPr>
              <w:ind w:left="180"/>
              <w:spacing w:after="0"/>
              <w:rPr>
                <w:sz w:val="20"/>
                <w:szCs w:val="20"/>
                <w:color w:val="auto"/>
              </w:rPr>
            </w:pPr>
            <w:r>
              <w:rPr>
                <w:rFonts w:ascii="Arial" w:cs="Arial" w:eastAsia="Arial" w:hAnsi="Arial"/>
                <w:sz w:val="18"/>
                <w:szCs w:val="18"/>
                <w:color w:val="auto"/>
                <w:w w:val="90"/>
              </w:rPr>
              <w:t>Language (XBRL); (i) the Condensed Consolidated Balance Sheets at January 1, 2012 and December 31,</w:t>
            </w:r>
          </w:p>
        </w:tc>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ind w:left="1300" w:right="2480"/>
        <w:spacing w:after="0" w:line="254" w:lineRule="auto"/>
        <w:rPr>
          <w:sz w:val="20"/>
          <w:szCs w:val="20"/>
          <w:color w:val="auto"/>
        </w:rPr>
      </w:pPr>
      <w:r>
        <w:rPr>
          <w:rFonts w:ascii="Arial" w:cs="Arial" w:eastAsia="Arial" w:hAnsi="Arial"/>
          <w:sz w:val="18"/>
          <w:szCs w:val="18"/>
          <w:color w:val="auto"/>
        </w:rPr>
        <w:t>2010, (ii) the Condensed Consolidated Statements of Income for the Three and Nine Months Ended January 1, 2012 and December 31, 2010, (iii) the Condensed Consolidated Statements of Cash Flows for the Nine Months Ended January 1, 2012 and December 31, 2010, and (iv)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00" w:right="140" w:hanging="446"/>
        <w:spacing w:after="0" w:line="25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w:t>
      </w:r>
    </w:p>
    <w:p>
      <w:pPr>
        <w:ind w:left="900" w:hanging="446"/>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ind w:left="572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-13970</wp:posOffset>
            </wp:positionV>
            <wp:extent cx="34220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5"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Kathleen P. Pepski</w:t>
      </w:r>
    </w:p>
    <w:p>
      <w:pPr>
        <w:spacing w:after="0" w:line="225"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Vice President, Chief Financial Officer, and Treasurer</w:t>
      </w:r>
    </w:p>
    <w:p>
      <w:pPr>
        <w:spacing w:after="0" w:line="15"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 2012</w:t>
      </w:r>
    </w:p>
    <w:p>
      <w:pPr>
        <w:spacing w:after="0" w:line="145"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40" w:type="dxa"/>
            <w:vAlign w:val="bottom"/>
            <w:gridSpan w:val="3"/>
          </w:tcPr>
          <w:p>
            <w:pPr>
              <w:jc w:val="center"/>
              <w:ind w:left="252"/>
              <w:spacing w:after="0"/>
              <w:rPr>
                <w:sz w:val="20"/>
                <w:szCs w:val="20"/>
                <w:color w:val="auto"/>
              </w:rPr>
            </w:pPr>
            <w:r>
              <w:rPr>
                <w:rFonts w:ascii="Arial" w:cs="Arial" w:eastAsia="Arial" w:hAnsi="Arial"/>
                <w:sz w:val="18"/>
                <w:szCs w:val="18"/>
                <w:b w:val="1"/>
                <w:bCs w:val="1"/>
                <w:color w:val="auto"/>
                <w:w w:val="92"/>
              </w:rPr>
              <w:t>Exhibit Index</w:t>
            </w:r>
          </w:p>
        </w:tc>
      </w:tr>
      <w:tr>
        <w:trPr>
          <w:trHeight w:val="432"/>
        </w:trPr>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Exhibit</w:t>
            </w:r>
          </w:p>
        </w:tc>
        <w:tc>
          <w:tcPr>
            <w:tcW w:w="10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gridSpan w:val="2"/>
          </w:tcPr>
          <w:p>
            <w:pPr>
              <w:jc w:val="center"/>
              <w:ind w:right="2100"/>
              <w:spacing w:after="0"/>
              <w:rPr>
                <w:sz w:val="20"/>
                <w:szCs w:val="20"/>
                <w:color w:val="auto"/>
              </w:rPr>
            </w:pPr>
            <w:r>
              <w:rPr>
                <w:rFonts w:ascii="Arial" w:cs="Arial" w:eastAsia="Arial" w:hAnsi="Arial"/>
                <w:sz w:val="18"/>
                <w:szCs w:val="18"/>
                <w:color w:val="auto"/>
                <w:w w:val="91"/>
              </w:rPr>
              <w:t>Description</w:t>
            </w:r>
          </w:p>
        </w:tc>
      </w:tr>
      <w:tr>
        <w:trPr>
          <w:trHeight w:val="203"/>
        </w:trPr>
        <w:tc>
          <w:tcPr>
            <w:tcW w:w="20" w:type="dxa"/>
            <w:vAlign w:val="bottom"/>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3460" w:type="dxa"/>
            <w:vAlign w:val="bottom"/>
            <w:gridSpan w:val="2"/>
          </w:tcPr>
          <w:p>
            <w:pPr>
              <w:ind w:left="100"/>
              <w:spacing w:after="0" w:line="203" w:lineRule="exact"/>
              <w:rPr>
                <w:sz w:val="20"/>
                <w:szCs w:val="20"/>
                <w:color w:val="auto"/>
              </w:rPr>
            </w:pPr>
            <w:r>
              <w:rPr>
                <w:rFonts w:ascii="Arial" w:cs="Arial" w:eastAsia="Arial" w:hAnsi="Arial"/>
                <w:sz w:val="18"/>
                <w:szCs w:val="18"/>
                <w:color w:val="auto"/>
                <w:w w:val="86"/>
              </w:rPr>
              <w:t>Amended and Restated Articles of Incorporation.</w:t>
            </w:r>
          </w:p>
        </w:tc>
        <w:tc>
          <w:tcPr>
            <w:tcW w:w="820" w:type="dxa"/>
            <w:vAlign w:val="bottom"/>
            <w:tcBorders>
              <w:top w:val="single" w:sz="8" w:color="auto"/>
            </w:tcBorders>
          </w:tcPr>
          <w:p>
            <w:pPr>
              <w:spacing w:after="0"/>
              <w:rPr>
                <w:sz w:val="17"/>
                <w:szCs w:val="17"/>
                <w:color w:val="auto"/>
              </w:rPr>
            </w:pPr>
          </w:p>
        </w:tc>
        <w:tc>
          <w:tcPr>
            <w:tcW w:w="2100" w:type="dxa"/>
            <w:vAlign w:val="bottom"/>
          </w:tcPr>
          <w:p>
            <w:pPr>
              <w:spacing w:after="0"/>
              <w:rPr>
                <w:sz w:val="17"/>
                <w:szCs w:val="17"/>
                <w:color w:val="auto"/>
              </w:rPr>
            </w:pPr>
          </w:p>
        </w:tc>
      </w:tr>
      <w:tr>
        <w:trPr>
          <w:trHeight w:val="216"/>
        </w:trPr>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6380" w:type="dxa"/>
            <w:vAlign w:val="bottom"/>
            <w:gridSpan w:val="4"/>
          </w:tcPr>
          <w:p>
            <w:pPr>
              <w:ind w:left="100"/>
              <w:spacing w:after="0"/>
              <w:rPr>
                <w:sz w:val="20"/>
                <w:szCs w:val="20"/>
                <w:color w:val="auto"/>
              </w:rPr>
            </w:pPr>
            <w:r>
              <w:rPr>
                <w:rFonts w:ascii="Arial" w:cs="Arial" w:eastAsia="Arial" w:hAnsi="Arial"/>
                <w:sz w:val="18"/>
                <w:szCs w:val="18"/>
                <w:color w:val="auto"/>
              </w:rPr>
              <w:t>Amended and Restated By-Laws.</w:t>
            </w:r>
          </w:p>
        </w:tc>
      </w:tr>
      <w:tr>
        <w:trPr>
          <w:trHeight w:val="216"/>
        </w:trPr>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6380" w:type="dxa"/>
            <w:vAlign w:val="bottom"/>
            <w:gridSpan w:val="4"/>
          </w:tcPr>
          <w:p>
            <w:pPr>
              <w:ind w:left="100"/>
              <w:spacing w:after="0"/>
              <w:rPr>
                <w:sz w:val="20"/>
                <w:szCs w:val="20"/>
                <w:color w:val="auto"/>
              </w:rPr>
            </w:pPr>
            <w:r>
              <w:rPr>
                <w:rFonts w:ascii="Arial" w:cs="Arial" w:eastAsia="Arial" w:hAnsi="Arial"/>
                <w:sz w:val="18"/>
                <w:szCs w:val="18"/>
                <w:color w:val="auto"/>
                <w:w w:val="89"/>
              </w:rPr>
              <w:t>Certification by Chief Executive Officer pursuant to Rule 13a-14(a) of the Exchange Act.</w:t>
            </w:r>
          </w:p>
        </w:tc>
      </w:tr>
      <w:tr>
        <w:trPr>
          <w:trHeight w:val="216"/>
        </w:trPr>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6380" w:type="dxa"/>
            <w:vAlign w:val="bottom"/>
            <w:gridSpan w:val="4"/>
          </w:tcPr>
          <w:p>
            <w:pPr>
              <w:ind w:left="100"/>
              <w:spacing w:after="0"/>
              <w:rPr>
                <w:sz w:val="20"/>
                <w:szCs w:val="20"/>
                <w:color w:val="auto"/>
              </w:rPr>
            </w:pPr>
            <w:r>
              <w:rPr>
                <w:rFonts w:ascii="Arial" w:cs="Arial" w:eastAsia="Arial" w:hAnsi="Arial"/>
                <w:sz w:val="18"/>
                <w:szCs w:val="18"/>
                <w:color w:val="auto"/>
                <w:w w:val="90"/>
              </w:rPr>
              <w:t>Certification by Chief Financial Officer pursuant to Rule 13a-14(a) of the Exchange Act.</w:t>
            </w:r>
          </w:p>
        </w:tc>
      </w:tr>
      <w:tr>
        <w:trPr>
          <w:trHeight w:val="216"/>
        </w:trPr>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32.1</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53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r>
      <w:tr>
        <w:trPr>
          <w:trHeight w:val="222"/>
        </w:trPr>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32.2</w:t>
            </w:r>
          </w:p>
        </w:tc>
        <w:tc>
          <w:tcPr>
            <w:tcW w:w="1040" w:type="dxa"/>
            <w:vAlign w:val="bottom"/>
          </w:tcPr>
          <w:p>
            <w:pPr>
              <w:ind w:left="100"/>
              <w:spacing w:after="0"/>
              <w:rPr>
                <w:sz w:val="20"/>
                <w:szCs w:val="20"/>
                <w:color w:val="auto"/>
              </w:rPr>
            </w:pPr>
            <w:r>
              <w:rPr>
                <w:rFonts w:ascii="Arial" w:cs="Arial" w:eastAsia="Arial" w:hAnsi="Arial"/>
                <w:sz w:val="18"/>
                <w:szCs w:val="18"/>
                <w:color w:val="auto"/>
                <w:w w:val="87"/>
              </w:rPr>
              <w:t>Section 1350</w:t>
            </w:r>
          </w:p>
        </w:tc>
        <w:tc>
          <w:tcPr>
            <w:tcW w:w="53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r>
    </w:tbl>
    <w:p>
      <w:pPr>
        <w:ind w:left="1020" w:hanging="458"/>
        <w:spacing w:after="0" w:line="288"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January 1, 2012, filed with the SEC on February 2, 2012, formatted in Extensible Business Reporting Language (XBRL); (i) the Condensed Consolidated Balance Sheets at January 1, 2012 and December 31, 2010, (ii) the Condensed Consolidated Statements of Income for the Three and Nine Months Ended January 1, 2012 and December 31, 2010, (iii) the Condensed Consolidated Statements of Cash Flows for the Nine Months Ended January 1, 2012 and December 31, 2010, and (iv) Notes to Condensed Consolidated Financial Statements.</w:t>
      </w:r>
    </w:p>
    <w:p>
      <w:pPr>
        <w:spacing w:after="0" w:line="245"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Method of Filing</w:t>
      </w:r>
    </w:p>
    <w:p>
      <w:pPr>
        <w:spacing w:after="0" w:line="23" w:lineRule="exact"/>
        <w:rPr>
          <w:sz w:val="20"/>
          <w:szCs w:val="20"/>
          <w:color w:val="auto"/>
        </w:rPr>
      </w:pPr>
    </w:p>
    <w:p>
      <w:pPr>
        <w:jc w:val="center"/>
        <w:spacing w:after="0" w:line="312" w:lineRule="auto"/>
        <w:rPr>
          <w:sz w:val="20"/>
          <w:szCs w:val="20"/>
          <w:color w:val="auto"/>
        </w:rPr>
      </w:pPr>
      <w:r>
        <w:rPr>
          <w:rFonts w:ascii="Arial" w:cs="Arial" w:eastAsia="Arial" w:hAnsi="Arial"/>
          <w:sz w:val="15"/>
          <w:szCs w:val="15"/>
          <w:color w:val="auto"/>
        </w:rPr>
        <w:t>Incorporated by Reference Incorporated by Reference Filed Electronically Filed Electronically Filed Electronically Filed Electronically Filed Electronically</w:t>
      </w:r>
    </w:p>
    <w:p>
      <w:pPr>
        <w:sectPr>
          <w:pgSz w:w="11900" w:h="16838" w:orient="portrait"/>
          <w:cols w:equalWidth="0" w:num="2">
            <w:col w:w="8420" w:space="560"/>
            <w:col w:w="1860"/>
          </w:cols>
          <w:pgMar w:left="240" w:top="459" w:right="81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21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11"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80"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1480" w:hanging="567"/>
        <w:spacing w:after="0" w:line="332" w:lineRule="auto"/>
        <w:tabs>
          <w:tab w:leader="none" w:pos="148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jc w:val="both"/>
        <w:ind w:left="1480" w:hanging="567"/>
        <w:spacing w:after="0" w:line="259"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480" w:hanging="567"/>
        <w:spacing w:after="0" w:line="332" w:lineRule="auto"/>
        <w:tabs>
          <w:tab w:leader="none" w:pos="14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480" w:hanging="567"/>
        <w:spacing w:after="0" w:line="268"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Patrick H. Hawkins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Patrick H. Hawkins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21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11"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80"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1480" w:hanging="567"/>
        <w:spacing w:after="0" w:line="332" w:lineRule="auto"/>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jc w:val="both"/>
        <w:ind w:left="1480" w:hanging="567"/>
        <w:spacing w:after="0" w:line="259"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480" w:hanging="567"/>
        <w:spacing w:after="0" w:line="332" w:lineRule="auto"/>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480" w:hanging="567"/>
        <w:spacing w:after="0" w:line="268"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Kathleen P. Pepski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Kathleen P. Pepski</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January 1, 2012, as filed with the Securities and Exchange Commission on the date hereof (the Report), I, Patrick H. Hawkins, Chief Executive Officer of the Company, certify, pursuant to 18 U.S.C. § 1350, as adopted pursuant to § 906 of the Sarbanes-Oxley Act of 2002, that:</w:t>
      </w:r>
    </w:p>
    <w:p>
      <w:pPr>
        <w:spacing w:after="0" w:line="140" w:lineRule="exact"/>
        <w:rPr>
          <w:sz w:val="20"/>
          <w:szCs w:val="20"/>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Patrick H. Hawkins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Patrick H.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January 1, 2012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140" w:lineRule="exact"/>
        <w:rPr>
          <w:sz w:val="20"/>
          <w:szCs w:val="20"/>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Kathleen P. Pepski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0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2019-12-09T06:49:13Z</dcterms:created>
  <dcterms:modified xsi:type="dcterms:W3CDTF">2019-12-09T06:49:13Z</dcterms:modified>
</cp:coreProperties>
</file>