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ind w:left="3540"/>
        <w:spacing w:after="0"/>
        <w:tabs>
          <w:tab w:leader="none" w:pos="780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960" w:hanging="925"/>
        <w:spacing w:after="0"/>
        <w:tabs>
          <w:tab w:leader="none" w:pos="9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960" w:hanging="925"/>
        <w:spacing w:after="0"/>
        <w:tabs>
          <w:tab w:leader="none" w:pos="9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900" w:right="160" w:hanging="947"/>
        <w:spacing w:after="0" w:line="277" w:lineRule="auto"/>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960" w:hanging="925"/>
        <w:spacing w:after="0"/>
        <w:tabs>
          <w:tab w:leader="none" w:pos="9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960" w:hanging="925"/>
        <w:spacing w:after="0" w:line="298" w:lineRule="auto"/>
        <w:tabs>
          <w:tab w:leader="none" w:pos="9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900" w:hanging="94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20"/>
          </w:cols>
          <w:pgMar w:left="240" w:top="684"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431800</wp:posOffset>
            </wp:positionV>
            <wp:extent cx="2195195" cy="2195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9519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August 1,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1, 2013, at 3:00 p.m., Central Time, for the following purposes:</w:t>
      </w:r>
    </w:p>
    <w:p>
      <w:pPr>
        <w:spacing w:after="0" w:line="76" w:lineRule="exact"/>
        <w:rPr>
          <w:sz w:val="20"/>
          <w:szCs w:val="20"/>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advise in a non-binding vote to approve the compensation of our executive officers as disclosed in the attached proxy statement, or a “say-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on-pay” vote.</w:t>
      </w:r>
    </w:p>
    <w:p>
      <w:pPr>
        <w:spacing w:after="0" w:line="75" w:lineRule="exact"/>
        <w:rPr>
          <w:rFonts w:ascii="Arial" w:cs="Arial" w:eastAsia="Arial" w:hAnsi="Arial"/>
          <w:sz w:val="16"/>
          <w:szCs w:val="16"/>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Board of Directors has fixed the close of business on June 10, 2013 as the record date for determining the shareholders entitled to vote at the</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Annual Meeting. Accordingly, only shareholders of record at the close of business on that date will be entitled to vote. Our transfer books will not be closed.</w:t>
      </w:r>
    </w:p>
    <w:p>
      <w:pPr>
        <w:spacing w:after="0" w:line="200" w:lineRule="exact"/>
        <w:rPr>
          <w:sz w:val="20"/>
          <w:szCs w:val="20"/>
          <w:color w:val="auto"/>
        </w:rPr>
      </w:pPr>
    </w:p>
    <w:p>
      <w:pPr>
        <w:spacing w:after="0" w:line="27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48895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24, 2013</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24, 2013</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proxy statement is furnished in connection with the solicitation of proxies by our Board of Directors to be voted at the Annual Meeting of Shareholders (the “Annual Meeting”) to be held on Thursday, August 1, 2013, at the Midland Hills Country Club, 2001 Fulham Street, Roseville, Minnesota, at 3:00 p.m., Central Time, and at any adjournments of such meeting. Distribution of this Proxy Statement and proxy to shareholders began on or about June 24, 2013.</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9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REVOCATION AND VOTING OF PROXY</w:t>
      </w:r>
    </w:p>
    <w:p>
      <w:pPr>
        <w:spacing w:after="0" w:line="94"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6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expressly revoking the proxy to our Secretary at our offices, (2) signing and forwarding to us at our offices a later dated proxy, or (3) attending the Annual Meeting and casting his or her votes personally.</w:t>
      </w:r>
    </w:p>
    <w:p>
      <w:pPr>
        <w:spacing w:after="0" w:line="49"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3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3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the close of business on June 10, 2013, the record date, there were 10,557,642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ectPr>
          <w:pgSz w:w="11900" w:h="16838" w:orient="portrait"/>
          <w:cols w:equalWidth="0" w:num="1">
            <w:col w:w="11380"/>
          </w:cols>
          <w:pgMar w:left="240" w:top="58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OF DIRECTORS</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At the Annual Meeting, eight persons are to be elected to our Board of Directors, each to hold office for the ensuing year and until his/her successor is duly elected and qualified. Our By-Laws provide for a Board of Directors of not fewer than three nor more than eleven directors. Our Board of Directors currently consists of eight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3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Board of Directors has nominated James A. Faulconbridge, Patrick H. Hawkins, Duane M. Jergenson, John S. McKeon, Mary J. Schumacher, Daryl I. Skaar, James T. Thompson and Jeffrey L. Wright for election to the Board of Directors.</w:t>
      </w:r>
    </w:p>
    <w:p>
      <w:pPr>
        <w:spacing w:after="0" w:line="31"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June 1, 2013, including the principal occupation or employment of each director nominee, has been furnished to us by the respective director nominees. All positions are with our company unless otherwise noted.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vMerge w:val="restart"/>
          </w:tcPr>
          <w:p>
            <w:pPr>
              <w:spacing w:after="0"/>
              <w:rPr>
                <w:sz w:val="14"/>
                <w:szCs w:val="14"/>
                <w:color w:val="auto"/>
              </w:rPr>
            </w:pPr>
          </w:p>
        </w:tc>
        <w:tc>
          <w:tcPr>
            <w:tcW w:w="708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Principal Occupation or Employment</w:t>
            </w:r>
          </w:p>
        </w:tc>
        <w:tc>
          <w:tcPr>
            <w:tcW w:w="120" w:type="dxa"/>
            <w:vAlign w:val="bottom"/>
            <w:vMerge w:val="restart"/>
          </w:tcPr>
          <w:p>
            <w:pPr>
              <w:spacing w:after="0"/>
              <w:rPr>
                <w:sz w:val="14"/>
                <w:szCs w:val="14"/>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Chairman of the Board since 2005; Retired; President and Chief Operating Officer of ConAgra</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Foods, Inc. Venture Development Group from 2003 to 2005; President and Chief Operating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Officer of ConAgra Foods Snack Group (formerly Golden Valley Microwave Foods, Inc.) from</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1993 to 2003; President of McKeon Associates, Inc. (corporate finance consulting) from 1991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1993; Vice President of Northstar Industries, Inc. from 1976 to 1990.</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since 2011; President since 2010; Business Director — Food and</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4"/>
              </w:rPr>
              <w:t>Pharmaceuticals from 2009-2010; Business Manager — Food and Co-Extrusion Products from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6"/>
              </w:rPr>
              <w:t>2007-2009; Sales Representative — Food Ingredients from 2002-2009; various positions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the company from 1992 to 2002.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of Karges-Faulconbridge, Inc. (engineering and technical services) since 1996.</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Retired; Vice President of Operations of Taylor Corporation from 1985 to 1999; various</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positions with Taylor Corporation from 1966 to 1985.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Twin Cities Habitat for Humanity — Chief Operating Officer since January 2011; Andersen</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Corporation — Senior Vice President and General Manager from 2008 to 2010, Senior Vice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President, Research, Technology, Quality and Engineering from 2003 to 2008; various positions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at Ecolab Inc. from 1992 to 2003; various positions at The Pillsbury Company from 1979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1992; B.S. in Chemical Engineering from the University of Minnesota.</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7"/>
              </w:rPr>
              <w:t>Retired; Vice President and Chief Procurement Officer of Lucent Technologies from 1997 to</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3"/>
              </w:rPr>
              <w:t>2000; various positions at 3M from 1965 to 1997, most recently as Vice President of Purchasing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and Packaging Engineering.</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Retired; Executive Vice President — Commercial of The Mosaic Company from 2004 to 2007;</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board member, Sims Metal Management since 2009; various positions at Cargill, Inc. from 1974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 2004, most recently as President of Cargill Steel from 1996 to 2004.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G&amp;K Services, Inc. — Chief Financial Officer since 1999, Executive Vice President and</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7"/>
              </w:rPr>
              <w:t>Director since May 2009, Senior Vice President from 2004 to 2009, Treasurer and Secretary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60" w:right="2040"/>
        <w:spacing w:after="0" w:line="302" w:lineRule="auto"/>
        <w:rPr>
          <w:sz w:val="20"/>
          <w:szCs w:val="20"/>
          <w:color w:val="auto"/>
        </w:rPr>
      </w:pPr>
      <w:r>
        <w:rPr>
          <w:rFonts w:ascii="Arial" w:cs="Arial" w:eastAsia="Arial" w:hAnsi="Arial"/>
          <w:sz w:val="16"/>
          <w:szCs w:val="16"/>
          <w:color w:val="auto"/>
        </w:rPr>
        <w:t>from 1999 to 2003; BMC Industries, Inc. — Treasurer from 1998 to 1999, Controller from 1996 to 1998; various positions at Employee Benefit Plans, Inc. from 1993 to 1996, most recently as Vice President and Treasurer; employed by Arthur Andersen &amp; Co. from 1984 to 1993.</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4" w:name="page5"/>
    <w:bookmarkEnd w:id="4"/>
    <w:p>
      <w:pPr>
        <w:ind w:right="120" w:firstLine="432"/>
        <w:spacing w:after="0" w:line="257"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69" w:lineRule="exact"/>
        <w:rPr>
          <w:sz w:val="20"/>
          <w:szCs w:val="20"/>
          <w:color w:val="auto"/>
        </w:rPr>
      </w:pPr>
    </w:p>
    <w:p>
      <w:pPr>
        <w:ind w:left="740" w:right="1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McKeon </w:t>
      </w:r>
      <w:r>
        <w:rPr>
          <w:rFonts w:ascii="Arial" w:cs="Arial" w:eastAsia="Arial" w:hAnsi="Arial"/>
          <w:sz w:val="18"/>
          <w:szCs w:val="18"/>
          <w:color w:val="auto"/>
        </w:rPr>
        <w:t>has been our Chairman of the Board since 2005 and has extensive experience in management, manufacturing and corporate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served as President and Chief Operating Officer of ConAgra Foods, Inc. Venture Development Group. His knowledge of our company and its business is also valuable in formulating and executing our business plans and growth strategies.</w:t>
      </w:r>
    </w:p>
    <w:p>
      <w:pPr>
        <w:spacing w:after="0" w:line="181" w:lineRule="exact"/>
        <w:rPr>
          <w:rFonts w:ascii="Arial" w:cs="Arial" w:eastAsia="Arial" w:hAnsi="Arial"/>
          <w:sz w:val="18"/>
          <w:szCs w:val="18"/>
          <w:color w:val="auto"/>
        </w:rPr>
      </w:pPr>
    </w:p>
    <w:p>
      <w:pPr>
        <w:ind w:left="740" w:right="32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Hawkins </w:t>
      </w:r>
      <w:r>
        <w:rPr>
          <w:rFonts w:ascii="Arial" w:cs="Arial" w:eastAsia="Arial" w:hAnsi="Arial"/>
          <w:sz w:val="18"/>
          <w:szCs w:val="18"/>
          <w:color w:val="auto"/>
        </w:rPr>
        <w:t>was appointed as our Chief Executive Officer in 2011. Mr. Hawkins has been with the company for nearly 20 years, giving him an</w:t>
      </w:r>
      <w:r>
        <w:rPr>
          <w:rFonts w:ascii="Arial" w:cs="Arial" w:eastAsia="Arial" w:hAnsi="Arial"/>
          <w:sz w:val="18"/>
          <w:szCs w:val="18"/>
          <w:i w:val="1"/>
          <w:iCs w:val="1"/>
          <w:color w:val="auto"/>
        </w:rPr>
        <w:t xml:space="preserve"> </w:t>
      </w:r>
      <w:r>
        <w:rPr>
          <w:rFonts w:ascii="Arial" w:cs="Arial" w:eastAsia="Arial" w:hAnsi="Arial"/>
          <w:sz w:val="18"/>
          <w:szCs w:val="18"/>
          <w:color w:val="auto"/>
        </w:rPr>
        <w:t>intimate knowledge of our company and its business and a deep passion for our company’s continued success.</w:t>
      </w:r>
    </w:p>
    <w:p>
      <w:pPr>
        <w:spacing w:after="0" w:line="170" w:lineRule="exact"/>
        <w:rPr>
          <w:rFonts w:ascii="Arial" w:cs="Arial" w:eastAsia="Arial" w:hAnsi="Arial"/>
          <w:sz w:val="18"/>
          <w:szCs w:val="18"/>
          <w:color w:val="auto"/>
        </w:rPr>
      </w:pPr>
    </w:p>
    <w:p>
      <w:pPr>
        <w:ind w:left="740" w:right="6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Faulconbridge </w:t>
      </w:r>
      <w:r>
        <w:rPr>
          <w:rFonts w:ascii="Arial" w:cs="Arial" w:eastAsia="Arial" w:hAnsi="Arial"/>
          <w:sz w:val="18"/>
          <w:szCs w:val="18"/>
          <w:color w:val="auto"/>
        </w:rPr>
        <w:t>is a principal of Karges-Faulconbridge, Inc., an engineering and technical services firm that services a broad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including the ethanol industry. His background provides the company with technical expertise and insight into ethanol and other industries we serve.</w:t>
      </w:r>
    </w:p>
    <w:p>
      <w:pPr>
        <w:spacing w:after="0" w:line="181" w:lineRule="exact"/>
        <w:rPr>
          <w:rFonts w:ascii="Arial" w:cs="Arial" w:eastAsia="Arial" w:hAnsi="Arial"/>
          <w:sz w:val="18"/>
          <w:szCs w:val="18"/>
          <w:color w:val="auto"/>
        </w:rPr>
      </w:pPr>
    </w:p>
    <w:p>
      <w:pPr>
        <w:ind w:left="740" w:hanging="327"/>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Jergenson </w:t>
      </w:r>
      <w:r>
        <w:rPr>
          <w:rFonts w:ascii="Arial" w:cs="Arial" w:eastAsia="Arial" w:hAnsi="Arial"/>
          <w:sz w:val="16"/>
          <w:szCs w:val="16"/>
          <w:color w:val="auto"/>
        </w:rPr>
        <w:t>has been on our Board for 17 years. His operations management experience with Taylor Corporation, one of the largest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provides valuable perspective and insight as our company seeks and implements growth opportunities.</w:t>
      </w:r>
    </w:p>
    <w:p>
      <w:pPr>
        <w:spacing w:after="0" w:line="123" w:lineRule="exact"/>
        <w:rPr>
          <w:rFonts w:ascii="Arial" w:cs="Arial" w:eastAsia="Arial" w:hAnsi="Arial"/>
          <w:sz w:val="16"/>
          <w:szCs w:val="16"/>
          <w:color w:val="auto"/>
        </w:rPr>
      </w:pPr>
    </w:p>
    <w:p>
      <w:pPr>
        <w:ind w:left="740" w:right="8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Ms. Schumacher </w:t>
      </w:r>
      <w:r>
        <w:rPr>
          <w:rFonts w:ascii="Arial" w:cs="Arial" w:eastAsia="Arial" w:hAnsi="Arial"/>
          <w:sz w:val="18"/>
          <w:szCs w:val="18"/>
          <w:color w:val="auto"/>
        </w:rPr>
        <w:t>has extensive knowledge of the chemical industry and valuable experience in research and development, quality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with major corporations such as Andersen Corporation, a manufacturer of windows and doors, Ecolab Corporation, a leading supplier of cleaning and sanitizing products and services and Pillsbury Company, a food manufacturer. In addition, Ms. Schumacher holds a bachelor's degree in chemical engineering from the University of Minnesota.</w:t>
      </w:r>
    </w:p>
    <w:p>
      <w:pPr>
        <w:spacing w:after="0" w:line="186" w:lineRule="exact"/>
        <w:rPr>
          <w:rFonts w:ascii="Arial" w:cs="Arial" w:eastAsia="Arial" w:hAnsi="Arial"/>
          <w:sz w:val="18"/>
          <w:szCs w:val="18"/>
          <w:color w:val="auto"/>
        </w:rPr>
      </w:pPr>
    </w:p>
    <w:p>
      <w:pPr>
        <w:ind w:left="740" w:right="22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Skaar </w:t>
      </w:r>
      <w:r>
        <w:rPr>
          <w:rFonts w:ascii="Arial" w:cs="Arial" w:eastAsia="Arial" w:hAnsi="Arial"/>
          <w:sz w:val="18"/>
          <w:szCs w:val="18"/>
          <w:color w:val="auto"/>
        </w:rPr>
        <w:t>has extensive experience in purchasing and procurement for large public companies, having served as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Officer at Lucent Technologies and Vice President of Purchasing and Packing Engineering at 3M. This experience is valuable given the large number of products we must buy to operate our business.</w:t>
      </w:r>
    </w:p>
    <w:p>
      <w:pPr>
        <w:spacing w:after="0" w:line="181" w:lineRule="exact"/>
        <w:rPr>
          <w:rFonts w:ascii="Arial" w:cs="Arial" w:eastAsia="Arial" w:hAnsi="Arial"/>
          <w:sz w:val="18"/>
          <w:szCs w:val="18"/>
          <w:color w:val="auto"/>
        </w:rPr>
      </w:pPr>
    </w:p>
    <w:p>
      <w:pPr>
        <w:ind w:left="740" w:right="4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Thompson </w:t>
      </w:r>
      <w:r>
        <w:rPr>
          <w:rFonts w:ascii="Arial" w:cs="Arial" w:eastAsia="Arial" w:hAnsi="Arial"/>
          <w:sz w:val="18"/>
          <w:szCs w:val="18"/>
          <w:color w:val="auto"/>
        </w:rPr>
        <w:t>has experience with major manufacturing and commodity companies having served 30 years at Cargill, Inc., including eight years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186" w:lineRule="exact"/>
        <w:rPr>
          <w:rFonts w:ascii="Arial" w:cs="Arial" w:eastAsia="Arial" w:hAnsi="Arial"/>
          <w:sz w:val="18"/>
          <w:szCs w:val="18"/>
          <w:color w:val="auto"/>
        </w:rPr>
      </w:pPr>
    </w:p>
    <w:p>
      <w:pPr>
        <w:ind w:left="740" w:right="160" w:hanging="327"/>
        <w:spacing w:after="0" w:line="286"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Wright </w:t>
      </w:r>
      <w:r>
        <w:rPr>
          <w:rFonts w:ascii="Arial" w:cs="Arial" w:eastAsia="Arial" w:hAnsi="Arial"/>
          <w:sz w:val="17"/>
          <w:szCs w:val="17"/>
          <w:color w:val="auto"/>
        </w:rPr>
        <w:t>has extensive public company finance and audit experience, serving as Chief Financial Officer of G&amp;K Services, Inc. and having been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Arthur Andersen &amp; Co. He also has public company board experience, serving as a director of G&amp;K Services, Inc. His background provides us with valuable financial and accounting experience as well as public company board experience.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right="520" w:firstLine="432"/>
        <w:spacing w:after="0" w:line="288" w:lineRule="auto"/>
        <w:rPr>
          <w:sz w:val="20"/>
          <w:szCs w:val="20"/>
          <w:color w:val="auto"/>
        </w:rPr>
      </w:pPr>
      <w:r>
        <w:rPr>
          <w:rFonts w:ascii="Arial" w:cs="Arial" w:eastAsia="Arial" w:hAnsi="Arial"/>
          <w:sz w:val="16"/>
          <w:szCs w:val="16"/>
          <w:color w:val="auto"/>
        </w:rPr>
        <w:t>Our Board of Directors has determined that, of the director nominees, each of Messrs. Faulconbridge, Jergenson, McKeon, Skaar, Thompson and Wright, and Ms. Schumacher, are “Independent Directors” as that term is defined under the applicable listing standards of the NASDAQ Stock Market. Accordingly, a majority of our directors are independent. In connection with its determination of independence, our Board of Directors considered</w:t>
      </w:r>
    </w:p>
    <w:p>
      <w:pPr>
        <w:ind w:right="100"/>
        <w:spacing w:after="0" w:line="253" w:lineRule="auto"/>
        <w:rPr>
          <w:sz w:val="20"/>
          <w:szCs w:val="20"/>
          <w:color w:val="auto"/>
        </w:rPr>
      </w:pPr>
      <w:r>
        <w:rPr>
          <w:rFonts w:ascii="Arial" w:cs="Arial" w:eastAsia="Arial" w:hAnsi="Arial"/>
          <w:sz w:val="18"/>
          <w:szCs w:val="18"/>
          <w:color w:val="auto"/>
        </w:rPr>
        <w:t>Mr. Wright's director and officer positions with G&amp;K Services, Inc., which is a customer of and supplier of services to the company, and Mr. Faulconbridge's owner and officer positions with Karges-Faulconbridge, Inc., a supplier of services to the company, and determined that none of those relationships interfere with such director's exercise of independent judgment in carrying out the responsibilities of a director of our company. All of our transactions with G&amp;K Services, Inc. and Karges-Faulconbridge, Inc. during the most recent completed fiscal year were conducted on arms-length terms in the ordinary course of business.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Board of Directors held five meetings during the fiscal year ended March 31, 2013, hereinafter referred to as “fiscal 2013.” All directors attended at least 75% of the meetings of our Board of Directors and the committees on which they served. All directors attended our Annual Meeting of Shareholders in 2012. Our Board of Directors encourages, but does not require, director attendance at annual meetings of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Audit Committee, which consists of Jeffrey L. Wright (Chair), James A. Faulconbridge, Mary J. Schumacher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2013.</w:t>
      </w:r>
    </w:p>
    <w:p>
      <w:pPr>
        <w:spacing w:after="0" w:line="19"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and Ms. Schumacher, are "audit committee financial experts,” as the term is defined by regulations promulgated by the Securities and Exchange Commission (SEC).</w:t>
      </w:r>
    </w:p>
    <w:p>
      <w:pPr>
        <w:spacing w:after="0" w:line="3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Compensation Committee, which currently consists of James T. Thompson (Chair), Duane M. Jergenson, Mary J. Schumacher, Daryl I. Skaar, and Jeffrey L. Wright, is responsible for establishing compensation policies for our company and for reviewing and setting compensation for our executive officers. The Compensation Committee held four meetings during fiscal 2013.</w:t>
      </w:r>
    </w:p>
    <w:p>
      <w:pPr>
        <w:spacing w:after="0" w:line="46"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Compensation Committee retained independent compensation consultant McLagan to provide the Compensation Committee with independent advice regarding industry practices and peer company compensation programs for fiscal 2013. No member of the Board of Directors or any executive officer has any affiliation with McLagan. McLagan provides no other services to the company, and has reported directly to the chair of the Compensation Committee. The Compensation Committee has assessed the independence of McLagan in accordance with SEC rules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2013. In determining the competitiveness of such compensation, the Compensation Committee reviewed survey data prepared by McLagan.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3" w:right="239" w:bottom="1440" w:gutter="0" w:footer="0" w:header="0"/>
        </w:sectPr>
      </w:pPr>
    </w:p>
    <w:bookmarkStart w:id="6" w:name="page7"/>
    <w:bookmarkEnd w:id="6"/>
    <w:p>
      <w:pPr>
        <w:jc w:val="both"/>
        <w:ind w:right="40" w:firstLine="432"/>
        <w:spacing w:after="0" w:line="312"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2013. The responsibilities of the Governance and Nominating Committee are set forth in the Governance and Nominating Committee Charter. A current copy of the charter is available on our website (www.hawkinsinc.com).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financial risk oversight, and financial risk management is a factor the Board and the Governance and Nominating Committee consider when determining which directors serve on the Audit Committee. Accordingly, management has reported to the Board of Directors and Audit Committee on various risk management matters during fiscal 2013.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4"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65"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The Audit Committee has (i) reviewed and discussed our audited financial statements for fiscal 2013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2013 for filing with the SEC.</w:t>
      </w:r>
    </w:p>
    <w:p>
      <w:pPr>
        <w:spacing w:after="0" w:line="35" w:lineRule="exact"/>
        <w:rPr>
          <w:sz w:val="20"/>
          <w:szCs w:val="20"/>
          <w:color w:val="auto"/>
        </w:rPr>
      </w:pPr>
    </w:p>
    <w:p>
      <w:pPr>
        <w:ind w:left="2240"/>
        <w:spacing w:after="0"/>
        <w:tabs>
          <w:tab w:leader="none" w:pos="4420" w:val="left"/>
          <w:tab w:leader="none" w:pos="660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Mary J. Schumacher Daryl I. Skaar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table shows the aggregate fees billed to us by our independent registered public accounting firm, KPMG LLP, for services rendered during fiscal 2013 and fiscal 2012. The Audit Committee pre-approved 100% of the services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Fiscal 2013</w:t>
            </w:r>
          </w:p>
        </w:tc>
        <w:tc>
          <w:tcPr>
            <w:tcW w:w="380" w:type="dxa"/>
            <w:vAlign w:val="bottom"/>
          </w:tcPr>
          <w:p>
            <w:pPr>
              <w:spacing w:after="0"/>
              <w:rPr>
                <w:sz w:val="14"/>
                <w:szCs w:val="14"/>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Fiscal 2012</w:t>
            </w:r>
          </w:p>
        </w:tc>
        <w:tc>
          <w:tcPr>
            <w:tcW w:w="0" w:type="dxa"/>
            <w:vAlign w:val="bottom"/>
          </w:tcPr>
          <w:p>
            <w:pPr>
              <w:spacing w:after="0"/>
              <w:rPr>
                <w:sz w:val="1"/>
                <w:szCs w:val="1"/>
                <w:color w:val="auto"/>
              </w:rPr>
            </w:pPr>
          </w:p>
        </w:tc>
      </w:tr>
      <w:tr>
        <w:trPr>
          <w:trHeight w:val="158"/>
        </w:trPr>
        <w:tc>
          <w:tcPr>
            <w:tcW w:w="7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3"/>
                <w:szCs w:val="13"/>
                <w:color w:val="auto"/>
              </w:rPr>
            </w:pPr>
          </w:p>
        </w:tc>
        <w:tc>
          <w:tcPr>
            <w:tcW w:w="1560" w:type="dxa"/>
            <w:vAlign w:val="bottom"/>
          </w:tcPr>
          <w:p>
            <w:pPr>
              <w:jc w:val="right"/>
              <w:ind w:right="637"/>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246,000</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Tax Fees (a)</w:t>
            </w: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43,100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50,200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293,600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2013:</w:t>
      </w:r>
    </w:p>
    <w:p>
      <w:pPr>
        <w:spacing w:after="0" w:line="35"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Kathleen P. Pepski, Vice President, Chief Financial Officer and Treasurer;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 R. Sevenich, Vice President - Industrial Group;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Thomas J. Keller, Vice President - Water Treatment Group.</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both superior current business results as well as personal performance, and a long-term incentive plan that motivates long-term performance and aligns business objectives with the interests of our shareholders. During fiscal 2013, our compensation committee made no significant changes to its executive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3"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compensation policies or to the structure of our executive compensation program, having taken into account, among other things, the fact that the holders of over 94% of the shares voted at our 2012 annual meeting of shareholders approved, on an advisory basis, the compensation of our named executive officers as disclosed in the proxy statement for that annual meeting.</w:t>
      </w:r>
    </w:p>
    <w:p>
      <w:pPr>
        <w:spacing w:after="0" w:line="4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overall corporate profitability in fiscal 2013 decreased from fiscal 2012 levels. Income from continuing operations before income taxes was $25.4 million for fiscal 2013, as compared to $35.3 million for fiscal 2012. However, fiscal 2013 operating results included a non-recurring charge of $7.2 million related to our withdrawal from a multi-employer pension plan and approximately $0.2 million of related expenses, which the Compensation Committee decided not to include for purposes of calculating the degree to which the corporate performance measure was achieved, as this liability was caused by factors outside of current management's control. As a result, our named executive officers received payouts of approximately 91% of the targeted payout level for the corporate performance measure under our annual non-equity incentive compensation arrangement and earned approximately 91% of the targeted number of restricted shares issuable in settlement of the performance-based restricted stock units granted for fiscal 2013 as described below. The corporate performance measure for fiscal 2013 was income from continuing operations before income taxes.</w:t>
      </w:r>
    </w:p>
    <w:p>
      <w:pPr>
        <w:spacing w:after="0" w:line="4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Gross profit for our Industrial segment was $28.9 million for fiscal 2013, as compared to $40.4 million for fiscal 2012. Gross profit for our Water Treatment segment was $28.1 million for fiscal 2013, as compared to $25.5 million for fiscal 2012. The Compensation Committee utilized business unit profitability, which includes gross profit as a component of that profitability measure, as the performance measure for the business unit performance portion of the non-equity incentive compensation arrangement and the actual performance against that operating measure fell below target for the Industrial segment and above target for the Water Treatment segment. As a result, our Vice President - Industrial Group received a below-target payout under the business unit performance measure under our annual non-equity incentive compensation arrangement and our Vice President - Water Treatment Group received an above-target payout under the business unit performance measure under our annual non-equity incentive compensation arrangement.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Determining Executive Compensation for Fiscal 2013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and information on compensation programs of companies offering products similar to ours and from companies of comparable size to us that the Compensation Committee used in determining the compensation received by our executives during fiscal 2013. McLagan provided no other services to the company in fiscal 2013. The Compensation Committee did not select the companies that McLagan included in its sample, although it did have input into the criteria used by McLagan in the selection process.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connection with his promotion to the position of Vice President - Water Treatment Group in April 2012, Mr. Keller received a 17% increase in base salary. In June 2012, the Compensation Committee approved increases in the base salaries of the other named executive officers between 3% and 7.8% based on its evaluation of the competitive information available to it. The base salaries paid to our executive officers during the last three completed fiscal years are listed in the Summary Compensation Table below.</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fiscal 2013, the Compensation Committee designated financial performance goals, including a corporate pre-tax income performance measure and, for each executive in charge of a business unit, business unit operating profit measure, as well as individual objectives for determining whether a cash incentive payment would be paid under the arrangement and in what amount.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Threshold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Annual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Annual Cash</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Incentive Payment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5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Compensation Committee established the targets for each of the executive officers based on the relative scope of his or her responsibilities and resulting ability to impact the company’s performance. The Compensation Committee established a higher target opportunity for the Chief Executive Officer to reflect his significant responsibilities regarding the creation and implementation of long-term strategic direction for the entire company.</w:t>
      </w:r>
    </w:p>
    <w:p>
      <w:pPr>
        <w:spacing w:after="0" w:line="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2013 should be based upon company-wide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w:t>
      </w:r>
    </w:p>
    <w:p>
      <w:pPr>
        <w:spacing w:after="0" w:line="5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Compensation Committee determined that 40% of the annual cash incentive payment opportunities for Mr. Keller and Mr. Sevenich for fiscal 2013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w:t>
      </w:r>
    </w:p>
    <w:p>
      <w:pPr>
        <w:spacing w:after="0" w:line="7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achieving the respective target performance level (</w:t>
      </w:r>
      <w:r>
        <w:rPr>
          <w:rFonts w:ascii="Arial" w:cs="Arial" w:eastAsia="Arial" w:hAnsi="Arial"/>
          <w:sz w:val="16"/>
          <w:szCs w:val="16"/>
          <w:i w:val="1"/>
          <w:iCs w:val="1"/>
          <w:color w:val="auto"/>
        </w:rPr>
        <w:t>e.g</w:t>
      </w:r>
      <w:r>
        <w:rPr>
          <w:rFonts w:ascii="Arial" w:cs="Arial" w:eastAsia="Arial" w:hAnsi="Arial"/>
          <w:sz w:val="16"/>
          <w:szCs w:val="16"/>
          <w:color w:val="auto"/>
        </w:rPr>
        <w:t>., achieving 90% of the performance target will lead to a payout of 75% of the target level cash incentive payment). Performance between 100% and 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6"/>
          <w:szCs w:val="16"/>
          <w:i w:val="1"/>
          <w:iCs w:val="1"/>
          <w:color w:val="auto"/>
        </w:rPr>
        <w:t>e.g</w:t>
      </w:r>
      <w:r>
        <w:rPr>
          <w:rFonts w:ascii="Arial" w:cs="Arial" w:eastAsia="Arial" w:hAnsi="Arial"/>
          <w:sz w:val="16"/>
          <w:szCs w:val="16"/>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achieving 105% of performance target will lead to a payout of 125% of the target level cash incentive payment). Performance over 120% of the applicable performance target does not result in any additional annual cash incentive payment.</w:t>
      </w:r>
    </w:p>
    <w:p>
      <w:pPr>
        <w:spacing w:after="0" w:line="3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Corporate and Business Unit Financial Measures. </w:t>
      </w:r>
      <w:r>
        <w:rPr>
          <w:rFonts w:ascii="Arial" w:cs="Arial" w:eastAsia="Arial" w:hAnsi="Arial"/>
          <w:sz w:val="17"/>
          <w:szCs w:val="17"/>
          <w:color w:val="auto"/>
        </w:rPr>
        <w:t>The corporate performance portion of the annual cash incentive payment was based on our company-wide results for fiscal 2013 as measured by income from continuing operations before income taxes, adjusted to exclude the previously mentioned charges related to our withdrawal from a multi-employer pension plan, as compared to a targeted level of the same financial measure for that period. The business unit performance portion of the annual cash incentive payment was based on an operational measure of business unit profitability for fiscal 2013 that measures product sales less the cost of materials including freight in and the freight costs to deliver the product to the customer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2013 and the actual performance against those goals are summarized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Threshold</w:t>
            </w: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28"/>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27,219,200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34,024,000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40,828,800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32,802,625</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Water Treatment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18,630,400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23,288,000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27,945,600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24,859,003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Industrial Group Operational Profitability Measure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38,537,600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48,172,000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57,806,400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45,152,977</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from continuing operations before income taxes was the best measure of overall corporate financial performance and that the operational measures were the best measures of business unit financial performance.</w:t>
      </w:r>
    </w:p>
    <w:p>
      <w:pPr>
        <w:spacing w:after="0" w:line="19"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Because our income from continuing operations before income taxes was less than target level performance for the 2013 fiscal year, our named executive officers received 91% of the targeted payout under the corporate financial performance element of the annual cash incentive arrangement. Because business unit operational profitability performance for the Industrial segment was between threshold and target performance levels, Mr. Sevenich received</w:t>
      </w:r>
    </w:p>
    <w:p>
      <w:pPr>
        <w:ind w:right="40"/>
        <w:spacing w:after="0" w:line="277" w:lineRule="auto"/>
        <w:rPr>
          <w:sz w:val="20"/>
          <w:szCs w:val="20"/>
          <w:color w:val="auto"/>
        </w:rPr>
      </w:pPr>
      <w:r>
        <w:rPr>
          <w:rFonts w:ascii="Arial" w:cs="Arial" w:eastAsia="Arial" w:hAnsi="Arial"/>
          <w:sz w:val="17"/>
          <w:szCs w:val="17"/>
          <w:color w:val="auto"/>
        </w:rPr>
        <w:t>84.3% of his targeted payout under the applicable business unit financial measure. Because business unit operational profitability performance for the Water Treatment segment exceeded target performance levels, Mr. Keller received 120% of his targeted payout under the applicable business unit financial measure. While the Compensation Committee has discretion to adjust the size of the final payouts under the program, it has not done so.</w:t>
      </w:r>
    </w:p>
    <w:p>
      <w:pPr>
        <w:spacing w:after="0" w:line="38"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i w:val="1"/>
          <w:iCs w:val="1"/>
          <w:color w:val="auto"/>
        </w:rPr>
        <w:t xml:space="preserve">Individual Objectives. </w:t>
      </w:r>
      <w:r>
        <w:rPr>
          <w:rFonts w:ascii="Arial" w:cs="Arial" w:eastAsia="Arial" w:hAnsi="Arial"/>
          <w:sz w:val="18"/>
          <w:szCs w:val="18"/>
          <w:color w:val="auto"/>
        </w:rPr>
        <w:t>The Compensation Committee established multiple individual objectives for each executive officer for the fiscal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objectives for our Chief Executive Officer included overseeing strategic planning matters and business expansion matters. For our Chief Financial Officer, the individual objectives included supporting acquisition activities and overseeing a significant capital project. For our General Counsel, the individual objectives included litigation management and collective bargaining matters. For our Vice President - Water Treatment Group, the individual objectives included business expansion initiatives and succession planning. For our Vice President - Industrial Group, the individual objectives included new product initiatives. The Compensation Committee consulted with our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8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Achievement of individual objectives is more qualitative and subjective than the assessment of financial measures. Messrs. Hawkins, Erstad, Keller and Sevenich were awarded a target level annual cash incentive payment for individual objectives, while Ms. Pepski received 110% of the targeted annual cash incentive payment for individual objectives based on exceeding the targeted performance on her individual objectives.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 under certain of the equity awards,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under certain of the equity awards,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fiscal 2013, as had been the case in fiscal 2011 and fiscal 2012,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company last granted stock option awards to named executive officers in fiscal 2010. The Compensation Committee determined, with the assistance of McLagan, to continue granting performance-based restricted stock units to our executives so that a significant portion of the executive’s compensation would be performance-based.</w:t>
      </w:r>
    </w:p>
    <w:p>
      <w:pPr>
        <w:spacing w:after="0" w:line="3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For fiscal 2013, each named executive officer's target level restricted stock unit grant was based on a percentage of the executive's base salary, which was converted into a target number of units based on the closing market price of a share of our common stock on the date of grant. These grants, made in June 2012, provided that each named executive officer would receive a number of restricted shares of our common stock based on our performance during the fiscal year against the same income goal used in the annual cash incentive program described above.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actual number of restricted stock units that would vest and be settled on a one-for-one basis in restricted shares was based on a sliding scale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relevant income above or below the target level, and was subject to minimum threshold and maximum settlement amounts. For fiscal 2013, the target was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$34,024,000, the same level as our target used for our non-equity incentive plan arrangement described above, while our actual performance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$32,802,625 (as adjusted for the impact of the pension withdrawal liability). If our actual results were less than 80% of the target in fiscal 2013, then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would have received any restricted shares in settlement of performance-based restricted stock units. If our actual results were between 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100% of the target in fiscal 2013, then a number of restricted stock units would have vested and been settled in restricted shares based on a sliding scale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50% and 100% of the target number of restricted stock units. If our actual results were between 100% and 120% of the target in fiscal 2013, then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stock units would have vested and been settled in restricted shares based on a sliding scale between 100% and 150% of the target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restricted stock units. Because our actual results were less than 100% of the target in fiscal 2013, the named executive officers each received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equal to 91% of the target number of restricted stock units.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Units Vested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4"/>
              </w:rPr>
              <w:t>Target %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Minimum</w:t>
            </w:r>
          </w:p>
        </w:tc>
        <w:tc>
          <w:tcPr>
            <w:tcW w:w="120" w:type="dxa"/>
            <w:vAlign w:val="bottom"/>
            <w:vMerge w:val="restart"/>
          </w:tcPr>
          <w:p>
            <w:pPr>
              <w:spacing w:after="0"/>
              <w:rPr>
                <w:sz w:val="12"/>
                <w:szCs w:val="12"/>
                <w:color w:val="auto"/>
              </w:rPr>
            </w:pPr>
          </w:p>
        </w:tc>
        <w:tc>
          <w:tcPr>
            <w:tcW w:w="14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14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Maximum</w:t>
            </w:r>
          </w:p>
        </w:tc>
        <w:tc>
          <w:tcPr>
            <w:tcW w:w="120" w:type="dxa"/>
            <w:vAlign w:val="bottom"/>
            <w:vMerge w:val="restart"/>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Actually</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0"/>
              </w:rPr>
              <w:t>Base Salary</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6,368</w:t>
            </w:r>
          </w:p>
        </w:tc>
        <w:tc>
          <w:tcPr>
            <w:tcW w:w="12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5,862</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the Compensation Committee's assessment of the relative scope of his or her responsibilities and the resulting ability of the individual to impact the company's performance, as well as information provided by McLagan.</w:t>
      </w:r>
    </w:p>
    <w:p>
      <w:pPr>
        <w:spacing w:after="0" w:line="5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 actual number of restricted shares issued to each of the executive officers was determined after our audited financial information became available for fiscal 2013. The restricted shares will vest 100% two years after the last day of fiscal 2013. The restricted shares will terminate in their entirety if the executive officer departs the company before the end of the vesting period other than in cases of death or disability.</w:t>
      </w:r>
    </w:p>
    <w:p>
      <w:pPr>
        <w:spacing w:after="0" w:line="3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the event of a change in control of the company or other “fundamental change” as defined below, then the performance-based restricted stock unit award will vest immediately at 100% of its target if the Compensation Committee determines that the fundamental change will not result in the continuation of the performance-based restricted stock unit award. Any shares of restricted stock outstanding under performance-based restricted stock unit awards will also immediately vest. If a performance-based restricted stock unit award is continued after a fundamental change, but, in connection with the fundamental change, an executive is terminated without cause or resigns for good cause, then the performance-based restricted stock unit award and any restricted stock granted under the performance-based restricted stock unit award will vest in the same manner.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65" w:right="259" w:bottom="1440" w:gutter="0" w:footer="0" w:header="0"/>
        </w:sectPr>
      </w:pPr>
    </w:p>
    <w:bookmarkStart w:id="12" w:name="page13"/>
    <w:bookmarkEnd w:id="12"/>
    <w:p>
      <w:pPr>
        <w:ind w:right="140"/>
        <w:spacing w:after="0" w:line="279" w:lineRule="auto"/>
        <w:rPr>
          <w:sz w:val="20"/>
          <w:szCs w:val="20"/>
          <w:color w:val="auto"/>
        </w:rPr>
      </w:pPr>
      <w:r>
        <w:rPr>
          <w:rFonts w:ascii="Arial" w:cs="Arial" w:eastAsia="Arial" w:hAnsi="Arial"/>
          <w:sz w:val="17"/>
          <w:szCs w:val="17"/>
          <w:color w:val="auto"/>
        </w:rPr>
        <w:t>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63"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5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corporate transaction, a director of the company, or who becomes a director after the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All of our executive officers participate in our Profit Sharing Plan, which includes a 401(k) component, which is generally available to all other non-bargaining unit employees. Historically, our executive officers have also participated in our Employee Stock Ownership Plan, or ESOP, however executive participation was discontinued in 2008. In fiscal 2013, the Compensation Committee decided that our executive officers would once again participate in the ESOP. Contributions to the Profit Sharing Plan and ESOP by us on behalf of our executive officers have been a key component of our retention objectives since the contributed benefits initially vest over a six-year period.</w:t>
      </w:r>
    </w:p>
    <w:p>
      <w:pPr>
        <w:spacing w:after="0" w:line="8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Under the plans, our executive officers participate on the same terms as all other eligible employees, with the annual compensation that was used to determine plan benefits being capped at $250,000 for fiscal 2013. This limit will be adjusted in future years under federal tax law for cost-of-living increases. We recently adjusted the plan years for both the Profit Sharing Plan and the ESOP such that the most recent plan year was only nine months long and ended on December 31, 2012. Contributions to our employees, including our executive officers, were pro-rated based on this shorter plan year.</w:t>
      </w:r>
    </w:p>
    <w:p>
      <w:pPr>
        <w:spacing w:after="0" w:line="1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Under our Profit Sharing Plan, we contributed a percentage of each eligible participant's compensation to an account maintained for the participant under the plan. Participants may also participate in the 401(k) component of the profit sharing plan under which deferrals are matched by the company up to a maximum of five percent of the participant's qualified earnings. Participant accounts are credited with the appropriate gains or losses resulting from employee-directed investments made by the plan. In fiscal 2013, we made contributions to the Profit Sharing Plan equal to 5% of each participant's compensation in the plan year, subject to the cap on the plan benefits. For fiscal 2013, we contributed $9,375 on behalf of each named executive officer in addition to company matching contributions to the 401(k), with the exception of Mr. Keller, on whose behalf we contributed $9,138.</w:t>
      </w:r>
    </w:p>
    <w:p>
      <w:pPr>
        <w:spacing w:after="0" w:line="30" w:lineRule="exact"/>
        <w:rPr>
          <w:sz w:val="20"/>
          <w:szCs w:val="20"/>
          <w:color w:val="auto"/>
        </w:rPr>
      </w:pPr>
    </w:p>
    <w:p>
      <w:pPr>
        <w:ind w:right="220" w:firstLine="351"/>
        <w:spacing w:after="0" w:line="257" w:lineRule="auto"/>
        <w:rPr>
          <w:sz w:val="20"/>
          <w:szCs w:val="20"/>
          <w:color w:val="auto"/>
        </w:rPr>
      </w:pPr>
      <w:r>
        <w:rPr>
          <w:rFonts w:ascii="Arial" w:cs="Arial" w:eastAsia="Arial" w:hAnsi="Arial"/>
          <w:sz w:val="18"/>
          <w:szCs w:val="18"/>
          <w:color w:val="auto"/>
        </w:rPr>
        <w:t>Under our ESOP, we may contribute a percentage of each eligible participant's compensation to the plan, which is then credited to individual accounts maintained for participants under the plan. Contributions are made at the discretion of our Board of Directors. In fiscal 2013, we made contributions to this plan equal to 5% of each participant's eligible compensation in the plan year. For fiscal 2013, we contributed $9,375 on behalf of each executive officer, except for Mr. Keller, on whose behalf we contributed $9,138. Participant accounts are credited with the appropriate gains or losses resulting from the investments made by the plan.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2013, we provided medical and other health and welfare benefits to our executive officers that are generally available to our other employees. We currently permit any employee who retires after working for us for at least 25 years to continue to participate in our health insurance coverage until that person reaches the age of 65. The cost to the retired employee for that coverage is equivalent to the amount that the retiree would have been obligated to pay for the coverage under COBRA (the Consolidated Omnibus Budget Reconciliation Act). This policy is based on the importance we place on the retention of our employees, including our executive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5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of such compensation must generally be conditioned upon the satisfaction over a specified performance period of pre-established objective performance goals set by the Compensation Committee. The Compensation Committee believes that no named executive officer exceeded the $1.0 million limit during fiscal 2013.</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46" w:lineRule="exact"/>
        <w:rPr>
          <w:sz w:val="20"/>
          <w:szCs w:val="20"/>
          <w:color w:val="auto"/>
        </w:rPr>
      </w:pPr>
    </w:p>
    <w:p>
      <w:pPr>
        <w:ind w:left="1560"/>
        <w:spacing w:after="0"/>
        <w:tabs>
          <w:tab w:leader="none" w:pos="3900" w:val="left"/>
          <w:tab w:leader="none" w:pos="5760" w:val="left"/>
          <w:tab w:leader="none" w:pos="864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Mary J. Schumacher Daryl I. Skaar</w:t>
      </w:r>
      <w:r>
        <w:rPr>
          <w:sz w:val="20"/>
          <w:szCs w:val="20"/>
          <w:color w:val="auto"/>
        </w:rPr>
        <w:tab/>
      </w:r>
      <w:r>
        <w:rPr>
          <w:rFonts w:ascii="Arial" w:cs="Arial" w:eastAsia="Arial" w:hAnsi="Arial"/>
          <w:sz w:val="16"/>
          <w:szCs w:val="16"/>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Salary</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11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($)(a)</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345,833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315,014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194,880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44,388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900,115</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317,500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292,500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228,025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47,015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885,040</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210,068</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158,107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39,572</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687,747</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266,733</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162,013</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102,384</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44,394</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575,524</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248,667</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150,240</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105,104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46,485</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550,496</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Officer and Treasurer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238,125</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143,994</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108,416</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45,938</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536,473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239,125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145,211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67,373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44,125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495,834</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233,125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140,850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73,901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50,573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498,449</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223,417</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135,012</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76,230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49,534</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484,193</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John R. Sevenich</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235,833</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142,207</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85,434</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35,161</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498,635</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Vice President – Industrial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86,322</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40,838</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495,160</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Group</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224,750</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127,192</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81,732</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473,264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215,000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129,003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94,497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38,748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477,248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 Water</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Treatment Group</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40" w:hanging="412"/>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7, </w:t>
      </w:r>
      <w:r>
        <w:rPr>
          <w:rFonts w:ascii="Arial" w:cs="Arial" w:eastAsia="Arial" w:hAnsi="Arial"/>
          <w:sz w:val="18"/>
          <w:szCs w:val="18"/>
          <w:i w:val="1"/>
          <w:iCs w:val="1"/>
          <w:color w:val="auto"/>
        </w:rPr>
        <w:t>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p>
      <w:pPr>
        <w:ind w:left="420" w:right="780"/>
        <w:spacing w:after="0" w:line="324" w:lineRule="auto"/>
        <w:rPr>
          <w:sz w:val="20"/>
          <w:szCs w:val="20"/>
          <w:color w:val="auto"/>
        </w:rPr>
      </w:pPr>
      <w:r>
        <w:rPr>
          <w:rFonts w:ascii="Arial" w:cs="Arial" w:eastAsia="Arial" w:hAnsi="Arial"/>
          <w:sz w:val="18"/>
          <w:szCs w:val="18"/>
          <w:i w:val="1"/>
          <w:iCs w:val="1"/>
          <w:color w:val="auto"/>
        </w:rPr>
        <w:t>Based Compensation</w:t>
      </w:r>
      <w:r>
        <w:rPr>
          <w:rFonts w:ascii="Arial" w:cs="Arial" w:eastAsia="Arial" w:hAnsi="Arial"/>
          <w:sz w:val="18"/>
          <w:szCs w:val="18"/>
          <w:color w:val="auto"/>
        </w:rPr>
        <w:t>, to our audited financial statements included in our Annual Report on Form 10-K for fiscal 2013 for a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these awards and the assumptions used in valuing the awards.</w:t>
      </w:r>
    </w:p>
    <w:p>
      <w:pPr>
        <w:spacing w:after="0" w:line="8" w:lineRule="exact"/>
        <w:rPr>
          <w:sz w:val="20"/>
          <w:szCs w:val="20"/>
          <w:color w:val="auto"/>
        </w:rPr>
      </w:pPr>
    </w:p>
    <w:p>
      <w:pPr>
        <w:ind w:left="420" w:right="60" w:hanging="412"/>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values of the performance-based restricted unit awards granted in fiscal 2013, and the amount assuming the highest level of performance conditions are achieved, are set forth below.</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 Reported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Maximum Amount</w:t>
            </w: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472,521</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162,013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243,020</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217,817</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142,207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213,311</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193,505</w:t>
            </w: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left="420" w:hanging="41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2013 were paid in fiscal 2014 after we completed our annual audit.</w:t>
      </w:r>
    </w:p>
    <w:p>
      <w:pPr>
        <w:spacing w:after="0" w:line="46"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reported for fiscal 2013 include:</w:t>
      </w:r>
    </w:p>
    <w:p>
      <w:pPr>
        <w:spacing w:after="0" w:line="23" w:lineRule="exact"/>
        <w:rPr>
          <w:rFonts w:ascii="Arial" w:cs="Arial" w:eastAsia="Arial" w:hAnsi="Arial"/>
          <w:sz w:val="18"/>
          <w:szCs w:val="18"/>
          <w:color w:val="auto"/>
        </w:rPr>
      </w:pPr>
    </w:p>
    <w:p>
      <w:pPr>
        <w:ind w:left="740" w:right="20" w:hanging="327"/>
        <w:spacing w:after="0" w:line="261"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Contributions by the company on behalf of each of each of our named executive officers to our Profit Sharing Plan and Employee Stock Ownership Plan and employer matching contributions to our 401(k) as set forth below.</w:t>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Profit Sharing Plan</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Employee Stock</w:t>
            </w:r>
          </w:p>
        </w:tc>
        <w:tc>
          <w:tcPr>
            <w:tcW w:w="180" w:type="dxa"/>
            <w:vAlign w:val="bottom"/>
          </w:tcPr>
          <w:p>
            <w:pPr>
              <w:spacing w:after="0"/>
              <w:rPr>
                <w:sz w:val="14"/>
                <w:szCs w:val="14"/>
                <w:color w:val="auto"/>
              </w:rPr>
            </w:pPr>
          </w:p>
        </w:tc>
        <w:tc>
          <w:tcPr>
            <w:tcW w:w="1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Ownership Plan</w:t>
            </w:r>
          </w:p>
        </w:tc>
        <w:tc>
          <w:tcPr>
            <w:tcW w:w="1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Contribution</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7"/>
              </w:rPr>
              <w:t>Contribution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9,375</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9,375</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20" w:hanging="327"/>
        <w:spacing w:after="0" w:line="286"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Estimated Possible Payouts Under</w:t>
            </w:r>
          </w:p>
        </w:tc>
        <w:tc>
          <w:tcPr>
            <w:tcW w:w="3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Awards(a)</w:t>
            </w:r>
          </w:p>
        </w:tc>
        <w:tc>
          <w:tcPr>
            <w:tcW w:w="120" w:type="dxa"/>
            <w:vAlign w:val="bottom"/>
            <w:vMerge w:val="restart"/>
          </w:tcPr>
          <w:p>
            <w:pPr>
              <w:spacing w:after="0"/>
              <w:rPr>
                <w:sz w:val="5"/>
                <w:szCs w:val="5"/>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6"/>
              </w:rPr>
              <w:t>Equity Incentive Plan Awards(b)</w:t>
            </w: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4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53"/>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14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3"/>
                <w:szCs w:val="13"/>
                <w:color w:val="auto"/>
              </w:rPr>
            </w:pPr>
          </w:p>
        </w:tc>
        <w:tc>
          <w:tcPr>
            <w:tcW w:w="11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Threshold</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210,000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4,772</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14,315</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315,014</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140" w:type="dxa"/>
            <w:vAlign w:val="bottom"/>
          </w:tcPr>
          <w:p>
            <w:pPr>
              <w:jc w:val="right"/>
              <w:spacing w:after="0"/>
              <w:rPr>
                <w:sz w:val="20"/>
                <w:szCs w:val="20"/>
                <w:color w:val="auto"/>
              </w:rPr>
            </w:pPr>
            <w:r>
              <w:rPr>
                <w:rFonts w:ascii="Arial" w:cs="Arial" w:eastAsia="Arial" w:hAnsi="Arial"/>
                <w:sz w:val="18"/>
                <w:szCs w:val="18"/>
                <w:color w:val="auto"/>
              </w:rPr>
              <w:t>6/2/2012</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216,000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6/2/2012</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7,362</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162,013</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36,300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72,600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145,200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4,399</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6,599</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145,211</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140" w:type="dxa"/>
            <w:vAlign w:val="bottom"/>
          </w:tcPr>
          <w:p>
            <w:pPr>
              <w:jc w:val="right"/>
              <w:spacing w:after="0"/>
              <w:rPr>
                <w:sz w:val="20"/>
                <w:szCs w:val="20"/>
                <w:color w:val="auto"/>
              </w:rPr>
            </w:pPr>
            <w:r>
              <w:rPr>
                <w:rFonts w:ascii="Arial" w:cs="Arial" w:eastAsia="Arial" w:hAnsi="Arial"/>
                <w:sz w:val="18"/>
                <w:szCs w:val="18"/>
                <w:color w:val="auto"/>
              </w:rPr>
              <w:t>6/2/2012</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47,400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94,800</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189,600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6/2/2012</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6,462</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142,207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86,000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6/2/2012</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5,862</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129,003</w:t>
            </w:r>
          </w:p>
        </w:tc>
        <w:tc>
          <w:tcPr>
            <w:tcW w:w="0" w:type="dxa"/>
            <w:vAlign w:val="bottom"/>
          </w:tcPr>
          <w:p>
            <w:pPr>
              <w:spacing w:after="0"/>
              <w:rPr>
                <w:sz w:val="1"/>
                <w:szCs w:val="1"/>
                <w:color w:val="auto"/>
              </w:rPr>
            </w:pPr>
          </w:p>
        </w:tc>
      </w:tr>
      <w:tr>
        <w:trPr>
          <w:trHeight w:val="675"/>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5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92" w:right="259" w:bottom="1440" w:gutter="0" w:footer="0" w:header="0"/>
        </w:sectPr>
      </w:pPr>
    </w:p>
    <w:bookmarkStart w:id="15" w:name="page16"/>
    <w:bookmarkEnd w:id="15"/>
    <w:p>
      <w:pPr>
        <w:ind w:left="420" w:right="24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2013. Potential payments are based on specified levels of performance against corporate, business unit and individual objectives, as described under “Annual Non-Equity Incentive Compensation” in the Compensation Discussion and Analysis.</w:t>
      </w:r>
    </w:p>
    <w:p>
      <w:pPr>
        <w:spacing w:after="0" w:line="46" w:lineRule="exact"/>
        <w:rPr>
          <w:rFonts w:ascii="Arial" w:cs="Arial" w:eastAsia="Arial" w:hAnsi="Arial"/>
          <w:sz w:val="18"/>
          <w:szCs w:val="18"/>
          <w:color w:val="auto"/>
        </w:rPr>
      </w:pPr>
    </w:p>
    <w:p>
      <w:pPr>
        <w:ind w:left="420" w:right="60"/>
        <w:spacing w:after="0" w:line="276" w:lineRule="auto"/>
        <w:rPr>
          <w:rFonts w:ascii="Arial" w:cs="Arial" w:eastAsia="Arial" w:hAnsi="Arial"/>
          <w:sz w:val="18"/>
          <w:szCs w:val="18"/>
          <w:color w:val="auto"/>
        </w:rPr>
      </w:pPr>
      <w:r>
        <w:rPr>
          <w:rFonts w:ascii="Arial" w:cs="Arial" w:eastAsia="Arial" w:hAnsi="Arial"/>
          <w:sz w:val="17"/>
          <w:szCs w:val="17"/>
          <w:color w:val="auto"/>
        </w:rPr>
        <w:t>The actual amounts earned for fiscal 2013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37" w:lineRule="exact"/>
        <w:rPr>
          <w:rFonts w:ascii="Arial" w:cs="Arial" w:eastAsia="Arial" w:hAnsi="Arial"/>
          <w:sz w:val="18"/>
          <w:szCs w:val="18"/>
          <w:color w:val="auto"/>
        </w:rPr>
      </w:pPr>
    </w:p>
    <w:p>
      <w:pPr>
        <w:ind w:left="420" w:hanging="412"/>
        <w:spacing w:after="0" w:line="255"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2013. The number of restricted shares to be issued was based on the degree to which we achieved specified levels of income from continuing operations before taxes during fiscal 2013. See “Equity Awards” in the Compensation Discussion and Analysis for the performance goals applicable to the performance-based restricted stock units granted for performance in fiscal 2013. Additional terms of the outstanding performance-based restricted stock units are described in Note (a) to the Outstanding Equity Awards table. The number of restricted shares actually granted to each individual for fiscal 2013 performance was approximately 91% of target, and is as follows: Mr. Hawkins, 8,684 shares; Ms. Pepski, 4,466 shares; Mr. Erstad, 4,003 shares; Mr. Sevenich, 3,920 shares; and Mr. Keller, 3,556 shares.</w:t>
      </w:r>
    </w:p>
    <w:p>
      <w:pPr>
        <w:spacing w:after="0" w:line="54"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31,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2"/>
              </w:rPr>
              <w:t>Option Awards</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4"/>
              </w:rPr>
              <w:t>Price ($)</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 ($)(b)</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24,724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987,724</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558,541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12,924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516,314</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9,333 (c)</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6/10/2019</w:t>
            </w:r>
          </w:p>
        </w:tc>
        <w:tc>
          <w:tcPr>
            <w:tcW w:w="12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498,616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142,062</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right="40" w:hanging="412"/>
        <w:spacing w:after="0" w:line="253"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shares of restricted stock actually issued in settlement of the performance-based restricted stock unit awards granted for fiscal years 2011, 2012 and 2013. The restricted shares vest 100% two years after the last day of fiscal year for which the restricted stock units were awarded. Because our fiscal year end is not the same each year, no restricted stock grants vested during fiscal 2013, the fiscal year 2011 and 2012 grants will vest in fiscal 2014 (April 3, 2013 and April 1, 2014, respectively) and the fiscal year 2013 grant will vest on March 31, 2015. The number of restricted shares vesting on each of those dates for each of the named executive officers is as follows:</w:t>
      </w:r>
    </w:p>
    <w:p>
      <w:pPr>
        <w:spacing w:after="0" w:line="19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Number of Shares Vesting on:</w:t>
            </w:r>
          </w:p>
        </w:tc>
        <w:tc>
          <w:tcPr>
            <w:tcW w:w="154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April 3, 2013</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April 1, 2014</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7,417</w:t>
            </w:r>
          </w:p>
        </w:tc>
        <w:tc>
          <w:tcPr>
            <w:tcW w:w="1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8,623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8,684</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5,086</w:t>
            </w:r>
          </w:p>
        </w:tc>
        <w:tc>
          <w:tcPr>
            <w:tcW w:w="1760" w:type="dxa"/>
            <w:vAlign w:val="bottom"/>
            <w:gridSpan w:val="2"/>
          </w:tcPr>
          <w:p>
            <w:pPr>
              <w:jc w:val="right"/>
              <w:ind w:right="19"/>
              <w:spacing w:after="0"/>
              <w:rPr>
                <w:sz w:val="20"/>
                <w:szCs w:val="20"/>
                <w:color w:val="auto"/>
              </w:rPr>
            </w:pPr>
            <w:r>
              <w:rPr>
                <w:rFonts w:ascii="Arial" w:cs="Arial" w:eastAsia="Arial" w:hAnsi="Arial"/>
                <w:sz w:val="18"/>
                <w:szCs w:val="18"/>
                <w:color w:val="auto"/>
              </w:rPr>
              <w:t>4,429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4,466</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4,769</w:t>
            </w:r>
          </w:p>
        </w:tc>
        <w:tc>
          <w:tcPr>
            <w:tcW w:w="1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4,152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4,003</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4,493</w:t>
            </w:r>
          </w:p>
        </w:tc>
        <w:tc>
          <w:tcPr>
            <w:tcW w:w="1760" w:type="dxa"/>
            <w:vAlign w:val="bottom"/>
            <w:gridSpan w:val="2"/>
          </w:tcPr>
          <w:p>
            <w:pPr>
              <w:jc w:val="right"/>
              <w:ind w:right="19"/>
              <w:spacing w:after="0"/>
              <w:rPr>
                <w:sz w:val="20"/>
                <w:szCs w:val="20"/>
                <w:color w:val="auto"/>
              </w:rPr>
            </w:pPr>
            <w:r>
              <w:rPr>
                <w:rFonts w:ascii="Arial" w:cs="Arial" w:eastAsia="Arial" w:hAnsi="Arial"/>
                <w:sz w:val="18"/>
                <w:szCs w:val="18"/>
                <w:color w:val="auto"/>
              </w:rPr>
              <w:t>4,068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3,920</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3,556</w:t>
            </w:r>
          </w:p>
        </w:tc>
      </w:tr>
      <w:tr>
        <w:trPr>
          <w:trHeight w:val="27"/>
        </w:trPr>
        <w:tc>
          <w:tcPr>
            <w:tcW w:w="4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420" w:right="160"/>
        <w:spacing w:after="0" w:line="264" w:lineRule="auto"/>
        <w:rPr>
          <w:sz w:val="20"/>
          <w:szCs w:val="20"/>
          <w:color w:val="auto"/>
        </w:rPr>
      </w:pPr>
      <w:r>
        <w:rPr>
          <w:rFonts w:ascii="Arial" w:cs="Arial" w:eastAsia="Arial" w:hAnsi="Arial"/>
          <w:sz w:val="18"/>
          <w:szCs w:val="18"/>
          <w:color w:val="auto"/>
        </w:rPr>
        <w:t>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6" w:name="page17"/>
    <w:bookmarkEnd w:id="16"/>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year-end of $39.95 per share.</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stock options granted on June 10, 2009, which became exercisable on June 10, 2012, the third anniversary of the 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following table provides information concerning the aggregate number of stock options exercised and shares of restricted stock that vested for each of our named executive officers during fiscal 2013, and the aggregate dollar values realized by each of our named executive officers upon such exercises and vesting.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4"/>
          </w:tcPr>
          <w:p>
            <w:pPr>
              <w:ind w:left="1160"/>
              <w:spacing w:after="0"/>
              <w:rPr>
                <w:sz w:val="20"/>
                <w:szCs w:val="20"/>
                <w:color w:val="auto"/>
              </w:rPr>
            </w:pPr>
            <w:r>
              <w:rPr>
                <w:rFonts w:ascii="Arial" w:cs="Arial" w:eastAsia="Arial" w:hAnsi="Arial"/>
                <w:sz w:val="14"/>
                <w:szCs w:val="14"/>
                <w:b w:val="1"/>
                <w:bCs w:val="1"/>
                <w:color w:val="auto"/>
              </w:rPr>
              <w:t>Option Awards</w:t>
            </w:r>
          </w:p>
        </w:tc>
        <w:tc>
          <w:tcPr>
            <w:tcW w:w="3200" w:type="dxa"/>
            <w:vAlign w:val="bottom"/>
            <w:gridSpan w:val="3"/>
          </w:tcPr>
          <w:p>
            <w:pPr>
              <w:ind w:left="12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Number of</w:t>
            </w: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Value Realized</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w:t>
            </w: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on Exercise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(b)</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18,666</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416,054</w:t>
            </w:r>
          </w:p>
        </w:tc>
        <w:tc>
          <w:tcPr>
            <w:tcW w:w="12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168,928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exercise.</w:t>
      </w:r>
    </w:p>
    <w:p>
      <w:pPr>
        <w:spacing w:after="0" w:line="63" w:lineRule="exact"/>
        <w:rPr>
          <w:rFonts w:ascii="Arial" w:cs="Arial" w:eastAsia="Arial" w:hAnsi="Arial"/>
          <w:sz w:val="18"/>
          <w:szCs w:val="18"/>
          <w:color w:val="auto"/>
        </w:rPr>
      </w:pPr>
    </w:p>
    <w:p>
      <w:pPr>
        <w:ind w:left="420" w:right="100" w:hanging="412"/>
        <w:spacing w:after="0" w:line="298"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restricted shares vest 100% two years after the last day of fiscal year for which the restricted stock units were awarded. Because our fiscal year end is not the same each year, no restricted stock grants vested during fiscal 2013, while two years' worth of grants will vest in fiscal 2014.</w:t>
      </w: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4"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In 2011, our Compensation Committee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terms of the Executive Severance Plan, the Compensation Committee is responsible for assigning each executive to one of four tiers,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determines the duration of salary continuation for which an executive may be eligible. Initially, Mr. Hawkins has been assigned to Tier 1 and Ms. Pepski,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Sevenich and Mr. Keller have been assigned to Tier 3 and Mr. Erstad has been assigned to Tier 4. Tiers 1 and 2 provide for a salary continuation period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18 months in the case of a termination without cause not due to change in control and 24 months in the case of a termination (without cause or for good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 due to change in control. Tiers 3 and 4 provide for a salary continuation period of 12 months in the case of termination without cause not due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18 months in the case of termination (without cause or for good reason) due to change in control.</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“cause” means:</w:t>
      </w:r>
    </w:p>
    <w:p>
      <w:pPr>
        <w:spacing w:after="0" w:line="117" w:lineRule="exact"/>
        <w:rPr>
          <w:sz w:val="20"/>
          <w:szCs w:val="20"/>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23"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740" w:right="80" w:hanging="327"/>
        <w:spacing w:after="0" w:line="261"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right="40" w:firstLine="432"/>
        <w:spacing w:after="0" w:line="259" w:lineRule="auto"/>
        <w:rPr>
          <w:sz w:val="20"/>
          <w:szCs w:val="20"/>
          <w:color w:val="auto"/>
        </w:rPr>
      </w:pPr>
      <w:r>
        <w:rPr>
          <w:rFonts w:ascii="Arial" w:cs="Arial" w:eastAsia="Arial" w:hAnsi="Arial"/>
          <w:sz w:val="18"/>
          <w:szCs w:val="18"/>
          <w:color w:val="auto"/>
        </w:rPr>
        <w:t>The payments and benefits that would be paid to executives under the Executive Severance Plan as a result of a termination of employment without cause not due to a change in control include (1) base salary for the salary continuation period associated with their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5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additional payments and benefits that would be paid to executives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Hawkins, Inc. Profit Sharing Plan if the executive had remained employed and eligible for the Profit Sharing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117" w:lineRule="exact"/>
        <w:rPr>
          <w:sz w:val="20"/>
          <w:szCs w:val="20"/>
          <w:color w:val="auto"/>
        </w:rPr>
      </w:pPr>
    </w:p>
    <w:p>
      <w:pPr>
        <w:ind w:left="740" w:right="60" w:hanging="32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8" w:lineRule="exact"/>
        <w:rPr>
          <w:rFonts w:ascii="Arial" w:cs="Arial" w:eastAsia="Arial" w:hAnsi="Arial"/>
          <w:sz w:val="18"/>
          <w:szCs w:val="18"/>
          <w:color w:val="auto"/>
        </w:rPr>
      </w:pPr>
    </w:p>
    <w:p>
      <w:pPr>
        <w:ind w:left="740" w:hanging="327"/>
        <w:spacing w:after="0" w:line="270"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73" w:lineRule="exact"/>
        <w:rPr>
          <w:rFonts w:ascii="Arial" w:cs="Arial" w:eastAsia="Arial" w:hAnsi="Arial"/>
          <w:sz w:val="17"/>
          <w:szCs w:val="17"/>
          <w:color w:val="auto"/>
        </w:rPr>
      </w:pPr>
    </w:p>
    <w:p>
      <w:pPr>
        <w:ind w:left="740" w:right="340" w:hanging="327"/>
        <w:spacing w:after="0" w:line="279"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Salary</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Medical</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Outplacement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and Dental</w:t>
            </w:r>
          </w:p>
        </w:tc>
        <w:tc>
          <w:tcPr>
            <w:tcW w:w="1660" w:type="dxa"/>
            <w:vAlign w:val="bottom"/>
            <w:gridSpan w:val="2"/>
            <w:vMerge w:val="continue"/>
          </w:tcPr>
          <w:p>
            <w:pPr>
              <w:spacing w:after="0"/>
              <w:rPr>
                <w:sz w:val="12"/>
                <w:szCs w:val="12"/>
                <w:color w:val="auto"/>
              </w:rPr>
            </w:pPr>
          </w:p>
        </w:tc>
        <w:tc>
          <w:tcPr>
            <w:tcW w:w="15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Coverage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Costs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525,000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18,434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555,934</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270,000</w:t>
            </w:r>
          </w:p>
        </w:tc>
        <w:tc>
          <w:tcPr>
            <w:tcW w:w="12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13,042</w:t>
            </w:r>
          </w:p>
        </w:tc>
        <w:tc>
          <w:tcPr>
            <w:tcW w:w="10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295,542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242,000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267,542</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237,000</w:t>
            </w:r>
          </w:p>
        </w:tc>
        <w:tc>
          <w:tcPr>
            <w:tcW w:w="12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12,290</w:t>
            </w:r>
          </w:p>
        </w:tc>
        <w:tc>
          <w:tcPr>
            <w:tcW w:w="10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261,790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5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215,000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13,513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241,013</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620" w:right="1140" w:hanging="5612"/>
        <w:spacing w:after="0" w:line="605" w:lineRule="auto"/>
        <w:tabs>
          <w:tab w:leader="none" w:pos="4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 16</w:t>
      </w:r>
    </w:p>
    <w:p>
      <w:pPr>
        <w:sectPr>
          <w:pgSz w:w="11900" w:h="16838" w:orient="portrait"/>
          <w:cols w:equalWidth="0" w:num="1">
            <w:col w:w="11400"/>
          </w:cols>
          <w:pgMar w:left="240" w:top="665" w:right="259" w:bottom="1440" w:gutter="0" w:footer="0" w:header="0"/>
        </w:sectPr>
      </w:pPr>
    </w:p>
    <w:bookmarkStart w:id="18" w:name="page19"/>
    <w:bookmarkEnd w:id="18"/>
    <w:p>
      <w:pPr>
        <w:ind w:left="420" w:right="26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8"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Salary</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Medical</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Outplacement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Profit Sharing/401(k)</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Dental</w:t>
            </w: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Bonus</w:t>
            </w:r>
          </w:p>
        </w:tc>
        <w:tc>
          <w:tcPr>
            <w:tcW w:w="1540" w:type="dxa"/>
            <w:vAlign w:val="bottom"/>
            <w:gridSpan w:val="2"/>
            <w:vMerge w:val="continue"/>
          </w:tcPr>
          <w:p>
            <w:pPr>
              <w:spacing w:after="0"/>
              <w:rPr>
                <w:sz w:val="12"/>
                <w:szCs w:val="12"/>
                <w:color w:val="auto"/>
              </w:rPr>
            </w:pPr>
          </w:p>
        </w:tc>
        <w:tc>
          <w:tcPr>
            <w:tcW w:w="12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Coverage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Costs</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700,000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18,434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1,201,934</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405,000</w:t>
            </w:r>
          </w:p>
        </w:tc>
        <w:tc>
          <w:tcPr>
            <w:tcW w:w="12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19,563</w:t>
            </w:r>
          </w:p>
        </w:tc>
        <w:tc>
          <w:tcPr>
            <w:tcW w:w="1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162,000</w:t>
            </w:r>
          </w:p>
        </w:tc>
        <w:tc>
          <w:tcPr>
            <w:tcW w:w="10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38,250</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637,313</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363,000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19,563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108,900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540,263</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355,500</w:t>
            </w:r>
          </w:p>
        </w:tc>
        <w:tc>
          <w:tcPr>
            <w:tcW w:w="12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18,434</w:t>
            </w:r>
          </w:p>
        </w:tc>
        <w:tc>
          <w:tcPr>
            <w:tcW w:w="1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142,200</w:t>
            </w:r>
          </w:p>
        </w:tc>
        <w:tc>
          <w:tcPr>
            <w:tcW w:w="10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35,500</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564,134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20,269</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32,250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516,519</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48"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89" w:lineRule="exact"/>
        <w:rPr>
          <w:rFonts w:ascii="Arial" w:cs="Arial" w:eastAsia="Arial" w:hAnsi="Arial"/>
          <w:sz w:val="18"/>
          <w:szCs w:val="18"/>
          <w:color w:val="auto"/>
        </w:rPr>
      </w:pPr>
    </w:p>
    <w:p>
      <w:pPr>
        <w:ind w:left="420" w:hanging="412"/>
        <w:spacing w:after="0" w:line="30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i w:val="1"/>
          <w:iCs w:val="1"/>
          <w:color w:val="auto"/>
        </w:rPr>
        <w:t xml:space="preserve">Termination Other than Due to Death or Disability Following a Fundamental Change. </w:t>
      </w:r>
      <w:r>
        <w:rPr>
          <w:rFonts w:ascii="Arial" w:cs="Arial" w:eastAsia="Arial" w:hAnsi="Arial"/>
          <w:sz w:val="17"/>
          <w:szCs w:val="17"/>
          <w:color w:val="auto"/>
        </w:rPr>
        <w:t>All named executive officers with performance-based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20"/>
        <w:spacing w:after="0" w:line="302" w:lineRule="auto"/>
        <w:rPr>
          <w:sz w:val="20"/>
          <w:szCs w:val="20"/>
          <w:color w:val="auto"/>
        </w:rPr>
      </w:pPr>
      <w:r>
        <w:rPr>
          <w:rFonts w:ascii="Arial" w:cs="Arial" w:eastAsia="Arial" w:hAnsi="Arial"/>
          <w:sz w:val="16"/>
          <w:szCs w:val="16"/>
          <w:color w:val="auto"/>
        </w:rPr>
        <w:t>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1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8"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35" w:lineRule="exact"/>
        <w:rPr>
          <w:sz w:val="20"/>
          <w:szCs w:val="20"/>
          <w:color w:val="auto"/>
        </w:rPr>
      </w:pPr>
    </w:p>
    <w:p>
      <w:pPr>
        <w:jc w:val="both"/>
        <w:ind w:right="80" w:firstLine="432"/>
        <w:spacing w:after="0" w:line="302" w:lineRule="auto"/>
        <w:rPr>
          <w:sz w:val="20"/>
          <w:szCs w:val="20"/>
          <w:color w:val="auto"/>
        </w:rPr>
      </w:pPr>
      <w:r>
        <w:rPr>
          <w:rFonts w:ascii="Arial" w:cs="Arial" w:eastAsia="Arial" w:hAnsi="Arial"/>
          <w:sz w:val="16"/>
          <w:szCs w:val="16"/>
          <w:color w:val="auto"/>
        </w:rPr>
        <w:t>The following table presents the value of all outstanding restricted stock unit, restricted stock and option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 No named executive officers hold any unvested stock options.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Performance-Based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Units/Restricted Stock</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1,022,041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2440" w:type="dxa"/>
            <w:vAlign w:val="bottom"/>
          </w:tcPr>
          <w:p>
            <w:pPr>
              <w:jc w:val="right"/>
              <w:ind w:right="19"/>
              <w:spacing w:after="0"/>
              <w:rPr>
                <w:sz w:val="20"/>
                <w:szCs w:val="20"/>
                <w:color w:val="auto"/>
              </w:rPr>
            </w:pPr>
            <w:r>
              <w:rPr>
                <w:rFonts w:ascii="Arial" w:cs="Arial" w:eastAsia="Arial" w:hAnsi="Arial"/>
                <w:sz w:val="18"/>
                <w:szCs w:val="18"/>
                <w:color w:val="auto"/>
              </w:rPr>
              <w:t>576,199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532,134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2440" w:type="dxa"/>
            <w:vAlign w:val="bottom"/>
          </w:tcPr>
          <w:p>
            <w:pPr>
              <w:jc w:val="right"/>
              <w:ind w:right="19"/>
              <w:spacing w:after="0"/>
              <w:rPr>
                <w:sz w:val="20"/>
                <w:szCs w:val="20"/>
                <w:color w:val="auto"/>
              </w:rPr>
            </w:pPr>
            <w:r>
              <w:rPr>
                <w:rFonts w:ascii="Arial" w:cs="Arial" w:eastAsia="Arial" w:hAnsi="Arial"/>
                <w:sz w:val="18"/>
                <w:szCs w:val="18"/>
                <w:color w:val="auto"/>
              </w:rPr>
              <w:t>514,117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156,125</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320" w:hanging="412"/>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28, 2013 ($39.95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2013</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fiscal 2013, we paid each non-employee director an annual retainer of $25,000. We paid a supplemental annual retainer of $70,000 to our Chairman of the Board. We also paid supplemental annual retainers of $7,500 to the chairs of the Audit and Compensation committees and $5,000 to the chair of our Governance and Nominating Committee. Additionally, our non-employee directors received a meeting fee of $2,000 for each Board and committee meeting attended.</w:t>
      </w:r>
    </w:p>
    <w:p>
      <w:pPr>
        <w:spacing w:after="0" w:line="7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restricted common stock with a value of $35,000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2013, each non-employee director was granted 954 shares of restricted common stock on August 2, 2012, and these shares will vest in their entirety one year from their date of issuance.</w:t>
      </w:r>
    </w:p>
    <w:p>
      <w:pPr>
        <w:spacing w:after="0" w:line="53"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During fiscal 2006, we entered into a consulting agreement, which was terminated in August 2012, with John S. McKeon, our Chairman of the Board, to provide consulting services for certain strategic projects. Mr. McKeon received consulting fees of $20,000 under this arrangement in fiscal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20" w:name="page21"/>
    <w:bookmarkEnd w:id="20"/>
    <w:p>
      <w:pPr>
        <w:ind w:firstLine="432"/>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Stock</w:t>
            </w:r>
          </w:p>
        </w:tc>
        <w:tc>
          <w:tcPr>
            <w:tcW w:w="180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Paid</w:t>
            </w:r>
          </w:p>
        </w:tc>
        <w:tc>
          <w:tcPr>
            <w:tcW w:w="158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Awards ($)(a)</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92,964</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79,964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185,964</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87,964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68,500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34,964</w:t>
            </w:r>
          </w:p>
        </w:tc>
        <w:tc>
          <w:tcPr>
            <w:tcW w:w="1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103,464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24,750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24,750</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0" w:hanging="412"/>
        <w:spacing w:after="0" w:line="255"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August 2, 2012, each member then on the Board received 954 shares of restricted stock as part of his retainer pursuant to the 2010 Plan. The amounts shown in this column represent the grant-date fair value of each of the awards computed in accordance with FASB ASC Topic 718. See Note 7,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2013 for a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these awards and the assumptions used in valuing the awards. All of these shares vest in full on August 2, 2013, are eligible to receive dividends paid on our common stock and were the only shares of restricted stock held by each director at the end of our most recently completed fiscal year.</w:t>
      </w:r>
    </w:p>
    <w:p>
      <w:pPr>
        <w:spacing w:after="0" w:line="85"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consulting fees, as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decisions regarding compensation of our executive officers during fiscal 2013 were made by the Compensation Committee of our Board of Directors. During fiscal 2013,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provides information about shares that may be issued under the Hawkins, Inc. 2004 Omnibus Stock Plan (the “2004 Plan”) and the Hawkins, Inc. 2010 Omnibus Incentive Plan (the “2010 Plan”) as of March 31, 2013. We do not have any other equity compensation plans required to be included in this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4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820" w:type="dxa"/>
            <w:vAlign w:val="bottom"/>
            <w:gridSpan w:val="2"/>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holders(a)</w:t>
            </w:r>
          </w:p>
        </w:tc>
        <w:tc>
          <w:tcPr>
            <w:tcW w:w="172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18,666</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965,689   (b)(c)</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40" w:hanging="412"/>
        <w:spacing w:after="0" w:line="286"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maintain two plans that were approved by our shareholders, the 2004 Plan and the 2010 Plan. Both plans allow awards in the form of restricted or unrestricted stock, incentive or non-statutory stock options, stock appreciation rights, performance-based restricted stock units or other stock-based awards. Our board of directors has determined that no further awards will be granted under the 2004 Plan.</w:t>
      </w:r>
    </w:p>
    <w:p>
      <w:pPr>
        <w:spacing w:after="0" w:line="57" w:lineRule="exact"/>
        <w:rPr>
          <w:rFonts w:ascii="Arial" w:cs="Arial" w:eastAsia="Arial" w:hAnsi="Arial"/>
          <w:sz w:val="17"/>
          <w:szCs w:val="17"/>
          <w:color w:val="auto"/>
        </w:rPr>
      </w:pPr>
    </w:p>
    <w:p>
      <w:pPr>
        <w:ind w:left="420" w:right="56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w:t>
      </w:r>
    </w:p>
    <w:p>
      <w:pPr>
        <w:spacing w:after="0" w:line="62"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Does not include 28,649 shares of restricted stock which were issuable upon vesting of outstanding performance-based restricted stock unit awards as of March 31,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4"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The following table contains information as of June 10, 2013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780" w:type="dxa"/>
            <w:vAlign w:val="bottom"/>
          </w:tcPr>
          <w:p>
            <w:pPr>
              <w:spacing w:after="0"/>
              <w:rPr>
                <w:sz w:val="14"/>
                <w:szCs w:val="14"/>
                <w:color w:val="auto"/>
              </w:rPr>
            </w:pPr>
          </w:p>
        </w:tc>
        <w:tc>
          <w:tcPr>
            <w:tcW w:w="16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(a)</w:t>
            </w:r>
          </w:p>
        </w:tc>
        <w:tc>
          <w:tcPr>
            <w:tcW w:w="7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Royce &amp; Associates, LLC</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1,179,335</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Trustees, Hawkins, Inc. Employee Stock Ownership Plan and Trust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979,565</w:t>
            </w:r>
          </w:p>
        </w:tc>
        <w:tc>
          <w:tcPr>
            <w:tcW w:w="780" w:type="dxa"/>
            <w:vAlign w:val="bottom"/>
          </w:tcPr>
          <w:p>
            <w:pPr>
              <w:ind w:left="140"/>
              <w:spacing w:after="0"/>
              <w:rPr>
                <w:sz w:val="20"/>
                <w:szCs w:val="20"/>
                <w:color w:val="auto"/>
              </w:rPr>
            </w:pPr>
            <w:r>
              <w:rPr>
                <w:rFonts w:ascii="Arial" w:cs="Arial" w:eastAsia="Arial" w:hAnsi="Arial"/>
                <w:sz w:val="18"/>
                <w:szCs w:val="18"/>
                <w:color w:val="auto"/>
              </w:rPr>
              <w:t>(c)</w:t>
            </w:r>
          </w:p>
        </w:tc>
        <w:tc>
          <w:tcPr>
            <w:tcW w:w="16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742,211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Neuberger Berman Group LLC</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731,888</w:t>
            </w:r>
          </w:p>
        </w:tc>
        <w:tc>
          <w:tcPr>
            <w:tcW w:w="780" w:type="dxa"/>
            <w:vAlign w:val="bottom"/>
          </w:tcPr>
          <w:p>
            <w:pPr>
              <w:ind w:left="140"/>
              <w:spacing w:after="0"/>
              <w:rPr>
                <w:sz w:val="20"/>
                <w:szCs w:val="20"/>
                <w:color w:val="auto"/>
              </w:rPr>
            </w:pPr>
            <w:r>
              <w:rPr>
                <w:rFonts w:ascii="Arial" w:cs="Arial" w:eastAsia="Arial" w:hAnsi="Arial"/>
                <w:sz w:val="18"/>
                <w:szCs w:val="18"/>
                <w:color w:val="auto"/>
              </w:rPr>
              <w:t>(e)</w:t>
            </w: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Rowe Price Associates, Inc.</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707,251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The Vanguard Group</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573,031</w:t>
            </w:r>
          </w:p>
        </w:tc>
        <w:tc>
          <w:tcPr>
            <w:tcW w:w="780" w:type="dxa"/>
            <w:vAlign w:val="bottom"/>
          </w:tcPr>
          <w:p>
            <w:pPr>
              <w:ind w:left="140"/>
              <w:spacing w:after="0"/>
              <w:rPr>
                <w:sz w:val="20"/>
                <w:szCs w:val="20"/>
                <w:color w:val="auto"/>
              </w:rPr>
            </w:pPr>
            <w:r>
              <w:rPr>
                <w:rFonts w:ascii="Arial" w:cs="Arial" w:eastAsia="Arial" w:hAnsi="Arial"/>
                <w:sz w:val="18"/>
                <w:szCs w:val="18"/>
                <w:color w:val="auto"/>
              </w:rPr>
              <w:t>(g)</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47,936</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Duane M. Jergenson</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21,267</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John S. McKeon</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35,512</w:t>
            </w: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7,952</w:t>
            </w: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7,140</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4,140</w:t>
            </w: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16,844</w:t>
            </w:r>
          </w:p>
        </w:tc>
        <w:tc>
          <w:tcPr>
            <w:tcW w:w="780" w:type="dxa"/>
            <w:vAlign w:val="bottom"/>
          </w:tcPr>
          <w:p>
            <w:pPr>
              <w:ind w:left="140"/>
              <w:spacing w:after="0"/>
              <w:rPr>
                <w:sz w:val="20"/>
                <w:szCs w:val="20"/>
                <w:color w:val="auto"/>
              </w:rPr>
            </w:pPr>
            <w:r>
              <w:rPr>
                <w:rFonts w:ascii="Arial" w:cs="Arial" w:eastAsia="Arial" w:hAnsi="Arial"/>
                <w:sz w:val="18"/>
                <w:szCs w:val="18"/>
                <w:color w:val="auto"/>
              </w:rPr>
              <w:t>(l)</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47,301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Tomas J. Keller</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56,012</w:t>
            </w:r>
          </w:p>
        </w:tc>
        <w:tc>
          <w:tcPr>
            <w:tcW w:w="780" w:type="dxa"/>
            <w:vAlign w:val="bottom"/>
          </w:tcPr>
          <w:p>
            <w:pPr>
              <w:ind w:left="140"/>
              <w:spacing w:after="0"/>
              <w:rPr>
                <w:sz w:val="20"/>
                <w:szCs w:val="20"/>
                <w:color w:val="auto"/>
              </w:rPr>
            </w:pPr>
            <w:r>
              <w:rPr>
                <w:rFonts w:ascii="Arial" w:cs="Arial" w:eastAsia="Arial" w:hAnsi="Arial"/>
                <w:sz w:val="18"/>
                <w:szCs w:val="18"/>
                <w:color w:val="auto"/>
              </w:rPr>
              <w:t>(n)</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officers as a group (13 persons)</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305,571</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63"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74" w:lineRule="exact"/>
        <w:rPr>
          <w:rFonts w:ascii="Arial" w:cs="Arial" w:eastAsia="Arial" w:hAnsi="Arial"/>
          <w:sz w:val="17"/>
          <w:szCs w:val="17"/>
          <w:color w:val="auto"/>
        </w:rPr>
      </w:pPr>
    </w:p>
    <w:p>
      <w:pPr>
        <w:ind w:left="420" w:right="52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Royce &amp; Associates, LLC with the SEC on January 11, 2013. The address for Royce &amp; Associates is 745 Fifth Avenue, New York, NY 10151.</w:t>
      </w:r>
    </w:p>
    <w:p>
      <w:pPr>
        <w:spacing w:after="0" w:line="8" w:lineRule="exact"/>
        <w:rPr>
          <w:rFonts w:ascii="Arial" w:cs="Arial" w:eastAsia="Arial" w:hAnsi="Arial"/>
          <w:sz w:val="18"/>
          <w:szCs w:val="18"/>
          <w:color w:val="auto"/>
        </w:rPr>
      </w:pPr>
    </w:p>
    <w:p>
      <w:pPr>
        <w:ind w:left="420" w:right="20" w:hanging="412"/>
        <w:spacing w:after="0" w:line="255"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of the Hawkins, Inc. Employee Stock Ownership Plan and Trust is BMO Harris Bank,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27" w:lineRule="exact"/>
        <w:rPr>
          <w:rFonts w:ascii="Arial" w:cs="Arial" w:eastAsia="Arial" w:hAnsi="Arial"/>
          <w:sz w:val="18"/>
          <w:szCs w:val="18"/>
          <w:color w:val="auto"/>
        </w:rPr>
      </w:pPr>
    </w:p>
    <w:p>
      <w:pPr>
        <w:ind w:left="420" w:right="400" w:hanging="412"/>
        <w:spacing w:after="0" w:line="216"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BlackRock, Inc. with the SEC on February 8, 2013. The address for BlackRock, Inc. is 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NY 10022.</w:t>
      </w:r>
    </w:p>
    <w:p>
      <w:pPr>
        <w:spacing w:after="0" w:line="41" w:lineRule="exact"/>
        <w:rPr>
          <w:rFonts w:ascii="Arial" w:cs="Arial" w:eastAsia="Arial" w:hAnsi="Arial"/>
          <w:sz w:val="18"/>
          <w:szCs w:val="18"/>
          <w:color w:val="auto"/>
        </w:rPr>
      </w:pPr>
    </w:p>
    <w:p>
      <w:pPr>
        <w:ind w:left="420" w:right="12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Neuberger Berman Group LLC with the SEC on February 14, 2013. The address for Neuberger Berman Group LLC is 605 Third Avenue, New York, NY 10158.</w:t>
      </w:r>
    </w:p>
    <w:p>
      <w:pPr>
        <w:spacing w:after="0" w:line="8" w:lineRule="exact"/>
        <w:rPr>
          <w:rFonts w:ascii="Arial" w:cs="Arial" w:eastAsia="Arial" w:hAnsi="Arial"/>
          <w:sz w:val="18"/>
          <w:szCs w:val="18"/>
          <w:color w:val="auto"/>
        </w:rPr>
      </w:pPr>
    </w:p>
    <w:p>
      <w:pPr>
        <w:ind w:left="420" w:right="16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8, 2013. The address for T. Rowe Price Associates, Inc. is 100 E. Pratt Street, Baltimore, MD 21202.</w:t>
      </w:r>
    </w:p>
    <w:p>
      <w:pPr>
        <w:spacing w:after="0" w:line="8" w:lineRule="exact"/>
        <w:rPr>
          <w:rFonts w:ascii="Arial" w:cs="Arial" w:eastAsia="Arial" w:hAnsi="Arial"/>
          <w:sz w:val="18"/>
          <w:szCs w:val="18"/>
          <w:color w:val="auto"/>
        </w:rPr>
      </w:pPr>
    </w:p>
    <w:p>
      <w:pPr>
        <w:ind w:left="420" w:right="38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The Vanguard Group with the SEC on February 12, 2013. The address for The Vanguard Group is 100 Vanguard Blvd, Malvern, PA 19355.</w:t>
      </w:r>
    </w:p>
    <w:p>
      <w:pPr>
        <w:spacing w:after="0" w:line="8" w:lineRule="exact"/>
        <w:rPr>
          <w:rFonts w:ascii="Arial" w:cs="Arial" w:eastAsia="Arial" w:hAnsi="Arial"/>
          <w:sz w:val="18"/>
          <w:szCs w:val="18"/>
          <w:color w:val="auto"/>
        </w:rPr>
      </w:pPr>
    </w:p>
    <w:p>
      <w:pPr>
        <w:ind w:left="420" w:right="20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550 shares that Mr. Faulconbridge holds jointly with his wife as to which he shares voting and investment power and 954 shares of restricted stock, which shares vest and the related restrictions expire on August 2, 2013.</w:t>
      </w:r>
    </w:p>
    <w:p>
      <w:pPr>
        <w:spacing w:after="0" w:line="8"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11,812 shares representing the beneficial interest of Mr. Hawkins as of June 5, 2013 in our ESOP, 8,623 shares of restricted stock, which shares vest and the related restrictions expire on April 1, 2014 and 8,684 shares of restricted</w:t>
      </w:r>
    </w:p>
    <w:p>
      <w:pPr>
        <w:sectPr>
          <w:pgSz w:w="11900" w:h="16838" w:orient="portrait"/>
          <w:cols w:equalWidth="0" w:num="1">
            <w:col w:w="11400"/>
          </w:cols>
          <w:pgMar w:left="240" w:top="823" w:right="25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823" w:right="259" w:bottom="1440" w:gutter="0" w:footer="0" w:header="0"/>
          <w:type w:val="continuous"/>
        </w:sectPr>
      </w:pPr>
    </w:p>
    <w:bookmarkStart w:id="22" w:name="page23"/>
    <w:bookmarkEnd w:id="22"/>
    <w:p>
      <w:pPr>
        <w:ind w:left="420" w:right="160"/>
        <w:spacing w:after="0" w:line="313" w:lineRule="auto"/>
        <w:rPr>
          <w:sz w:val="20"/>
          <w:szCs w:val="20"/>
          <w:color w:val="auto"/>
        </w:rPr>
      </w:pPr>
      <w:r>
        <w:rPr>
          <w:rFonts w:ascii="Arial" w:cs="Arial" w:eastAsia="Arial" w:hAnsi="Arial"/>
          <w:sz w:val="18"/>
          <w:szCs w:val="18"/>
          <w:color w:val="auto"/>
        </w:rPr>
        <w:t>stock, which shares vest and the related restrictions expire on March 31, 2015. Does not include outstanding Performance-Based Restricted Stock Unit Awards.</w:t>
      </w: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954 shares of restricted stock, which shares vest and the related restrictions expire on August 2, 2013.</w:t>
      </w:r>
    </w:p>
    <w:p>
      <w:pPr>
        <w:spacing w:after="0" w:line="63" w:lineRule="exact"/>
        <w:rPr>
          <w:rFonts w:ascii="Arial" w:cs="Arial" w:eastAsia="Arial" w:hAnsi="Arial"/>
          <w:sz w:val="18"/>
          <w:szCs w:val="18"/>
          <w:color w:val="auto"/>
        </w:rPr>
      </w:pPr>
    </w:p>
    <w:p>
      <w:pPr>
        <w:ind w:left="420" w:right="440" w:hanging="412"/>
        <w:spacing w:after="0" w:line="264"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4,152 shares of restricted stock, which shares vest and the related restrictions expire on April 1, 2014 and 4,003 shares of restricted stock, which shares vest and the related restrictions expire on March 31, 2015. Does not include outstanding Performance-Based Restricted Stock Unit Awards.</w:t>
      </w:r>
    </w:p>
    <w:p>
      <w:pPr>
        <w:spacing w:after="0" w:line="19" w:lineRule="exact"/>
        <w:rPr>
          <w:rFonts w:ascii="Arial" w:cs="Arial" w:eastAsia="Arial" w:hAnsi="Arial"/>
          <w:sz w:val="18"/>
          <w:szCs w:val="18"/>
          <w:color w:val="auto"/>
        </w:rPr>
      </w:pPr>
    </w:p>
    <w:p>
      <w:pPr>
        <w:ind w:left="420" w:right="440" w:hanging="412"/>
        <w:spacing w:after="0" w:line="264"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4,429 shares of restricted stock, which shares vest and the related restrictions expire on April 1, 2014 and 4,466 shares of restricted stock, which shares vest and the related restrictions expire on March 31, 2015. Does not include outstanding Performance-Based Restricted Stock Unit Awards.</w:t>
      </w:r>
    </w:p>
    <w:p>
      <w:pPr>
        <w:spacing w:after="0" w:line="19"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26,675 shares representing the beneficial interest of Mr. Sevenich as of June 5, 2013 in our ESOP, 9,333 shares covered by options exercisable within 60 days granted to Mr. Sevenich, 4,068 shares of restricted stock, which shares vest and the related restrictions expire on April 1, 2014 and 3,920 shares of restricted stock, which shares vest and the related restrictions expire on March 31, 2015. Does not include outstanding Performance-Based Restricted Stock Unit Awards.</w:t>
      </w:r>
    </w:p>
    <w:p>
      <w:pPr>
        <w:spacing w:after="0" w:line="24" w:lineRule="exact"/>
        <w:rPr>
          <w:rFonts w:ascii="Arial" w:cs="Arial" w:eastAsia="Arial" w:hAnsi="Arial"/>
          <w:sz w:val="18"/>
          <w:szCs w:val="18"/>
          <w:color w:val="auto"/>
        </w:rPr>
      </w:pPr>
    </w:p>
    <w:p>
      <w:pPr>
        <w:ind w:left="420" w:right="40" w:hanging="412"/>
        <w:spacing w:after="0" w:line="264"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5,634 shares that Mr. Keller holds jointly with his wife as to which he shares voting and investment power, 46,821 shares representing the beneficial interest of Mr. Keller as of June 5, 2013 in our ESOP and 3,556 shares of restricted stock, which shares vest and the related restrictions expire on March 31, 2015. Does not include outstanding Performance-Based Restricted Stock Unit Awards.</w:t>
      </w:r>
    </w:p>
    <w:p>
      <w:pPr>
        <w:spacing w:after="0" w:line="19"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119,014 shares representing the beneficial interest of the directors and officers as of June 5, 2013 in our ESOP. Does not include outstanding Performance-Based Restricted Stock Unit Awards.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employ Angela Wagamon, sister of Patrick H. Hawkins, our Chief Executive Officer, and Todd Hawkins, cousin of Patrick H. Hawkins; and Michael Clemens and John Clemens, the brothers of Theresa R. Moran, our Vice President - Quality and Support. Including retirement plan contributions and bonuses, each such employee earned in excess of $120,000 in fiscal 2013.</w:t>
      </w:r>
    </w:p>
    <w:p>
      <w:pPr>
        <w:spacing w:after="0" w:line="46"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EXECUTIVE OFFICER COMPENSATION</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 We will consider our shareholders to have approved our executive compensation if the number of votes cast “for” this proposal exceed the number of votes cast “against” this proposal. Accordingly, an abstention or failure to vote on this proposal (including a broker non-vote) will have no effect on the outcome of this proposal.</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executive compensation program has been designed to attract and retain executives who will lead our company to achieve long-term success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growth in shareholder value. Consistent with that goal, our executive compensation is based on company, business unit and individual performance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alignment of the interests of our executive officers with those of our shareholders and is used to encourage our executive officers to stay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Our executive compensation program currently includes a mix of compensation elements that rewards current results as well as motivates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through an appropriate balance of base pay and performance-based variable compensation. To incent appropriate performance, our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variable compensation consists of a short-term variable pay component that rewards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executives for both current business results as well as personal performance, and a long-term incentive plan that motivates long-term performance and aligns business results with the interests of our shareholders.</w:t>
      </w:r>
    </w:p>
    <w:p>
      <w:pPr>
        <w:spacing w:after="0" w:line="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the company's 2013 proxy statement.</w:t>
      </w:r>
    </w:p>
    <w:p>
      <w:pPr>
        <w:spacing w:after="0" w:line="31"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TWO.</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2013 and has been retained by the Audit Committee as our auditor for fiscal 2014.</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KPMG LLP are expected to attend the Annual Meeting and will have the opportunity to make a statement if they desire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questions.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PROPOSALS BY SHAREHOLDERS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February 24, 2014.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May 3, 2014,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Annual Report on Form 10-K for fiscal 2013, including financial statements, is being mailed with this Proxy Statement. Shareholders who wish to obtain an additional copy of our Annual Report on Form 10-K for fiscal 2013 may do so without charge by writing to: Hawkins, Inc., 2381 Rosegate, Roseville, Minnesota 55113, Attention: Secretary. Our Annual Report on Form 10-K, as well as other company reports, are also available on the SEC’s website (www.sec.gov).</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665" w:right="2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1)"/>
      <w:numFmt w:val="lowerLetter"/>
      <w:start w:val="3"/>
    </w:lvl>
    <w:lvl w:ilvl="1">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2"/>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2019-12-05T11:55:44Z</dcterms:created>
  <dcterms:modified xsi:type="dcterms:W3CDTF">2019-12-05T11:55:44Z</dcterms:modified>
</cp:coreProperties>
</file>