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(AMENDMENT NO. 7)*</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Hawkins Chemical,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Common Stock, Par Value $.05 per share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420200 10 7</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spacing w:after="0"/>
        <w:tabs>
          <w:tab w:leader="none" w:pos="3360" w:val="left"/>
        </w:tabs>
        <w:rPr>
          <w:sz w:val="20"/>
          <w:szCs w:val="20"/>
          <w:color w:val="auto"/>
        </w:rPr>
      </w:pPr>
      <w:r>
        <w:rPr>
          <w:rFonts w:ascii="Courier New" w:cs="Courier New" w:eastAsia="Courier New" w:hAnsi="Courier New"/>
          <w:sz w:val="18"/>
          <w:szCs w:val="18"/>
          <w:color w:val="auto"/>
        </w:rPr>
        <w:t>SEC 1745 (2/92)</w:t>
      </w:r>
      <w:r>
        <w:rPr>
          <w:sz w:val="20"/>
          <w:szCs w:val="20"/>
          <w:color w:val="auto"/>
        </w:rPr>
        <w:tab/>
      </w:r>
      <w:r>
        <w:rPr>
          <w:rFonts w:ascii="Courier New" w:cs="Courier New" w:eastAsia="Courier New" w:hAnsi="Courier New"/>
          <w:sz w:val="16"/>
          <w:szCs w:val="16"/>
          <w:color w:val="auto"/>
        </w:rPr>
        <w:t>Page 1 of 8 pages</w:t>
      </w:r>
    </w:p>
    <w:p>
      <w:pPr>
        <w:sectPr>
          <w:pgSz w:w="11900" w:h="16838" w:orient="portrait"/>
          <w:cols w:equalWidth="0" w:num="1">
            <w:col w:w="10219"/>
          </w:cols>
          <w:pgMar w:left="240" w:top="649" w:right="1440" w:bottom="1440" w:gutter="0" w:footer="0" w:header="0"/>
        </w:sectPr>
      </w:pPr>
    </w:p>
    <w:bookmarkStart w:id="1" w:name="page2"/>
    <w:bookmarkEnd w:id="1"/>
    <w:p>
      <w:pPr>
        <w:spacing w:after="0"/>
        <w:tabs>
          <w:tab w:leader="none" w:pos="1140" w:val="left"/>
          <w:tab w:leader="none" w:pos="4100" w:val="left"/>
          <w:tab w:leader="none" w:pos="6520" w:val="left"/>
        </w:tabs>
        <w:rPr>
          <w:sz w:val="20"/>
          <w:szCs w:val="20"/>
          <w:color w:val="auto"/>
        </w:rPr>
      </w:pPr>
      <w:r>
        <w:rPr>
          <w:rFonts w:ascii="Courier New" w:cs="Courier New" w:eastAsia="Courier New" w:hAnsi="Courier New"/>
          <w:sz w:val="18"/>
          <w:szCs w:val="18"/>
          <w:color w:val="auto"/>
        </w:rPr>
        <w:t>CUSIP NO.</w:t>
        <w:tab/>
        <w:t>420200 10 7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ind w:left="640" w:hanging="421"/>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Hawkins Chemical, Inc. Employee Stock Ownership Plan and Trust</w:t>
      </w:r>
    </w:p>
    <w:p>
      <w:pPr>
        <w:ind w:left="2120" w:hanging="532"/>
        <w:spacing w:after="0" w:line="238" w:lineRule="auto"/>
        <w:tabs>
          <w:tab w:leader="none" w:pos="21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41-0771293</w:t>
      </w:r>
    </w:p>
    <w:p>
      <w:pPr>
        <w:spacing w:after="0" w:line="202" w:lineRule="exact"/>
        <w:rPr>
          <w:sz w:val="20"/>
          <w:szCs w:val="20"/>
          <w:color w:val="auto"/>
        </w:rPr>
      </w:pPr>
    </w:p>
    <w:p>
      <w:pPr>
        <w:ind w:left="220"/>
        <w:spacing w:after="0"/>
        <w:tabs>
          <w:tab w:leader="none" w:pos="6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6540"/>
        <w:spacing w:after="0" w:line="238" w:lineRule="auto"/>
        <w:rPr>
          <w:sz w:val="20"/>
          <w:szCs w:val="20"/>
          <w:color w:val="auto"/>
        </w:rPr>
      </w:pPr>
      <w:r>
        <w:rPr>
          <w:rFonts w:ascii="Courier New" w:cs="Courier New" w:eastAsia="Courier New" w:hAnsi="Courier New"/>
          <w:sz w:val="18"/>
          <w:szCs w:val="18"/>
          <w:color w:val="auto"/>
        </w:rPr>
        <w:t>(a) / /</w:t>
      </w:r>
    </w:p>
    <w:p>
      <w:pPr>
        <w:ind w:left="6540"/>
        <w:spacing w:after="0"/>
        <w:rPr>
          <w:sz w:val="20"/>
          <w:szCs w:val="20"/>
          <w:color w:val="auto"/>
        </w:rPr>
      </w:pPr>
      <w:r>
        <w:rPr>
          <w:rFonts w:ascii="Courier New" w:cs="Courier New" w:eastAsia="Courier New" w:hAnsi="Courier New"/>
          <w:sz w:val="18"/>
          <w:szCs w:val="18"/>
          <w:color w:val="auto"/>
        </w:rPr>
        <w:t>(b) / /</w:t>
      </w:r>
    </w:p>
    <w:p>
      <w:pPr>
        <w:ind w:left="640" w:hanging="421"/>
        <w:spacing w:after="0" w:line="237" w:lineRule="auto"/>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160" w:right="5779" w:hanging="941"/>
        <w:spacing w:after="0" w:line="470" w:lineRule="auto"/>
        <w:tabs>
          <w:tab w:leader="none" w:pos="63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Minnesota</w:t>
      </w:r>
    </w:p>
    <w:p>
      <w:pPr>
        <w:spacing w:after="0" w:line="6"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68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8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80" w:type="dxa"/>
            <w:vAlign w:val="bottom"/>
          </w:tcPr>
          <w:p>
            <w:pPr>
              <w:spacing w:after="0"/>
              <w:rPr>
                <w:sz w:val="17"/>
                <w:szCs w:val="17"/>
                <w:color w:val="auto"/>
              </w:rPr>
            </w:pPr>
          </w:p>
        </w:tc>
        <w:tc>
          <w:tcPr>
            <w:tcW w:w="26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8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48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80" w:type="dxa"/>
            <w:vAlign w:val="bottom"/>
          </w:tcPr>
          <w:p>
            <w:pPr>
              <w:spacing w:after="0"/>
              <w:rPr>
                <w:sz w:val="17"/>
                <w:szCs w:val="17"/>
                <w:color w:val="auto"/>
              </w:rPr>
            </w:pPr>
          </w:p>
        </w:tc>
        <w:tc>
          <w:tcPr>
            <w:tcW w:w="2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2,543,284 (b)</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8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80" w:type="dxa"/>
            <w:vAlign w:val="bottom"/>
          </w:tcPr>
          <w:p>
            <w:pPr>
              <w:ind w:left="780"/>
              <w:spacing w:after="0"/>
              <w:rPr>
                <w:sz w:val="20"/>
                <w:szCs w:val="20"/>
                <w:color w:val="auto"/>
              </w:rPr>
            </w:pPr>
            <w:r>
              <w:rPr>
                <w:rFonts w:ascii="Courier New" w:cs="Courier New" w:eastAsia="Courier New" w:hAnsi="Courier New"/>
                <w:sz w:val="18"/>
                <w:szCs w:val="18"/>
                <w:color w:val="auto"/>
              </w:rPr>
              <w:t>0</w:t>
            </w:r>
          </w:p>
        </w:tc>
      </w:tr>
      <w:tr>
        <w:trPr>
          <w:trHeight w:val="405"/>
        </w:trPr>
        <w:tc>
          <w:tcPr>
            <w:tcW w:w="1480" w:type="dxa"/>
            <w:vAlign w:val="bottom"/>
          </w:tcPr>
          <w:p>
            <w:pPr>
              <w:spacing w:after="0"/>
              <w:rPr>
                <w:sz w:val="24"/>
                <w:szCs w:val="24"/>
                <w:color w:val="auto"/>
              </w:rPr>
            </w:pPr>
          </w:p>
        </w:tc>
        <w:tc>
          <w:tcPr>
            <w:tcW w:w="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w:t>
            </w:r>
          </w:p>
        </w:tc>
        <w:tc>
          <w:tcPr>
            <w:tcW w:w="2680" w:type="dxa"/>
            <w:vAlign w:val="bottom"/>
          </w:tcPr>
          <w:p>
            <w:pPr>
              <w:ind w:left="160"/>
              <w:spacing w:after="0"/>
              <w:rPr>
                <w:sz w:val="20"/>
                <w:szCs w:val="20"/>
                <w:color w:val="auto"/>
              </w:rPr>
            </w:pPr>
            <w:r>
              <w:rPr>
                <w:rFonts w:ascii="Courier New" w:cs="Courier New" w:eastAsia="Courier New" w:hAnsi="Courier New"/>
                <w:sz w:val="18"/>
                <w:szCs w:val="18"/>
                <w:color w:val="auto"/>
                <w:w w:val="96"/>
              </w:rPr>
              <w:t>SHARED DISPOSITIVE POWER</w:t>
            </w:r>
          </w:p>
        </w:tc>
      </w:tr>
      <w:tr>
        <w:trPr>
          <w:trHeight w:val="405"/>
        </w:trPr>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80" w:type="dxa"/>
            <w:vAlign w:val="bottom"/>
          </w:tcPr>
          <w:p>
            <w:pPr>
              <w:ind w:left="160"/>
              <w:spacing w:after="0"/>
              <w:rPr>
                <w:sz w:val="20"/>
                <w:szCs w:val="20"/>
                <w:color w:val="auto"/>
              </w:rPr>
            </w:pPr>
            <w:r>
              <w:rPr>
                <w:rFonts w:ascii="Courier New" w:cs="Courier New" w:eastAsia="Courier New" w:hAnsi="Courier New"/>
                <w:sz w:val="18"/>
                <w:szCs w:val="18"/>
                <w:color w:val="auto"/>
              </w:rPr>
              <w:t>2,543,284 (b)</w:t>
            </w:r>
          </w:p>
        </w:tc>
      </w:tr>
    </w:tbl>
    <w:p>
      <w:pPr>
        <w:spacing w:after="0" w:line="207" w:lineRule="exact"/>
        <w:rPr>
          <w:sz w:val="20"/>
          <w:szCs w:val="20"/>
          <w:color w:val="auto"/>
        </w:rPr>
      </w:pPr>
    </w:p>
    <w:p>
      <w:pPr>
        <w:ind w:left="2320" w:right="3259" w:hanging="2101"/>
        <w:spacing w:after="0" w:line="470" w:lineRule="auto"/>
        <w:tabs>
          <w:tab w:leader="none" w:pos="634"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2,543,284 (b)</w:t>
      </w:r>
    </w:p>
    <w:p>
      <w:pPr>
        <w:spacing w:after="0" w:line="12" w:lineRule="exact"/>
        <w:rPr>
          <w:sz w:val="20"/>
          <w:szCs w:val="20"/>
          <w:color w:val="auto"/>
        </w:rPr>
      </w:pPr>
    </w:p>
    <w:p>
      <w:pPr>
        <w:ind w:left="640" w:hanging="421"/>
        <w:spacing w:after="0"/>
        <w:tabs>
          <w:tab w:leader="none" w:pos="6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18" w:lineRule="exact"/>
        <w:rPr>
          <w:rFonts w:ascii="Courier New" w:cs="Courier New" w:eastAsia="Courier New" w:hAnsi="Courier New"/>
          <w:sz w:val="16"/>
          <w:szCs w:val="16"/>
          <w:color w:val="auto"/>
        </w:rPr>
      </w:pPr>
    </w:p>
    <w:p>
      <w:pPr>
        <w:ind w:left="640" w:hanging="421"/>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21.5%</w:t>
      </w:r>
    </w:p>
    <w:p>
      <w:pPr>
        <w:spacing w:after="0" w:line="207" w:lineRule="exact"/>
        <w:rPr>
          <w:sz w:val="20"/>
          <w:szCs w:val="20"/>
          <w:color w:val="auto"/>
        </w:rPr>
      </w:pPr>
    </w:p>
    <w:p>
      <w:pPr>
        <w:ind w:left="2440" w:right="6939" w:hanging="2221"/>
        <w:spacing w:after="0" w:line="558" w:lineRule="auto"/>
        <w:tabs>
          <w:tab w:leader="none" w:pos="64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EP</w:t>
      </w:r>
    </w:p>
    <w:p>
      <w:pPr>
        <w:spacing w:after="0" w:line="367"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*SEE INSTRUCTION BEFORE FILLING OUT!</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2 of 8 pages</w:t>
      </w:r>
    </w:p>
    <w:p>
      <w:pPr>
        <w:sectPr>
          <w:pgSz w:w="11900" w:h="16838" w:orient="portrait"/>
          <w:cols w:equalWidth="0" w:num="1">
            <w:col w:w="10219"/>
          </w:cols>
          <w:pgMar w:left="240" w:top="717" w:right="1440" w:bottom="1440" w:gutter="0" w:footer="0" w:header="0"/>
          <w:type w:val="continuous"/>
        </w:sectPr>
      </w:pPr>
    </w:p>
    <w:bookmarkStart w:id="2" w:name="page3"/>
    <w:bookmarkEnd w:id="2"/>
    <w:p>
      <w:pPr>
        <w:ind w:left="3900"/>
        <w:spacing w:after="0"/>
        <w:rPr>
          <w:sz w:val="20"/>
          <w:szCs w:val="20"/>
          <w:color w:val="auto"/>
        </w:rPr>
      </w:pPr>
      <w:r>
        <w:rPr>
          <w:rFonts w:ascii="Courier New" w:cs="Courier New" w:eastAsia="Courier New" w:hAnsi="Courier New"/>
          <w:sz w:val="18"/>
          <w:szCs w:val="18"/>
          <w:color w:val="auto"/>
        </w:rPr>
        <w:t>NOTES</w:t>
      </w:r>
    </w:p>
    <w:p>
      <w:pPr>
        <w:spacing w:after="0" w:line="207" w:lineRule="exact"/>
        <w:rPr>
          <w:sz w:val="20"/>
          <w:szCs w:val="20"/>
          <w:color w:val="auto"/>
        </w:rPr>
      </w:pPr>
    </w:p>
    <w:p>
      <w:pPr>
        <w:ind w:right="1879" w:firstLine="535"/>
        <w:spacing w:after="0" w:line="237" w:lineRule="auto"/>
        <w:tabs>
          <w:tab w:leader="none" w:pos="105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Trustees of the Hawkins Chemical, Inc. Employee Stock Ownership Plan and Trust are Messrs. Howard J. Hawkins, Dean L. Hahn, Donald L. Shipp, Howard M. Hawkins, and John R. Hawkins. These individuals, all of whom are directors and officers of the Issuer, also serve as Trustees of the Hawkins Chemical, Inc. Money Purchase Pension Plan and Trust, which held 79,049 shares as of December 31, 1997 (0.9% of the total outstanding shares). Apart from the plan holdings in these two plans and the individual interests of each trustee under such plans, as of December 31, 1997, these individuals had personal holdings of the Issuer's common stock as set forth below. Unless otherwise noted, all shares shown are held by individuals possessing sole voting and dispositive power with respect to such shares.</w:t>
      </w:r>
    </w:p>
    <w:p>
      <w:pPr>
        <w:spacing w:after="0" w:line="210"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2320" w:type="dxa"/>
            <w:vAlign w:val="bottom"/>
          </w:tcPr>
          <w:p>
            <w:pPr>
              <w:spacing w:after="0"/>
              <w:rPr>
                <w:sz w:val="17"/>
                <w:szCs w:val="17"/>
                <w:color w:val="auto"/>
              </w:rPr>
            </w:pPr>
          </w:p>
        </w:tc>
        <w:tc>
          <w:tcPr>
            <w:tcW w:w="236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Number of</w:t>
            </w:r>
          </w:p>
        </w:tc>
        <w:tc>
          <w:tcPr>
            <w:tcW w:w="1740" w:type="dxa"/>
            <w:vAlign w:val="bottom"/>
          </w:tcPr>
          <w:p>
            <w:pPr>
              <w:jc w:val="center"/>
              <w:ind w:left="592"/>
              <w:spacing w:after="0"/>
              <w:rPr>
                <w:sz w:val="20"/>
                <w:szCs w:val="20"/>
                <w:color w:val="auto"/>
              </w:rPr>
            </w:pPr>
            <w:r>
              <w:rPr>
                <w:rFonts w:ascii="Courier New" w:cs="Courier New" w:eastAsia="Courier New" w:hAnsi="Courier New"/>
                <w:sz w:val="18"/>
                <w:szCs w:val="18"/>
                <w:color w:val="auto"/>
                <w:w w:val="98"/>
              </w:rPr>
              <w:t>Percentage</w:t>
            </w:r>
          </w:p>
        </w:tc>
      </w:tr>
      <w:tr>
        <w:trPr>
          <w:trHeight w:val="203"/>
        </w:trPr>
        <w:tc>
          <w:tcPr>
            <w:tcW w:w="23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Name</w:t>
            </w:r>
          </w:p>
        </w:tc>
        <w:tc>
          <w:tcPr>
            <w:tcW w:w="236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Shares</w:t>
            </w:r>
          </w:p>
        </w:tc>
        <w:tc>
          <w:tcPr>
            <w:tcW w:w="1740" w:type="dxa"/>
            <w:vAlign w:val="bottom"/>
          </w:tcPr>
          <w:p>
            <w:pPr>
              <w:jc w:val="center"/>
              <w:ind w:left="612"/>
              <w:spacing w:after="0" w:line="203" w:lineRule="exact"/>
              <w:rPr>
                <w:sz w:val="20"/>
                <w:szCs w:val="20"/>
                <w:color w:val="auto"/>
              </w:rPr>
            </w:pPr>
            <w:r>
              <w:rPr>
                <w:rFonts w:ascii="Courier New" w:cs="Courier New" w:eastAsia="Courier New" w:hAnsi="Courier New"/>
                <w:sz w:val="18"/>
                <w:szCs w:val="18"/>
                <w:color w:val="auto"/>
                <w:w w:val="97"/>
              </w:rPr>
              <w:t>of Class</w:t>
            </w:r>
          </w:p>
        </w:tc>
      </w:tr>
      <w:tr>
        <w:trPr>
          <w:trHeight w:val="203"/>
        </w:trPr>
        <w:tc>
          <w:tcPr>
            <w:tcW w:w="23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center"/>
              <w:ind w:left="59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Howard J. Hawkins</w:t>
            </w:r>
          </w:p>
        </w:tc>
        <w:tc>
          <w:tcPr>
            <w:tcW w:w="23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552,995(1)</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4.8%</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Dean L. Hahn</w:t>
            </w:r>
          </w:p>
        </w:tc>
        <w:tc>
          <w:tcPr>
            <w:tcW w:w="23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104,040(2)</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0.9%</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Donald L. Shipp</w:t>
            </w:r>
          </w:p>
        </w:tc>
        <w:tc>
          <w:tcPr>
            <w:tcW w:w="23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131,413(3)</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Howard M. Hawkins</w:t>
            </w:r>
          </w:p>
        </w:tc>
        <w:tc>
          <w:tcPr>
            <w:tcW w:w="23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165,283(4)</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R. Hawkins</w:t>
            </w:r>
          </w:p>
        </w:tc>
        <w:tc>
          <w:tcPr>
            <w:tcW w:w="23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69,975(5)</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0.7%</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Hawkins has sole voting and dispositive power over all of these</w:t>
      </w:r>
    </w:p>
    <w:p>
      <w:pPr>
        <w:spacing w:after="0" w:line="4" w:lineRule="exact"/>
        <w:rPr>
          <w:rFonts w:ascii="Courier New" w:cs="Courier New" w:eastAsia="Courier New" w:hAnsi="Courier New"/>
          <w:sz w:val="18"/>
          <w:szCs w:val="18"/>
          <w:color w:val="auto"/>
        </w:rPr>
      </w:pPr>
    </w:p>
    <w:p>
      <w:pPr>
        <w:ind w:right="21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552,995 shares, except for 191,665 shares owned by his wife as to which Mr. Hawkins may be deemed to share voting and dispositive power, but as to which he disclaims beneficial ownership, as well as 35,473 shares that Mr. Hawkins holds jointly with his wife as to which he shares voting and dispositive power.</w:t>
      </w:r>
    </w:p>
    <w:p>
      <w:pPr>
        <w:spacing w:after="0" w:line="208" w:lineRule="exact"/>
        <w:rPr>
          <w:rFonts w:ascii="Courier New" w:cs="Courier New" w:eastAsia="Courier New" w:hAnsi="Courier New"/>
          <w:sz w:val="18"/>
          <w:szCs w:val="18"/>
          <w:color w:val="auto"/>
        </w:rPr>
      </w:pPr>
    </w:p>
    <w:p>
      <w:pPr>
        <w:ind w:right="2099" w:firstLine="8"/>
        <w:spacing w:after="0" w:line="236" w:lineRule="auto"/>
        <w:tabs>
          <w:tab w:leader="none" w:pos="42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Hahn has sole voting and dispositive power over all of these 104,040 shares, except for 14,384 shares that Mr. Hahn holds jointly with his wife as to which he shares voting and dispositive power.</w:t>
      </w:r>
    </w:p>
    <w:p>
      <w:pPr>
        <w:spacing w:after="0" w:line="208" w:lineRule="exact"/>
        <w:rPr>
          <w:rFonts w:ascii="Courier New" w:cs="Courier New" w:eastAsia="Courier New" w:hAnsi="Courier New"/>
          <w:sz w:val="18"/>
          <w:szCs w:val="18"/>
          <w:color w:val="auto"/>
        </w:rPr>
      </w:pPr>
    </w:p>
    <w:p>
      <w:pPr>
        <w:ind w:right="2099" w:firstLine="8"/>
        <w:spacing w:after="0" w:line="236" w:lineRule="auto"/>
        <w:tabs>
          <w:tab w:leader="none" w:pos="42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Shipp has sole voting and dispositive power over all of these 131,413 shares, except 120,509 shares that Mr. Shipp holds jointly with his wife as to which he shares voting and dispositive power.</w:t>
      </w:r>
    </w:p>
    <w:p>
      <w:pPr>
        <w:spacing w:after="0" w:line="208" w:lineRule="exact"/>
        <w:rPr>
          <w:rFonts w:ascii="Courier New" w:cs="Courier New" w:eastAsia="Courier New" w:hAnsi="Courier New"/>
          <w:sz w:val="18"/>
          <w:szCs w:val="18"/>
          <w:color w:val="auto"/>
        </w:rPr>
      </w:pPr>
    </w:p>
    <w:p>
      <w:pPr>
        <w:ind w:right="2199" w:firstLine="8"/>
        <w:spacing w:after="0" w:line="273" w:lineRule="auto"/>
        <w:tabs>
          <w:tab w:leader="none" w:pos="42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Hawkins has sole voting and dispositive power over all of these 165,283 shares, except for 3,395 shares held by his wife as to which Mr. Hawkins may be deemed to share voting and dispositive power, but as to which he disclaims beneficial ownership; and 98,242 shares that Mr. Hawkins holds jointly with his wife as to which he shares voting and dispositive power.</w:t>
      </w:r>
    </w:p>
    <w:p>
      <w:pPr>
        <w:spacing w:after="0" w:line="184" w:lineRule="exact"/>
        <w:rPr>
          <w:rFonts w:ascii="Courier New" w:cs="Courier New" w:eastAsia="Courier New" w:hAnsi="Courier New"/>
          <w:sz w:val="16"/>
          <w:szCs w:val="16"/>
          <w:color w:val="auto"/>
        </w:rPr>
      </w:pPr>
    </w:p>
    <w:p>
      <w:pPr>
        <w:ind w:right="2319" w:firstLine="8"/>
        <w:spacing w:after="0" w:line="237" w:lineRule="auto"/>
        <w:tabs>
          <w:tab w:leader="none" w:pos="42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Hawkins has sole voting and dispositive power over all of these 69,975 shares, except 41,170 shares held by him as custodian for his minor children as to which he has full voting and dispositive power, but as to which he disclaims beneficial ownership; and 12,745 shares that Mr. Hawkins holds jointly with his wife as to which he shares voting and dispositive power.</w:t>
      </w: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3" w:name="page4"/>
    <w:bookmarkEnd w:id="3"/>
    <w:p>
      <w:pPr>
        <w:ind w:left="-535" w:right="2099" w:firstLine="535"/>
        <w:spacing w:after="0" w:line="238" w:lineRule="auto"/>
        <w:tabs>
          <w:tab w:leader="none" w:pos="51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Hawkins Chemical, Inc. Employee Stock Ownership Plan and Trust (the "ESOP") currently holds 2,543,284 shares of the Issuer's common stock, representing 21.5% of the total outstanding shares. The ESOP allows participants to direct the voting of shares allocated to their accounts, but since the Trustees may vote shares with respect to which no directions are received, the Trustees may be deemed to share voting power as to all of these shares. In addition, the Trustees, as individual participants in the ESOP, have the power to direct the voting of the following number of shares allocated to their personal accounts as of December 31, 1997: Howard J. Hawkins, 144,080 shares; Dean L. Hahn, 199,699 shares; Donald L. Shipp, 173,470 shares; Howard M. Hawkins, 121,541 shares; John R. Hawkins, 114,997 shares. The Trustees also have dispositive power with respect to all 2,543,284 shares, provided that this power is limited by a requirement that the assets of the ESOP Trust must consist primarily of shares of the Issuer's stock. Each Trustee disclaims beneficial ownership of the shares attributed to him solely as a Trustee of the ESOP.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485"/>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684"/>
          </w:cols>
          <w:pgMar w:left="775" w:top="723" w:right="1440" w:bottom="1440" w:gutter="0" w:footer="0" w:header="0"/>
        </w:sectPr>
      </w:pPr>
    </w:p>
    <w:bookmarkStart w:id="4" w:name="page5"/>
    <w:bookmarkEnd w:id="4"/>
    <w:p>
      <w:pPr>
        <w:ind w:left="3480"/>
        <w:spacing w:after="0"/>
        <w:rPr>
          <w:sz w:val="20"/>
          <w:szCs w:val="20"/>
          <w:color w:val="auto"/>
        </w:rPr>
      </w:pPr>
      <w:r>
        <w:rPr>
          <w:rFonts w:ascii="Courier New" w:cs="Courier New" w:eastAsia="Courier New" w:hAnsi="Courier New"/>
          <w:sz w:val="18"/>
          <w:szCs w:val="18"/>
          <w:color w:val="auto"/>
        </w:rPr>
        <w:t>SCHEDULE 13 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1060" w:hanging="525"/>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Hawkins Chemical, Inc.</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6" w:lineRule="exact"/>
        <w:rPr>
          <w:rFonts w:ascii="Courier New" w:cs="Courier New" w:eastAsia="Courier New" w:hAnsi="Courier New"/>
          <w:sz w:val="18"/>
          <w:szCs w:val="18"/>
          <w:color w:val="auto"/>
        </w:rPr>
      </w:pPr>
    </w:p>
    <w:p>
      <w:pPr>
        <w:ind w:left="1060" w:right="61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3100 East Hennepin Avenue Minneapolis, Minnesota 55413</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1060" w:hanging="525"/>
        <w:spacing w:after="0"/>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6"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Hawkins Chemical, Inc. Employee Stock Ownership Plan and Trust</w:t>
      </w:r>
    </w:p>
    <w:p>
      <w:pPr>
        <w:spacing w:after="0" w:line="223" w:lineRule="exact"/>
        <w:rPr>
          <w:rFonts w:ascii="Courier New" w:cs="Courier New" w:eastAsia="Courier New" w:hAnsi="Courier New"/>
          <w:sz w:val="18"/>
          <w:szCs w:val="18"/>
          <w:color w:val="auto"/>
        </w:rPr>
      </w:pPr>
    </w:p>
    <w:p>
      <w:pPr>
        <w:ind w:left="1060" w:right="3999" w:hanging="525"/>
        <w:spacing w:after="0" w:line="235" w:lineRule="auto"/>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202"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 Hawkins Chemical, Inc.</w:t>
      </w:r>
    </w:p>
    <w:p>
      <w:pPr>
        <w:spacing w:after="0" w:line="4" w:lineRule="exact"/>
        <w:rPr>
          <w:rFonts w:ascii="Courier New" w:cs="Courier New" w:eastAsia="Courier New" w:hAnsi="Courier New"/>
          <w:sz w:val="18"/>
          <w:szCs w:val="18"/>
          <w:color w:val="auto"/>
        </w:rPr>
      </w:pPr>
    </w:p>
    <w:p>
      <w:pPr>
        <w:ind w:left="1060" w:right="61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3100 East Hennepin Avenue Minneapolis, Minnesota 55413</w:t>
      </w:r>
    </w:p>
    <w:p>
      <w:pPr>
        <w:spacing w:after="0" w:line="169" w:lineRule="exact"/>
        <w:rPr>
          <w:rFonts w:ascii="Courier New" w:cs="Courier New" w:eastAsia="Courier New" w:hAnsi="Courier New"/>
          <w:sz w:val="18"/>
          <w:szCs w:val="18"/>
          <w:color w:val="auto"/>
        </w:rPr>
      </w:pPr>
    </w:p>
    <w:p>
      <w:pPr>
        <w:ind w:left="1060" w:right="7999" w:hanging="525"/>
        <w:spacing w:after="0" w:line="536" w:lineRule="auto"/>
        <w:tabs>
          <w:tab w:leader="none" w:pos="10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Minnesota</w:t>
      </w:r>
    </w:p>
    <w:p>
      <w:pPr>
        <w:ind w:left="1060" w:hanging="525"/>
        <w:spacing w:after="0"/>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Par Value $.05 per share</w:t>
      </w:r>
    </w:p>
    <w:p>
      <w:pPr>
        <w:spacing w:after="0" w:line="206" w:lineRule="exact"/>
        <w:rPr>
          <w:rFonts w:ascii="Courier New" w:cs="Courier New" w:eastAsia="Courier New" w:hAnsi="Courier New"/>
          <w:sz w:val="18"/>
          <w:szCs w:val="18"/>
          <w:color w:val="auto"/>
        </w:rPr>
      </w:pPr>
    </w:p>
    <w:p>
      <w:pPr>
        <w:ind w:left="1060" w:right="7899" w:hanging="525"/>
        <w:spacing w:after="0" w:line="558" w:lineRule="auto"/>
        <w:tabs>
          <w:tab w:leader="none" w:pos="10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420200 10 7</w:t>
      </w:r>
    </w:p>
    <w:p>
      <w:pPr>
        <w:spacing w:after="0" w:line="16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226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9"/>
              </w:rPr>
              <w:t>IF THIS STATEMENT IS</w:t>
            </w:r>
          </w:p>
        </w:tc>
        <w:tc>
          <w:tcPr>
            <w:tcW w:w="51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FILED PURSUANT TO RULE 13d-1(b), OR 13d-2(b),</w:t>
            </w:r>
          </w:p>
        </w:tc>
      </w:tr>
      <w:tr>
        <w:trPr>
          <w:trHeight w:val="203"/>
        </w:trPr>
        <w:tc>
          <w:tcPr>
            <w:tcW w:w="960" w:type="dxa"/>
            <w:vAlign w:val="bottom"/>
          </w:tcPr>
          <w:p>
            <w:pPr>
              <w:spacing w:after="0"/>
              <w:rPr>
                <w:sz w:val="17"/>
                <w:szCs w:val="17"/>
                <w:color w:val="auto"/>
              </w:rPr>
            </w:pPr>
          </w:p>
        </w:tc>
        <w:tc>
          <w:tcPr>
            <w:tcW w:w="738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CHECK WHETHER THE PERSON FILING IS A:</w:t>
            </w:r>
          </w:p>
        </w:tc>
      </w:tr>
      <w:tr>
        <w:trPr>
          <w:trHeight w:val="405"/>
        </w:trPr>
        <w:tc>
          <w:tcPr>
            <w:tcW w:w="960" w:type="dxa"/>
            <w:vAlign w:val="bottom"/>
          </w:tcPr>
          <w:p>
            <w:pPr>
              <w:ind w:left="540"/>
              <w:spacing w:after="0"/>
              <w:rPr>
                <w:sz w:val="20"/>
                <w:szCs w:val="20"/>
                <w:color w:val="auto"/>
              </w:rPr>
            </w:pPr>
            <w:r>
              <w:rPr>
                <w:rFonts w:ascii="Courier New" w:cs="Courier New" w:eastAsia="Courier New" w:hAnsi="Courier New"/>
                <w:sz w:val="18"/>
                <w:szCs w:val="18"/>
                <w:color w:val="auto"/>
              </w:rPr>
              <w:t>(a)</w:t>
            </w:r>
          </w:p>
        </w:tc>
        <w:tc>
          <w:tcPr>
            <w:tcW w:w="840" w:type="dxa"/>
            <w:vAlign w:val="bottom"/>
          </w:tcPr>
          <w:p>
            <w:pPr>
              <w:ind w:left="100"/>
              <w:spacing w:after="0"/>
              <w:rPr>
                <w:sz w:val="20"/>
                <w:szCs w:val="20"/>
                <w:color w:val="auto"/>
              </w:rPr>
            </w:pPr>
            <w:r>
              <w:rPr>
                <w:rFonts w:ascii="Courier New" w:cs="Courier New" w:eastAsia="Courier New" w:hAnsi="Courier New"/>
                <w:sz w:val="18"/>
                <w:szCs w:val="18"/>
                <w:color w:val="auto"/>
              </w:rPr>
              <w:t>____</w:t>
            </w:r>
          </w:p>
        </w:tc>
        <w:tc>
          <w:tcPr>
            <w:tcW w:w="654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Broker or Dealer registered under Section 15 of the Act</w:t>
            </w:r>
          </w:p>
        </w:tc>
      </w:tr>
      <w:tr>
        <w:trPr>
          <w:trHeight w:val="405"/>
        </w:trPr>
        <w:tc>
          <w:tcPr>
            <w:tcW w:w="960" w:type="dxa"/>
            <w:vAlign w:val="bottom"/>
          </w:tcPr>
          <w:p>
            <w:pPr>
              <w:ind w:left="540"/>
              <w:spacing w:after="0"/>
              <w:rPr>
                <w:sz w:val="20"/>
                <w:szCs w:val="20"/>
                <w:color w:val="auto"/>
              </w:rPr>
            </w:pPr>
            <w:r>
              <w:rPr>
                <w:rFonts w:ascii="Courier New" w:cs="Courier New" w:eastAsia="Courier New" w:hAnsi="Courier New"/>
                <w:sz w:val="18"/>
                <w:szCs w:val="18"/>
                <w:color w:val="auto"/>
              </w:rPr>
              <w:t>(b)</w:t>
            </w:r>
          </w:p>
        </w:tc>
        <w:tc>
          <w:tcPr>
            <w:tcW w:w="840" w:type="dxa"/>
            <w:vAlign w:val="bottom"/>
          </w:tcPr>
          <w:p>
            <w:pPr>
              <w:ind w:left="100"/>
              <w:spacing w:after="0"/>
              <w:rPr>
                <w:sz w:val="20"/>
                <w:szCs w:val="20"/>
                <w:color w:val="auto"/>
              </w:rPr>
            </w:pPr>
            <w:r>
              <w:rPr>
                <w:rFonts w:ascii="Courier New" w:cs="Courier New" w:eastAsia="Courier New" w:hAnsi="Courier New"/>
                <w:sz w:val="18"/>
                <w:szCs w:val="18"/>
                <w:color w:val="auto"/>
              </w:rPr>
              <w:t>____</w:t>
            </w:r>
          </w:p>
        </w:tc>
        <w:tc>
          <w:tcPr>
            <w:tcW w:w="226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98"/>
              </w:rPr>
              <w:t>Bank as defined in</w:t>
            </w:r>
          </w:p>
        </w:tc>
        <w:tc>
          <w:tcPr>
            <w:tcW w:w="4280" w:type="dxa"/>
            <w:vAlign w:val="bottom"/>
          </w:tcPr>
          <w:p>
            <w:pPr>
              <w:ind w:left="60"/>
              <w:spacing w:after="0"/>
              <w:rPr>
                <w:sz w:val="20"/>
                <w:szCs w:val="20"/>
                <w:color w:val="auto"/>
              </w:rPr>
            </w:pPr>
            <w:r>
              <w:rPr>
                <w:rFonts w:ascii="Courier New" w:cs="Courier New" w:eastAsia="Courier New" w:hAnsi="Courier New"/>
                <w:sz w:val="18"/>
                <w:szCs w:val="18"/>
                <w:color w:val="auto"/>
              </w:rPr>
              <w:t>section 3(a)(6) of the Act</w:t>
            </w:r>
          </w:p>
        </w:tc>
      </w:tr>
      <w:tr>
        <w:trPr>
          <w:trHeight w:val="405"/>
        </w:trPr>
        <w:tc>
          <w:tcPr>
            <w:tcW w:w="960" w:type="dxa"/>
            <w:vAlign w:val="bottom"/>
          </w:tcPr>
          <w:p>
            <w:pPr>
              <w:ind w:left="540"/>
              <w:spacing w:after="0"/>
              <w:rPr>
                <w:sz w:val="20"/>
                <w:szCs w:val="20"/>
                <w:color w:val="auto"/>
              </w:rPr>
            </w:pPr>
            <w:r>
              <w:rPr>
                <w:rFonts w:ascii="Courier New" w:cs="Courier New" w:eastAsia="Courier New" w:hAnsi="Courier New"/>
                <w:sz w:val="18"/>
                <w:szCs w:val="18"/>
                <w:color w:val="auto"/>
              </w:rPr>
              <w:t>(c)</w:t>
            </w:r>
          </w:p>
        </w:tc>
        <w:tc>
          <w:tcPr>
            <w:tcW w:w="840" w:type="dxa"/>
            <w:vAlign w:val="bottom"/>
          </w:tcPr>
          <w:p>
            <w:pPr>
              <w:ind w:left="100"/>
              <w:spacing w:after="0"/>
              <w:rPr>
                <w:sz w:val="20"/>
                <w:szCs w:val="20"/>
                <w:color w:val="auto"/>
              </w:rPr>
            </w:pPr>
            <w:r>
              <w:rPr>
                <w:rFonts w:ascii="Courier New" w:cs="Courier New" w:eastAsia="Courier New" w:hAnsi="Courier New"/>
                <w:sz w:val="18"/>
                <w:szCs w:val="18"/>
                <w:color w:val="auto"/>
              </w:rPr>
              <w:t>____</w:t>
            </w:r>
          </w:p>
        </w:tc>
        <w:tc>
          <w:tcPr>
            <w:tcW w:w="6540" w:type="dxa"/>
            <w:vAlign w:val="bottom"/>
            <w:gridSpan w:val="3"/>
          </w:tcPr>
          <w:p>
            <w:pPr>
              <w:ind w:left="320"/>
              <w:spacing w:after="0"/>
              <w:rPr>
                <w:sz w:val="20"/>
                <w:szCs w:val="20"/>
                <w:color w:val="auto"/>
              </w:rPr>
            </w:pPr>
            <w:r>
              <w:rPr>
                <w:rFonts w:ascii="Courier New" w:cs="Courier New" w:eastAsia="Courier New" w:hAnsi="Courier New"/>
                <w:sz w:val="18"/>
                <w:szCs w:val="18"/>
                <w:color w:val="auto"/>
                <w:w w:val="97"/>
              </w:rPr>
              <w:t>Insurance Company as defined in section 3(a)(19) of the Act</w:t>
            </w:r>
          </w:p>
        </w:tc>
      </w:tr>
      <w:tr>
        <w:trPr>
          <w:trHeight w:val="405"/>
        </w:trPr>
        <w:tc>
          <w:tcPr>
            <w:tcW w:w="960" w:type="dxa"/>
            <w:vAlign w:val="bottom"/>
          </w:tcPr>
          <w:p>
            <w:pPr>
              <w:ind w:left="540"/>
              <w:spacing w:after="0"/>
              <w:rPr>
                <w:sz w:val="20"/>
                <w:szCs w:val="20"/>
                <w:color w:val="auto"/>
              </w:rPr>
            </w:pPr>
            <w:r>
              <w:rPr>
                <w:rFonts w:ascii="Courier New" w:cs="Courier New" w:eastAsia="Courier New" w:hAnsi="Courier New"/>
                <w:sz w:val="18"/>
                <w:szCs w:val="18"/>
                <w:color w:val="auto"/>
              </w:rPr>
              <w:t>(d)</w:t>
            </w:r>
          </w:p>
        </w:tc>
        <w:tc>
          <w:tcPr>
            <w:tcW w:w="840" w:type="dxa"/>
            <w:vAlign w:val="bottom"/>
          </w:tcPr>
          <w:p>
            <w:pPr>
              <w:ind w:left="100"/>
              <w:spacing w:after="0"/>
              <w:rPr>
                <w:sz w:val="20"/>
                <w:szCs w:val="20"/>
                <w:color w:val="auto"/>
              </w:rPr>
            </w:pPr>
            <w:r>
              <w:rPr>
                <w:rFonts w:ascii="Courier New" w:cs="Courier New" w:eastAsia="Courier New" w:hAnsi="Courier New"/>
                <w:sz w:val="18"/>
                <w:szCs w:val="18"/>
                <w:color w:val="auto"/>
              </w:rPr>
              <w:t>____</w:t>
            </w:r>
          </w:p>
        </w:tc>
        <w:tc>
          <w:tcPr>
            <w:tcW w:w="1420" w:type="dxa"/>
            <w:vAlign w:val="bottom"/>
          </w:tcPr>
          <w:p>
            <w:pPr>
              <w:ind w:left="320"/>
              <w:spacing w:after="0"/>
              <w:rPr>
                <w:sz w:val="20"/>
                <w:szCs w:val="20"/>
                <w:color w:val="auto"/>
              </w:rPr>
            </w:pPr>
            <w:r>
              <w:rPr>
                <w:rFonts w:ascii="Courier New" w:cs="Courier New" w:eastAsia="Courier New" w:hAnsi="Courier New"/>
                <w:sz w:val="18"/>
                <w:szCs w:val="18"/>
                <w:color w:val="auto"/>
                <w:w w:val="99"/>
              </w:rPr>
              <w:t>Investment</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Company</w:t>
            </w:r>
          </w:p>
        </w:tc>
        <w:tc>
          <w:tcPr>
            <w:tcW w:w="4280" w:type="dxa"/>
            <w:vAlign w:val="bottom"/>
          </w:tcPr>
          <w:p>
            <w:pPr>
              <w:ind w:left="60"/>
              <w:spacing w:after="0"/>
              <w:rPr>
                <w:sz w:val="20"/>
                <w:szCs w:val="20"/>
                <w:color w:val="auto"/>
              </w:rPr>
            </w:pPr>
            <w:r>
              <w:rPr>
                <w:rFonts w:ascii="Courier New" w:cs="Courier New" w:eastAsia="Courier New" w:hAnsi="Courier New"/>
                <w:sz w:val="18"/>
                <w:szCs w:val="18"/>
                <w:color w:val="auto"/>
              </w:rPr>
              <w:t>registered under section 8 of the</w:t>
            </w:r>
          </w:p>
        </w:tc>
      </w:tr>
      <w:tr>
        <w:trPr>
          <w:trHeight w:val="203"/>
        </w:trPr>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Investment</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w:t>
            </w:r>
          </w:p>
        </w:tc>
        <w:tc>
          <w:tcPr>
            <w:tcW w:w="4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Act</w:t>
            </w:r>
          </w:p>
        </w:tc>
      </w:tr>
      <w:tr>
        <w:trPr>
          <w:trHeight w:val="405"/>
        </w:trPr>
        <w:tc>
          <w:tcPr>
            <w:tcW w:w="960" w:type="dxa"/>
            <w:vAlign w:val="bottom"/>
          </w:tcPr>
          <w:p>
            <w:pPr>
              <w:ind w:left="540"/>
              <w:spacing w:after="0"/>
              <w:rPr>
                <w:sz w:val="20"/>
                <w:szCs w:val="20"/>
                <w:color w:val="auto"/>
              </w:rPr>
            </w:pPr>
            <w:r>
              <w:rPr>
                <w:rFonts w:ascii="Courier New" w:cs="Courier New" w:eastAsia="Courier New" w:hAnsi="Courier New"/>
                <w:sz w:val="18"/>
                <w:szCs w:val="18"/>
                <w:color w:val="auto"/>
              </w:rPr>
              <w:t>(e)</w:t>
            </w:r>
          </w:p>
        </w:tc>
        <w:tc>
          <w:tcPr>
            <w:tcW w:w="840" w:type="dxa"/>
            <w:vAlign w:val="bottom"/>
          </w:tcPr>
          <w:p>
            <w:pPr>
              <w:ind w:left="100"/>
              <w:spacing w:after="0"/>
              <w:rPr>
                <w:sz w:val="20"/>
                <w:szCs w:val="20"/>
                <w:color w:val="auto"/>
              </w:rPr>
            </w:pPr>
            <w:r>
              <w:rPr>
                <w:rFonts w:ascii="Courier New" w:cs="Courier New" w:eastAsia="Courier New" w:hAnsi="Courier New"/>
                <w:sz w:val="18"/>
                <w:szCs w:val="18"/>
                <w:color w:val="auto"/>
              </w:rPr>
              <w:t>____</w:t>
            </w:r>
          </w:p>
        </w:tc>
        <w:tc>
          <w:tcPr>
            <w:tcW w:w="1420" w:type="dxa"/>
            <w:vAlign w:val="bottom"/>
          </w:tcPr>
          <w:p>
            <w:pPr>
              <w:ind w:left="320"/>
              <w:spacing w:after="0"/>
              <w:rPr>
                <w:sz w:val="20"/>
                <w:szCs w:val="20"/>
                <w:color w:val="auto"/>
              </w:rPr>
            </w:pPr>
            <w:r>
              <w:rPr>
                <w:rFonts w:ascii="Courier New" w:cs="Courier New" w:eastAsia="Courier New" w:hAnsi="Courier New"/>
                <w:sz w:val="18"/>
                <w:szCs w:val="18"/>
                <w:color w:val="auto"/>
                <w:w w:val="99"/>
              </w:rPr>
              <w:t>Investment</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Adviser</w:t>
            </w:r>
          </w:p>
        </w:tc>
        <w:tc>
          <w:tcPr>
            <w:tcW w:w="4280" w:type="dxa"/>
            <w:vAlign w:val="bottom"/>
          </w:tcPr>
          <w:p>
            <w:pPr>
              <w:ind w:left="60"/>
              <w:spacing w:after="0"/>
              <w:rPr>
                <w:sz w:val="20"/>
                <w:szCs w:val="20"/>
                <w:color w:val="auto"/>
              </w:rPr>
            </w:pPr>
            <w:r>
              <w:rPr>
                <w:rFonts w:ascii="Courier New" w:cs="Courier New" w:eastAsia="Courier New" w:hAnsi="Courier New"/>
                <w:sz w:val="18"/>
                <w:szCs w:val="18"/>
                <w:color w:val="auto"/>
              </w:rPr>
              <w:t>registered under section 203 of the</w:t>
            </w:r>
          </w:p>
        </w:tc>
      </w:tr>
      <w:tr>
        <w:trPr>
          <w:trHeight w:val="203"/>
        </w:trPr>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Investment</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Advisers Act of 1940</w:t>
            </w:r>
          </w:p>
        </w:tc>
      </w:tr>
    </w:tbl>
    <w:p>
      <w:pPr>
        <w:spacing w:after="0" w:line="201" w:lineRule="exact"/>
        <w:rPr>
          <w:sz w:val="20"/>
          <w:szCs w:val="20"/>
          <w:color w:val="auto"/>
        </w:rPr>
      </w:pPr>
    </w:p>
    <w:p>
      <w:pPr>
        <w:ind w:left="1160" w:hanging="625"/>
        <w:spacing w:after="0"/>
        <w:tabs>
          <w:tab w:leader="none" w:pos="11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r>
        <w:rPr>
          <w:rFonts w:ascii="Courier New" w:cs="Courier New" w:eastAsia="Courier New" w:hAnsi="Courier New"/>
          <w:sz w:val="16"/>
          <w:szCs w:val="16"/>
          <w:color w:val="auto"/>
        </w:rPr>
        <w:t>Employee Benefit Plan, Pension Fund which is subject to the</w:t>
      </w:r>
    </w:p>
    <w:p>
      <w:pPr>
        <w:spacing w:after="0" w:line="4" w:lineRule="exact"/>
        <w:rPr>
          <w:rFonts w:ascii="Courier New" w:cs="Courier New" w:eastAsia="Courier New" w:hAnsi="Courier New"/>
          <w:sz w:val="18"/>
          <w:szCs w:val="18"/>
          <w:color w:val="auto"/>
        </w:rPr>
      </w:pPr>
    </w:p>
    <w:p>
      <w:pPr>
        <w:ind w:left="2120" w:right="1779" w:hanging="1059"/>
        <w:spacing w:after="0" w:line="235" w:lineRule="auto"/>
        <w:tabs>
          <w:tab w:leader="none" w:pos="212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provisions of the Employee Retirement Income Security Act of 1974 or Endowment Fund; see Rule 13d-1(b)(1)(ii)(F)</w:t>
      </w:r>
    </w:p>
    <w:p>
      <w:pPr>
        <w:sectPr>
          <w:pgSz w:w="11900" w:h="16838" w:orient="portrait"/>
          <w:cols w:equalWidth="0" w:num="1">
            <w:col w:w="10219"/>
          </w:cols>
          <w:pgMar w:left="240" w:top="717" w:right="1440" w:bottom="1440" w:gutter="0" w:footer="0" w:header="0"/>
        </w:sectPr>
      </w:pPr>
    </w:p>
    <w:p>
      <w:pPr>
        <w:spacing w:after="0" w:line="203"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(g)</w:t>
      </w:r>
      <w:r>
        <w:rPr>
          <w:sz w:val="20"/>
          <w:szCs w:val="20"/>
          <w:color w:val="auto"/>
        </w:rPr>
        <w:tab/>
      </w:r>
      <w:r>
        <w:rPr>
          <w:rFonts w:ascii="Courier New" w:cs="Courier New" w:eastAsia="Courier New" w:hAnsi="Courier New"/>
          <w:sz w:val="16"/>
          <w:szCs w:val="16"/>
          <w:color w:val="auto"/>
        </w:rPr>
        <w:t>____</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Parent Holding Company, in accordance with Rule 13d-1(b)(1)(ii)(G) (Note: See Item 7)</w:t>
      </w:r>
    </w:p>
    <w:p>
      <w:pPr>
        <w:spacing w:after="0" w:line="200" w:lineRule="exact"/>
        <w:rPr>
          <w:sz w:val="20"/>
          <w:szCs w:val="20"/>
          <w:color w:val="auto"/>
        </w:rPr>
      </w:pPr>
    </w:p>
    <w:p>
      <w:pPr>
        <w:sectPr>
          <w:pgSz w:w="11900" w:h="16838" w:orient="portrait"/>
          <w:cols w:equalWidth="0" w:num="2">
            <w:col w:w="1480" w:space="640"/>
            <w:col w:w="8099"/>
          </w:cols>
          <w:pgMar w:left="240" w:top="717" w:right="1440" w:bottom="1440" w:gutter="0" w:footer="0" w:header="0"/>
          <w:type w:val="continuous"/>
        </w:sectPr>
      </w:pPr>
    </w:p>
    <w:p>
      <w:pPr>
        <w:spacing w:after="0" w:line="3"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(h)</w:t>
      </w:r>
      <w:r>
        <w:rPr>
          <w:sz w:val="20"/>
          <w:szCs w:val="20"/>
          <w:color w:val="auto"/>
        </w:rPr>
        <w:tab/>
      </w:r>
      <w:r>
        <w:rPr>
          <w:rFonts w:ascii="Courier New" w:cs="Courier New" w:eastAsia="Courier New" w:hAnsi="Courier New"/>
          <w:sz w:val="16"/>
          <w:szCs w:val="16"/>
          <w:color w:val="auto"/>
        </w:rPr>
        <w:t>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Group, in accordance with Rule 13d-1(b)(1)(ii)(H)</w:t>
      </w:r>
    </w:p>
    <w:p>
      <w:pPr>
        <w:spacing w:after="0" w:line="216" w:lineRule="exact"/>
        <w:rPr>
          <w:sz w:val="20"/>
          <w:szCs w:val="20"/>
          <w:color w:val="auto"/>
        </w:rPr>
      </w:pPr>
    </w:p>
    <w:p>
      <w:pPr>
        <w:sectPr>
          <w:pgSz w:w="11900" w:h="16838" w:orient="portrait"/>
          <w:cols w:equalWidth="0" w:num="2">
            <w:col w:w="1480" w:space="640"/>
            <w:col w:w="8099"/>
          </w:cols>
          <w:pgMar w:left="240" w:top="717" w:right="1440" w:bottom="1440" w:gutter="0" w:footer="0" w:header="0"/>
          <w:type w:val="continuous"/>
        </w:sect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If the percent of the class owned, as of December 31 of the year covered by the statement, or as of the last day of any month described in Rule 13d-1(b)(2), if applicable, exceeds five percent, provide the following information as of that date and identify those shares which there is a right to acquire.</w:t>
      </w:r>
    </w:p>
    <w:p>
      <w:pPr>
        <w:spacing w:after="0" w:line="182" w:lineRule="exact"/>
        <w:rPr>
          <w:sz w:val="20"/>
          <w:szCs w:val="20"/>
          <w:color w:val="auto"/>
        </w:rPr>
      </w:pPr>
    </w:p>
    <w:p>
      <w:pPr>
        <w:ind w:left="1060" w:right="6519" w:hanging="525"/>
        <w:spacing w:after="0" w:line="536" w:lineRule="auto"/>
        <w:tabs>
          <w:tab w:leader="none" w:pos="10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2,543,284 (See Note b)</w:t>
      </w:r>
    </w:p>
    <w:p>
      <w:pPr>
        <w:ind w:left="1060" w:right="7479" w:hanging="525"/>
        <w:spacing w:after="0" w:line="470" w:lineRule="auto"/>
        <w:tabs>
          <w:tab w:leader="none" w:pos="10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21.5%</w:t>
      </w:r>
    </w:p>
    <w:p>
      <w:pPr>
        <w:spacing w:after="0" w:line="6"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1700" w:right="4319" w:hanging="639"/>
        <w:spacing w:after="0" w:line="235" w:lineRule="auto"/>
        <w:tabs>
          <w:tab w:leader="none" w:pos="170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440" w:gutter="0" w:footer="0" w:header="0"/>
          <w:type w:val="continuous"/>
        </w:sectPr>
      </w:pPr>
    </w:p>
    <w:bookmarkStart w:id="6" w:name="page7"/>
    <w:bookmarkEnd w:id="6"/>
    <w:p>
      <w:pPr>
        <w:ind w:left="1700" w:right="4099" w:hanging="639"/>
        <w:spacing w:after="0" w:line="235" w:lineRule="auto"/>
        <w:tabs>
          <w:tab w:leader="none" w:pos="170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2,543,284 (See Note b)</w:t>
      </w:r>
    </w:p>
    <w:p>
      <w:pPr>
        <w:spacing w:after="0" w:line="208" w:lineRule="exact"/>
        <w:rPr>
          <w:rFonts w:ascii="Courier New" w:cs="Courier New" w:eastAsia="Courier New" w:hAnsi="Courier New"/>
          <w:sz w:val="18"/>
          <w:szCs w:val="18"/>
          <w:color w:val="auto"/>
        </w:rPr>
      </w:pPr>
    </w:p>
    <w:p>
      <w:pPr>
        <w:ind w:left="1700" w:right="2939" w:hanging="639"/>
        <w:spacing w:after="0" w:line="235" w:lineRule="auto"/>
        <w:tabs>
          <w:tab w:leader="none" w:pos="170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0</w:t>
      </w:r>
    </w:p>
    <w:p>
      <w:pPr>
        <w:spacing w:after="0" w:line="208" w:lineRule="exact"/>
        <w:rPr>
          <w:rFonts w:ascii="Courier New" w:cs="Courier New" w:eastAsia="Courier New" w:hAnsi="Courier New"/>
          <w:sz w:val="18"/>
          <w:szCs w:val="18"/>
          <w:color w:val="auto"/>
        </w:rPr>
      </w:pPr>
    </w:p>
    <w:p>
      <w:pPr>
        <w:ind w:left="1700" w:right="2739" w:hanging="639"/>
        <w:spacing w:after="0" w:line="235" w:lineRule="auto"/>
        <w:tabs>
          <w:tab w:leader="none" w:pos="170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2,543,284 (See Note b)</w:t>
      </w:r>
    </w:p>
    <w:p>
      <w:pPr>
        <w:spacing w:after="0" w:line="200" w:lineRule="exact"/>
        <w:rPr>
          <w:sz w:val="20"/>
          <w:szCs w:val="20"/>
          <w:color w:val="auto"/>
        </w:rPr>
      </w:pPr>
    </w:p>
    <w:p>
      <w:pPr>
        <w:spacing w:after="0" w:line="205"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1060" w:right="177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060" w:right="177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3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7" w:name="page8"/>
    <w:bookmarkEnd w:id="7"/>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After reasonable inquiry and to the best of our knowledge and belief, the undersigned Trustees of the Hawkins Chemical, Inc. Employee Stock Ownership Trust certify on behalf of the Trust that the information set forth in this statement is true, complete and correct.</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17"/>
                <w:szCs w:val="17"/>
                <w:color w:val="auto"/>
              </w:rPr>
            </w:pPr>
          </w:p>
        </w:tc>
        <w:tc>
          <w:tcPr>
            <w:tcW w:w="4480" w:type="dxa"/>
            <w:vAlign w:val="bottom"/>
            <w:gridSpan w:val="3"/>
          </w:tcPr>
          <w:p>
            <w:pPr>
              <w:ind w:left="800"/>
              <w:spacing w:after="0"/>
              <w:rPr>
                <w:sz w:val="20"/>
                <w:szCs w:val="20"/>
                <w:color w:val="auto"/>
              </w:rPr>
            </w:pPr>
            <w:r>
              <w:rPr>
                <w:rFonts w:ascii="Courier New" w:cs="Courier New" w:eastAsia="Courier New" w:hAnsi="Courier New"/>
                <w:sz w:val="18"/>
                <w:szCs w:val="18"/>
                <w:color w:val="auto"/>
              </w:rPr>
              <w:t>HAWKINS CHEMICAL, INC.</w:t>
            </w:r>
          </w:p>
        </w:tc>
      </w:tr>
      <w:tr>
        <w:trPr>
          <w:trHeight w:val="203"/>
        </w:trPr>
        <w:tc>
          <w:tcPr>
            <w:tcW w:w="3320" w:type="dxa"/>
            <w:vAlign w:val="bottom"/>
          </w:tcPr>
          <w:p>
            <w:pPr>
              <w:spacing w:after="0"/>
              <w:rPr>
                <w:sz w:val="17"/>
                <w:szCs w:val="17"/>
                <w:color w:val="auto"/>
              </w:rPr>
            </w:pPr>
          </w:p>
        </w:tc>
        <w:tc>
          <w:tcPr>
            <w:tcW w:w="4480" w:type="dxa"/>
            <w:vAlign w:val="bottom"/>
            <w:gridSpan w:val="3"/>
          </w:tcPr>
          <w:p>
            <w:pPr>
              <w:ind w:left="800"/>
              <w:spacing w:after="0" w:line="203" w:lineRule="exact"/>
              <w:rPr>
                <w:sz w:val="20"/>
                <w:szCs w:val="20"/>
                <w:color w:val="auto"/>
              </w:rPr>
            </w:pPr>
            <w:r>
              <w:rPr>
                <w:rFonts w:ascii="Courier New" w:cs="Courier New" w:eastAsia="Courier New" w:hAnsi="Courier New"/>
                <w:sz w:val="18"/>
                <w:szCs w:val="18"/>
                <w:color w:val="auto"/>
              </w:rPr>
              <w:t>EMPLOYEE STOCK OWNERSHIP TRUST</w:t>
            </w:r>
          </w:p>
        </w:tc>
      </w:tr>
      <w:tr>
        <w:trPr>
          <w:trHeight w:val="608"/>
        </w:trPr>
        <w:tc>
          <w:tcPr>
            <w:tcW w:w="3320" w:type="dxa"/>
            <w:vAlign w:val="bottom"/>
          </w:tcPr>
          <w:p>
            <w:pPr>
              <w:spacing w:after="0"/>
              <w:rPr>
                <w:sz w:val="20"/>
                <w:szCs w:val="20"/>
                <w:color w:val="auto"/>
              </w:rPr>
            </w:pPr>
            <w:r>
              <w:rPr>
                <w:rFonts w:ascii="Courier New" w:cs="Courier New" w:eastAsia="Courier New" w:hAnsi="Courier New"/>
                <w:sz w:val="18"/>
                <w:szCs w:val="18"/>
                <w:color w:val="auto"/>
              </w:rPr>
              <w:t>Dated:  January 16, 1998</w:t>
            </w:r>
          </w:p>
        </w:tc>
        <w:tc>
          <w:tcPr>
            <w:tcW w:w="1120" w:type="dxa"/>
            <w:vAlign w:val="bottom"/>
          </w:tcPr>
          <w:p>
            <w:pPr>
              <w:ind w:left="800"/>
              <w:spacing w:after="0"/>
              <w:rPr>
                <w:sz w:val="20"/>
                <w:szCs w:val="20"/>
                <w:color w:val="auto"/>
              </w:rPr>
            </w:pPr>
            <w:r>
              <w:rPr>
                <w:rFonts w:ascii="Courier New" w:cs="Courier New" w:eastAsia="Courier New" w:hAnsi="Courier New"/>
                <w:sz w:val="18"/>
                <w:szCs w:val="18"/>
                <w:color w:val="auto"/>
                <w:w w:val="92"/>
              </w:rPr>
              <w:t>By:</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/s/</w:t>
            </w:r>
          </w:p>
        </w:tc>
        <w:tc>
          <w:tcPr>
            <w:tcW w:w="2480" w:type="dxa"/>
            <w:vAlign w:val="bottom"/>
          </w:tcPr>
          <w:p>
            <w:pPr>
              <w:ind w:left="60"/>
              <w:spacing w:after="0"/>
              <w:rPr>
                <w:sz w:val="20"/>
                <w:szCs w:val="20"/>
                <w:color w:val="auto"/>
              </w:rPr>
            </w:pPr>
            <w:r>
              <w:rPr>
                <w:rFonts w:ascii="Courier New" w:cs="Courier New" w:eastAsia="Courier New" w:hAnsi="Courier New"/>
                <w:sz w:val="18"/>
                <w:szCs w:val="18"/>
                <w:color w:val="auto"/>
              </w:rPr>
              <w:t>Howard J. Hawkins</w:t>
            </w:r>
          </w:p>
        </w:tc>
      </w:tr>
      <w:tr>
        <w:trPr>
          <w:trHeight w:val="203"/>
        </w:trPr>
        <w:tc>
          <w:tcPr>
            <w:tcW w:w="3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Howard</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 Hawkins, Trustee</w:t>
            </w:r>
          </w:p>
        </w:tc>
      </w:tr>
      <w:tr>
        <w:trPr>
          <w:trHeight w:val="608"/>
        </w:trPr>
        <w:tc>
          <w:tcPr>
            <w:tcW w:w="3320" w:type="dxa"/>
            <w:vAlign w:val="bottom"/>
          </w:tcPr>
          <w:p>
            <w:pPr>
              <w:spacing w:after="0"/>
              <w:rPr>
                <w:sz w:val="24"/>
                <w:szCs w:val="24"/>
                <w:color w:val="auto"/>
              </w:rPr>
            </w:pPr>
          </w:p>
        </w:tc>
        <w:tc>
          <w:tcPr>
            <w:tcW w:w="1120" w:type="dxa"/>
            <w:vAlign w:val="bottom"/>
          </w:tcPr>
          <w:p>
            <w:pPr>
              <w:ind w:left="800"/>
              <w:spacing w:after="0"/>
              <w:rPr>
                <w:sz w:val="20"/>
                <w:szCs w:val="20"/>
                <w:color w:val="auto"/>
              </w:rPr>
            </w:pPr>
            <w:r>
              <w:rPr>
                <w:rFonts w:ascii="Courier New" w:cs="Courier New" w:eastAsia="Courier New" w:hAnsi="Courier New"/>
                <w:sz w:val="18"/>
                <w:szCs w:val="18"/>
                <w:color w:val="auto"/>
                <w:w w:val="92"/>
              </w:rPr>
              <w:t>By:</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/s/</w:t>
            </w:r>
          </w:p>
        </w:tc>
        <w:tc>
          <w:tcPr>
            <w:tcW w:w="2480" w:type="dxa"/>
            <w:vAlign w:val="bottom"/>
          </w:tcPr>
          <w:p>
            <w:pPr>
              <w:ind w:left="60"/>
              <w:spacing w:after="0"/>
              <w:rPr>
                <w:sz w:val="20"/>
                <w:szCs w:val="20"/>
                <w:color w:val="auto"/>
              </w:rPr>
            </w:pPr>
            <w:r>
              <w:rPr>
                <w:rFonts w:ascii="Courier New" w:cs="Courier New" w:eastAsia="Courier New" w:hAnsi="Courier New"/>
                <w:sz w:val="18"/>
                <w:szCs w:val="18"/>
                <w:color w:val="auto"/>
              </w:rPr>
              <w:t>Dean L. Hahn</w:t>
            </w:r>
          </w:p>
        </w:tc>
      </w:tr>
      <w:tr>
        <w:trPr>
          <w:trHeight w:val="203"/>
        </w:trPr>
        <w:tc>
          <w:tcPr>
            <w:tcW w:w="3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3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Dean L. Hahn, Trustee</w:t>
            </w:r>
          </w:p>
        </w:tc>
      </w:tr>
      <w:tr>
        <w:trPr>
          <w:trHeight w:val="608"/>
        </w:trPr>
        <w:tc>
          <w:tcPr>
            <w:tcW w:w="3320" w:type="dxa"/>
            <w:vAlign w:val="bottom"/>
          </w:tcPr>
          <w:p>
            <w:pPr>
              <w:spacing w:after="0"/>
              <w:rPr>
                <w:sz w:val="24"/>
                <w:szCs w:val="24"/>
                <w:color w:val="auto"/>
              </w:rPr>
            </w:pPr>
          </w:p>
        </w:tc>
        <w:tc>
          <w:tcPr>
            <w:tcW w:w="1120" w:type="dxa"/>
            <w:vAlign w:val="bottom"/>
          </w:tcPr>
          <w:p>
            <w:pPr>
              <w:ind w:left="800"/>
              <w:spacing w:after="0"/>
              <w:rPr>
                <w:sz w:val="20"/>
                <w:szCs w:val="20"/>
                <w:color w:val="auto"/>
              </w:rPr>
            </w:pPr>
            <w:r>
              <w:rPr>
                <w:rFonts w:ascii="Courier New" w:cs="Courier New" w:eastAsia="Courier New" w:hAnsi="Courier New"/>
                <w:sz w:val="18"/>
                <w:szCs w:val="18"/>
                <w:color w:val="auto"/>
                <w:w w:val="92"/>
              </w:rPr>
              <w:t>By:</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/s/</w:t>
            </w:r>
          </w:p>
        </w:tc>
        <w:tc>
          <w:tcPr>
            <w:tcW w:w="2480" w:type="dxa"/>
            <w:vAlign w:val="bottom"/>
          </w:tcPr>
          <w:p>
            <w:pPr>
              <w:ind w:left="60"/>
              <w:spacing w:after="0"/>
              <w:rPr>
                <w:sz w:val="20"/>
                <w:szCs w:val="20"/>
                <w:color w:val="auto"/>
              </w:rPr>
            </w:pPr>
            <w:r>
              <w:rPr>
                <w:rFonts w:ascii="Courier New" w:cs="Courier New" w:eastAsia="Courier New" w:hAnsi="Courier New"/>
                <w:sz w:val="18"/>
                <w:szCs w:val="18"/>
                <w:color w:val="auto"/>
              </w:rPr>
              <w:t>Donald L. Shipp</w:t>
            </w:r>
          </w:p>
        </w:tc>
      </w:tr>
      <w:tr>
        <w:trPr>
          <w:trHeight w:val="203"/>
        </w:trPr>
        <w:tc>
          <w:tcPr>
            <w:tcW w:w="3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Donald</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 Shipp, Trustee</w:t>
            </w:r>
          </w:p>
        </w:tc>
      </w:tr>
      <w:tr>
        <w:trPr>
          <w:trHeight w:val="608"/>
        </w:trPr>
        <w:tc>
          <w:tcPr>
            <w:tcW w:w="3320" w:type="dxa"/>
            <w:vAlign w:val="bottom"/>
          </w:tcPr>
          <w:p>
            <w:pPr>
              <w:spacing w:after="0"/>
              <w:rPr>
                <w:sz w:val="24"/>
                <w:szCs w:val="24"/>
                <w:color w:val="auto"/>
              </w:rPr>
            </w:pPr>
          </w:p>
        </w:tc>
        <w:tc>
          <w:tcPr>
            <w:tcW w:w="1120" w:type="dxa"/>
            <w:vAlign w:val="bottom"/>
          </w:tcPr>
          <w:p>
            <w:pPr>
              <w:ind w:left="800"/>
              <w:spacing w:after="0"/>
              <w:rPr>
                <w:sz w:val="20"/>
                <w:szCs w:val="20"/>
                <w:color w:val="auto"/>
              </w:rPr>
            </w:pPr>
            <w:r>
              <w:rPr>
                <w:rFonts w:ascii="Courier New" w:cs="Courier New" w:eastAsia="Courier New" w:hAnsi="Courier New"/>
                <w:sz w:val="18"/>
                <w:szCs w:val="18"/>
                <w:color w:val="auto"/>
                <w:w w:val="92"/>
              </w:rPr>
              <w:t>By:</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/s/</w:t>
            </w:r>
          </w:p>
        </w:tc>
        <w:tc>
          <w:tcPr>
            <w:tcW w:w="2480" w:type="dxa"/>
            <w:vAlign w:val="bottom"/>
          </w:tcPr>
          <w:p>
            <w:pPr>
              <w:ind w:left="60"/>
              <w:spacing w:after="0"/>
              <w:rPr>
                <w:sz w:val="20"/>
                <w:szCs w:val="20"/>
                <w:color w:val="auto"/>
              </w:rPr>
            </w:pPr>
            <w:r>
              <w:rPr>
                <w:rFonts w:ascii="Courier New" w:cs="Courier New" w:eastAsia="Courier New" w:hAnsi="Courier New"/>
                <w:sz w:val="18"/>
                <w:szCs w:val="18"/>
                <w:color w:val="auto"/>
              </w:rPr>
              <w:t>Howard M. Hawkins</w:t>
            </w:r>
          </w:p>
        </w:tc>
      </w:tr>
      <w:tr>
        <w:trPr>
          <w:trHeight w:val="203"/>
        </w:trPr>
        <w:tc>
          <w:tcPr>
            <w:tcW w:w="3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Howard</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 Hawkins, Trustee</w:t>
            </w:r>
          </w:p>
        </w:tc>
      </w:tr>
      <w:tr>
        <w:trPr>
          <w:trHeight w:val="608"/>
        </w:trPr>
        <w:tc>
          <w:tcPr>
            <w:tcW w:w="3320" w:type="dxa"/>
            <w:vAlign w:val="bottom"/>
          </w:tcPr>
          <w:p>
            <w:pPr>
              <w:spacing w:after="0"/>
              <w:rPr>
                <w:sz w:val="24"/>
                <w:szCs w:val="24"/>
                <w:color w:val="auto"/>
              </w:rPr>
            </w:pPr>
          </w:p>
        </w:tc>
        <w:tc>
          <w:tcPr>
            <w:tcW w:w="1120" w:type="dxa"/>
            <w:vAlign w:val="bottom"/>
          </w:tcPr>
          <w:p>
            <w:pPr>
              <w:ind w:left="800"/>
              <w:spacing w:after="0"/>
              <w:rPr>
                <w:sz w:val="20"/>
                <w:szCs w:val="20"/>
                <w:color w:val="auto"/>
              </w:rPr>
            </w:pPr>
            <w:r>
              <w:rPr>
                <w:rFonts w:ascii="Courier New" w:cs="Courier New" w:eastAsia="Courier New" w:hAnsi="Courier New"/>
                <w:sz w:val="18"/>
                <w:szCs w:val="18"/>
                <w:color w:val="auto"/>
                <w:w w:val="92"/>
              </w:rPr>
              <w:t>By:</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/s/</w:t>
            </w:r>
          </w:p>
        </w:tc>
        <w:tc>
          <w:tcPr>
            <w:tcW w:w="2480" w:type="dxa"/>
            <w:vAlign w:val="bottom"/>
          </w:tcPr>
          <w:p>
            <w:pPr>
              <w:ind w:left="60"/>
              <w:spacing w:after="0"/>
              <w:rPr>
                <w:sz w:val="20"/>
                <w:szCs w:val="20"/>
                <w:color w:val="auto"/>
              </w:rPr>
            </w:pPr>
            <w:r>
              <w:rPr>
                <w:rFonts w:ascii="Courier New" w:cs="Courier New" w:eastAsia="Courier New" w:hAnsi="Courier New"/>
                <w:sz w:val="18"/>
                <w:szCs w:val="18"/>
                <w:color w:val="auto"/>
              </w:rPr>
              <w:t>John R. Hawkins</w:t>
            </w:r>
          </w:p>
        </w:tc>
      </w:tr>
      <w:tr>
        <w:trPr>
          <w:trHeight w:val="203"/>
        </w:trPr>
        <w:tc>
          <w:tcPr>
            <w:tcW w:w="3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3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John R. Hawkins, Trustee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bullet"/>
      <w:start w:val="1"/>
    </w:lvl>
  </w:abstractNum>
  <w:abstractNum w:abstractNumId="3">
    <w:nsid w:val="216231B"/>
    <w:multiLevelType w:val="hybridMultilevel"/>
    <w:lvl w:ilvl="0">
      <w:lvlJc w:val="left"/>
      <w:lvlText w:val="(%1)"/>
      <w:numFmt w:val="lowerLetter"/>
      <w:start w:val="1"/>
    </w:lvl>
  </w:abstractNum>
  <w:abstractNum w:abstractNumId="4">
    <w:nsid w:val="1F16E9E8"/>
    <w:multiLevelType w:val="hybridMultilevel"/>
    <w:lvl w:ilvl="0">
      <w:lvlJc w:val="left"/>
      <w:lvlText w:val="3"/>
      <w:numFmt w:val="bullet"/>
      <w:start w:val="1"/>
    </w:lvl>
  </w:abstractNum>
  <w:abstractNum w:abstractNumId="5">
    <w:nsid w:val="1190CDE7"/>
    <w:multiLevelType w:val="hybridMultilevel"/>
    <w:lvl w:ilvl="0">
      <w:lvlJc w:val="left"/>
      <w:lvlText w:val="4"/>
      <w:numFmt w:val="bullet"/>
      <w:start w:val="1"/>
    </w:lvl>
  </w:abstractNum>
  <w:abstractNum w:abstractNumId="6">
    <w:nsid w:val="66EF438D"/>
    <w:multiLevelType w:val="hybridMultilevel"/>
    <w:lvl w:ilvl="0">
      <w:lvlJc w:val="left"/>
      <w:lvlText w:val="9"/>
      <w:numFmt w:val="bullet"/>
      <w:start w:val="1"/>
    </w:lvl>
  </w:abstractNum>
  <w:abstractNum w:abstractNumId="7">
    <w:nsid w:val="140E0F76"/>
    <w:multiLevelType w:val="hybridMultilevel"/>
    <w:lvl w:ilvl="0">
      <w:lvlJc w:val="left"/>
      <w:lvlText w:val="%1"/>
      <w:numFmt w:val="decimal"/>
      <w:start w:val="10"/>
    </w:lvl>
  </w:abstractNum>
  <w:abstractNum w:abstractNumId="8">
    <w:nsid w:val="3352255A"/>
    <w:multiLevelType w:val="hybridMultilevel"/>
    <w:lvl w:ilvl="0">
      <w:lvlJc w:val="left"/>
      <w:lvlText w:val="%1"/>
      <w:numFmt w:val="decimal"/>
      <w:start w:val="12"/>
    </w:lvl>
  </w:abstractNum>
  <w:abstractNum w:abstractNumId="9">
    <w:nsid w:val="109CF92E"/>
    <w:multiLevelType w:val="hybridMultilevel"/>
    <w:lvl w:ilvl="0">
      <w:lvlJc w:val="left"/>
      <w:lvlText w:val="(%1)"/>
      <w:numFmt w:val="lowerLetter"/>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lowerLetter"/>
      <w:start w:val="2"/>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lowerLetter"/>
      <w:start w:val="6"/>
    </w:lvl>
    <w:lvl w:ilvl="1">
      <w:lvlJc w:val="left"/>
      <w:lvlText w:val="----"/>
      <w:numFmt w:val="bullet"/>
      <w:start w:val="1"/>
    </w:lvl>
  </w:abstractNum>
  <w:abstractNum w:abstractNumId="15">
    <w:nsid w:val="4E6AFB66"/>
    <w:multiLevelType w:val="hybridMultilevel"/>
    <w:lvl w:ilvl="0">
      <w:lvlJc w:val="left"/>
      <w:lvlText w:val="(%1)"/>
      <w:numFmt w:val="lowerLetter"/>
      <w:start w:val="1"/>
    </w:lvl>
    <w:lvl w:ilvl="1">
      <w:lvlJc w:val="left"/>
      <w:lvlText w:val="(%2)"/>
      <w:numFmt w:val="lowerRoman"/>
      <w:start w:val="1"/>
    </w:lvl>
  </w:abstractNum>
  <w:abstractNum w:abstractNumId="16">
    <w:nsid w:val="25E45D32"/>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2019-12-12T06:20:33Z</dcterms:created>
  <dcterms:modified xsi:type="dcterms:W3CDTF">2019-12-12T06:20:33Z</dcterms:modified>
</cp:coreProperties>
</file>