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-306705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QUARTERLY REPORT PURSUANT TO SECTION 13 OR 15(d) OF THE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1, 2017</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0-7647</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53340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jc w:val="center"/>
              <w:ind w:right="2262"/>
              <w:spacing w:after="0"/>
              <w:rPr>
                <w:sz w:val="20"/>
                <w:szCs w:val="20"/>
                <w:color w:val="auto"/>
              </w:rPr>
            </w:pPr>
            <w:r>
              <w:rPr>
                <w:rFonts w:ascii="Times New Roman" w:cs="Times New Roman" w:eastAsia="Times New Roman" w:hAnsi="Times New Roman"/>
                <w:sz w:val="18"/>
                <w:szCs w:val="18"/>
                <w:b w:val="1"/>
                <w:bCs w:val="1"/>
                <w:color w:val="auto"/>
                <w:w w:val="99"/>
              </w:rPr>
              <w:t>MINNESOTA</w:t>
            </w:r>
          </w:p>
        </w:tc>
        <w:tc>
          <w:tcPr>
            <w:tcW w:w="3460" w:type="dxa"/>
            <w:vAlign w:val="bottom"/>
          </w:tcPr>
          <w:p>
            <w:pPr>
              <w:jc w:val="center"/>
              <w:ind w:right="1922"/>
              <w:spacing w:after="0"/>
              <w:rPr>
                <w:sz w:val="20"/>
                <w:szCs w:val="20"/>
                <w:color w:val="auto"/>
              </w:rPr>
            </w:pPr>
            <w:r>
              <w:rPr>
                <w:rFonts w:ascii="Times New Roman" w:cs="Times New Roman" w:eastAsia="Times New Roman" w:hAnsi="Times New Roman"/>
                <w:sz w:val="18"/>
                <w:szCs w:val="18"/>
                <w:b w:val="1"/>
                <w:bCs w:val="1"/>
                <w:color w:val="auto"/>
                <w:w w:val="98"/>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4"/>
        </w:trPr>
        <w:tc>
          <w:tcPr>
            <w:tcW w:w="7960" w:type="dxa"/>
            <w:vAlign w:val="bottom"/>
            <w:gridSpan w:val="2"/>
          </w:tcPr>
          <w:p>
            <w:pPr>
              <w:jc w:val="center"/>
              <w:ind w:right="2262"/>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942"/>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960" w:type="dxa"/>
            <w:vAlign w:val="bottom"/>
            <w:gridSpan w:val="2"/>
          </w:tcPr>
          <w:p>
            <w:pPr>
              <w:jc w:val="center"/>
              <w:ind w:right="22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2381 ROSEGATE, ROSEVILLE, MINNESOTA 55113</w:t>
            </w:r>
          </w:p>
        </w:tc>
        <w:tc>
          <w:tcPr>
            <w:tcW w:w="346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460" w:type="dxa"/>
            <w:vAlign w:val="bottom"/>
          </w:tcPr>
          <w:p>
            <w:pPr>
              <w:spacing w:after="0"/>
              <w:rPr>
                <w:sz w:val="16"/>
                <w:szCs w:val="16"/>
                <w:color w:val="auto"/>
              </w:rPr>
            </w:pPr>
          </w:p>
        </w:tc>
      </w:tr>
      <w:tr>
        <w:trPr>
          <w:trHeight w:val="510"/>
        </w:trPr>
        <w:tc>
          <w:tcPr>
            <w:tcW w:w="7960" w:type="dxa"/>
            <w:vAlign w:val="bottom"/>
            <w:gridSpan w:val="2"/>
          </w:tcPr>
          <w:p>
            <w:pPr>
              <w:jc w:val="center"/>
              <w:ind w:left="3399"/>
              <w:spacing w:after="0"/>
              <w:rPr>
                <w:sz w:val="20"/>
                <w:szCs w:val="20"/>
                <w:color w:val="auto"/>
              </w:rPr>
            </w:pPr>
            <w:r>
              <w:rPr>
                <w:rFonts w:ascii="Times New Roman" w:cs="Times New Roman" w:eastAsia="Times New Roman" w:hAnsi="Times New Roman"/>
                <w:sz w:val="18"/>
                <w:szCs w:val="18"/>
                <w:b w:val="1"/>
                <w:bCs w:val="1"/>
                <w:color w:val="auto"/>
                <w:w w:val="99"/>
              </w:rPr>
              <w:t>(612) 331-6910</w:t>
            </w:r>
          </w:p>
        </w:tc>
        <w:tc>
          <w:tcPr>
            <w:tcW w:w="3460" w:type="dxa"/>
            <w:vAlign w:val="bottom"/>
          </w:tcPr>
          <w:p>
            <w:pPr>
              <w:spacing w:after="0"/>
              <w:rPr>
                <w:sz w:val="24"/>
                <w:szCs w:val="24"/>
                <w:color w:val="auto"/>
              </w:rPr>
            </w:pPr>
          </w:p>
        </w:tc>
      </w:tr>
      <w:tr>
        <w:trPr>
          <w:trHeight w:val="225"/>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60" w:type="dxa"/>
            <w:vAlign w:val="bottom"/>
          </w:tcPr>
          <w:p>
            <w:pPr>
              <w:spacing w:after="0"/>
              <w:rPr>
                <w:sz w:val="19"/>
                <w:szCs w:val="19"/>
                <w:color w:val="auto"/>
              </w:rPr>
            </w:pPr>
          </w:p>
        </w:tc>
      </w:tr>
    </w:tbl>
    <w:p>
      <w:pPr>
        <w:spacing w:after="0" w:line="27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24" w:right="239" w:bottom="1440" w:gutter="0" w:footer="0" w:header="0"/>
        </w:sect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740" w:space="540"/>
            <w:col w:w="4620" w:space="720"/>
            <w:col w:w="2060" w:space="720"/>
            <w:col w:w="1020"/>
          </w:cols>
          <w:pgMar w:left="240" w:top="1024" w:right="23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4"/>
          <w:szCs w:val="24"/>
          <w:color w:val="auto"/>
        </w:rPr>
      </w:pPr>
    </w:p>
    <w:p>
      <w:pPr>
        <w:sectPr>
          <w:pgSz w:w="11900" w:h="16838" w:orient="portrait"/>
          <w:cols w:equalWidth="0" w:num="5">
            <w:col w:w="1640" w:space="640"/>
            <w:col w:w="160" w:space="80"/>
            <w:col w:w="4380" w:space="720"/>
            <w:col w:w="2080" w:space="700"/>
            <w:col w:w="1020"/>
          </w:cols>
          <w:pgMar w:left="240" w:top="102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66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 Outstanding at February 3, 2017</w:t>
            </w:r>
          </w:p>
        </w:tc>
        <w:tc>
          <w:tcPr>
            <w:tcW w:w="540" w:type="dxa"/>
            <w:vAlign w:val="bottom"/>
          </w:tcPr>
          <w:p>
            <w:pPr>
              <w:spacing w:after="0"/>
              <w:rPr>
                <w:sz w:val="16"/>
                <w:szCs w:val="16"/>
                <w:color w:val="auto"/>
              </w:rPr>
            </w:pPr>
          </w:p>
        </w:tc>
      </w:tr>
      <w:tr>
        <w:trPr>
          <w:trHeight w:val="242"/>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Stock, par value $.05 per share</w:t>
            </w:r>
          </w:p>
        </w:tc>
        <w:tc>
          <w:tcPr>
            <w:tcW w:w="4860" w:type="dxa"/>
            <w:vAlign w:val="bottom"/>
          </w:tcPr>
          <w:p>
            <w:pPr>
              <w:jc w:val="right"/>
              <w:ind w:right="1939"/>
              <w:spacing w:after="0"/>
              <w:rPr>
                <w:sz w:val="20"/>
                <w:szCs w:val="20"/>
                <w:color w:val="auto"/>
              </w:rPr>
            </w:pPr>
            <w:r>
              <w:rPr>
                <w:rFonts w:ascii="Times New Roman" w:cs="Times New Roman" w:eastAsia="Times New Roman" w:hAnsi="Times New Roman"/>
                <w:sz w:val="18"/>
                <w:szCs w:val="18"/>
                <w:color w:val="auto"/>
              </w:rPr>
              <w:t>10,632,556</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24" w:right="239" w:bottom="1440" w:gutter="0" w:footer="0" w:header="0"/>
          <w:type w:val="continuous"/>
        </w:sectPr>
      </w:pPr>
    </w:p>
    <w:bookmarkStart w:id="1" w:name="page2"/>
    <w:bookmarkEnd w:id="1"/>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52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52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 January 1, 2017 and April 3, 2016</w:t>
              </w:r>
            </w:hyperlink>
          </w:p>
        </w:tc>
        <w:tc>
          <w:tcPr>
            <w:tcW w:w="2080" w:type="dxa"/>
            <w:vAlign w:val="bottom"/>
            <w:gridSpan w:val="5"/>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 Three and Nine Months Ended January 1, 2017</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196"/>
        </w:trPr>
        <w:tc>
          <w:tcPr>
            <w:tcW w:w="1140" w:type="dxa"/>
            <w:vAlign w:val="bottom"/>
          </w:tcPr>
          <w:p>
            <w:pPr>
              <w:spacing w:after="0"/>
              <w:rPr>
                <w:sz w:val="17"/>
                <w:szCs w:val="17"/>
                <w:color w:val="auto"/>
              </w:rPr>
            </w:pPr>
          </w:p>
        </w:tc>
        <w:tc>
          <w:tcPr>
            <w:tcW w:w="70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December 27, 2015</w:t>
              </w:r>
            </w:hyperlink>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 Three and Nine Months Ended</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196"/>
        </w:trPr>
        <w:tc>
          <w:tcPr>
            <w:tcW w:w="11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January 1, 2017 and December 27, 2015</w:t>
              </w:r>
            </w:hyperlink>
          </w:p>
        </w:tc>
        <w:tc>
          <w:tcPr>
            <w:tcW w:w="4060" w:type="dxa"/>
            <w:vAlign w:val="bottom"/>
            <w:tcBorders>
              <w:top w:val="single" w:sz="8" w:color="0000EE"/>
            </w:tcBorders>
            <w:gridSpan w:val="7"/>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Nine Months Ended January 1, 2017 and</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196"/>
        </w:trPr>
        <w:tc>
          <w:tcPr>
            <w:tcW w:w="114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December 27, 2015</w:t>
              </w:r>
            </w:hyperlink>
          </w:p>
        </w:tc>
        <w:tc>
          <w:tcPr>
            <w:tcW w:w="5420" w:type="dxa"/>
            <w:vAlign w:val="bottom"/>
            <w:tcBorders>
              <w:top w:val="single" w:sz="8" w:color="0000EE"/>
            </w:tcBorders>
            <w:gridSpan w:val="12"/>
          </w:tcPr>
          <w:p>
            <w:pPr>
              <w:spacing w:after="0"/>
              <w:rPr>
                <w:sz w:val="17"/>
                <w:szCs w:val="17"/>
                <w:color w:val="auto"/>
              </w:rPr>
            </w:pPr>
          </w:p>
        </w:tc>
        <w:tc>
          <w:tcPr>
            <w:tcW w:w="8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6"/>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Controls and Procedures</w:t>
              </w:r>
            </w:hyperlink>
          </w:p>
        </w:tc>
        <w:tc>
          <w:tcPr>
            <w:tcW w:w="2540" w:type="dxa"/>
            <w:vAlign w:val="bottom"/>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780" w:type="dxa"/>
            <w:vAlign w:val="bottom"/>
            <w:gridSpan w:val="12"/>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40" w:type="dxa"/>
            <w:vAlign w:val="bottom"/>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6320" w:type="dxa"/>
            <w:vAlign w:val="bottom"/>
            <w:gridSpan w:val="1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3"/>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179"/>
          </w:cols>
          <w:pgMar w:left="280" w:top="57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3,</w:t>
            </w:r>
          </w:p>
        </w:tc>
        <w:tc>
          <w:tcPr>
            <w:tcW w:w="0" w:type="dxa"/>
            <w:vAlign w:val="bottom"/>
          </w:tcPr>
          <w:p>
            <w:pPr>
              <w:spacing w:after="0"/>
              <w:rPr>
                <w:sz w:val="1"/>
                <w:szCs w:val="1"/>
                <w:color w:val="auto"/>
              </w:rPr>
            </w:pPr>
          </w:p>
        </w:tc>
      </w:tr>
      <w:tr>
        <w:trPr>
          <w:trHeight w:val="245"/>
        </w:trPr>
        <w:tc>
          <w:tcPr>
            <w:tcW w:w="8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0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20,014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Trade receivables — less allowance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$468 as of January 1, 2017 and $602 as of April 3, 2016</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59,271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47,719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116,997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137,288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204,848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88,527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116,321</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97,724</w:t>
            </w: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 less accumulated amortization: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$10,933 as of January 1, 2017 and $6,370 as of April 3, 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82,934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182,882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414,741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436,491</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30,121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payroll and employee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8,787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Due to sellers of acquired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Container deposits</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41,898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59,765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123,616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WITHDRAWAL LIABILITY</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6,282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42,242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197,398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235,516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authorized: 30,000,000 shares of $0.05 par value; 10,538,328 and 10,512,471 shares issued and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January 1, 2017 and April 3, 2016, respectively</w:t>
            </w: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48,189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166,153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152,265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217,343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200,975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436,491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60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4"/>
        </w:trPr>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2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2"/>
              <w:spacing w:after="0" w:line="145"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364,975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284,463</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(229,208)</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55,255</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22,236</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22,215</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w:t>
            </w:r>
          </w:p>
        </w:tc>
      </w:tr>
      <w:tr>
        <w:trPr>
          <w:trHeight w:val="27"/>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13,284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10,538,328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10,478,266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10,529,259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10,534,933</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10,595,140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10,528,126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10,592,550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10,591,543</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0.40</w:t>
            </w:r>
          </w:p>
        </w:tc>
      </w:tr>
      <w:tr>
        <w:trPr>
          <w:trHeight w:val="27"/>
        </w:trPr>
        <w:tc>
          <w:tcPr>
            <w:tcW w:w="5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13,284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interest rate swap</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18,622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13,310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7"/>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2"/>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13,284</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Reconciliation to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10,468</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Loss on disposal of investments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7"/>
        </w:trPr>
        <w:tc>
          <w:tcPr>
            <w:tcW w:w="7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1,277</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from property disposals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4"/>
        </w:trPr>
        <w:tc>
          <w:tcPr>
            <w:tcW w:w="7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Changes in operating accounts providing (using) cash:</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Trade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3,793</w:t>
            </w:r>
          </w:p>
        </w:tc>
      </w:tr>
      <w:tr>
        <w:trPr>
          <w:trHeight w:val="237"/>
        </w:trPr>
        <w:tc>
          <w:tcPr>
            <w:tcW w:w="7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237"/>
        </w:trPr>
        <w:tc>
          <w:tcPr>
            <w:tcW w:w="7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2,125</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37"/>
        </w:trPr>
        <w:tc>
          <w:tcPr>
            <w:tcW w:w="7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23,792</w:t>
            </w:r>
          </w:p>
        </w:tc>
      </w:tr>
      <w:tr>
        <w:trPr>
          <w:trHeight w:val="224"/>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(17,113)</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Sale and maturities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34,710</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(150,772)</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w:t>
            </w:r>
          </w:p>
        </w:tc>
      </w:tr>
      <w:tr>
        <w:trPr>
          <w:trHeight w:val="217"/>
        </w:trPr>
        <w:tc>
          <w:tcPr>
            <w:tcW w:w="762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(139,030)</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New 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surrendered for payroll taxes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on senior secured revolving credit facility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on senior secured term loan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revolver borrowings</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31,000</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117,414</w:t>
            </w:r>
          </w:p>
        </w:tc>
      </w:tr>
      <w:tr>
        <w:trPr>
          <w:trHeight w:val="217"/>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2,176</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18,639</w:t>
            </w:r>
          </w:p>
        </w:tc>
      </w:tr>
      <w:tr>
        <w:trPr>
          <w:trHeight w:val="217"/>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20,815</w:t>
            </w:r>
          </w:p>
        </w:tc>
      </w:tr>
      <w:tr>
        <w:trPr>
          <w:trHeight w:val="73"/>
        </w:trPr>
        <w:tc>
          <w:tcPr>
            <w:tcW w:w="76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9,070</w:t>
            </w:r>
          </w:p>
        </w:tc>
      </w:tr>
      <w:tr>
        <w:trPr>
          <w:trHeight w:val="237"/>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Noncash investing activities - capital expenditures in 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r>
      <w:tr>
        <w:trPr>
          <w:trHeight w:val="33"/>
        </w:trPr>
        <w:tc>
          <w:tcPr>
            <w:tcW w:w="7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860"/>
          </w:cols>
          <w:pgMar w:left="240" w:top="576" w:right="7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240" w:top="576" w:right="7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3, 2016,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accounting policies we follow are set forth in Note 1 – Nature of Business and Significant Accounting Policies to our consolidated financial statements in our Annual Report on Form 10-K for the fiscal year ended April 3, 2016, previously filed with the SEC. There has been no significant change in our accounting policies since the end of fiscal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nine months ended January 1, 2017 are not necessarily indicative of the results that may be expected for the full year.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References to fiscal 2016 refer to the fiscal year ended April 3, 2016 and references to fiscal 2017 refer to the fiscal year ending April 2, 2017. As compared to our normal 52-week fiscal years, fiscal 2016 was a 53-week year, with the extra week recorded in our fourth quarter’s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and will be effective for years beginning after December 15, 2016 (our fiscal year ending April 1, 2018) and interim periods within those years. We are currently evaluating the impact of this accounting pronouncement on our results of operations and financial position.</w:t>
      </w:r>
    </w:p>
    <w:p>
      <w:pPr>
        <w:spacing w:after="0" w:line="30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March 2016, the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2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of this accounting pronouncement on our results of operations and financial position.</w:t>
      </w:r>
    </w:p>
    <w:p>
      <w:pPr>
        <w:spacing w:after="0" w:line="3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We adopted this guidance in the first quarter of fiscal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94"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27,</w:t>
            </w:r>
          </w:p>
        </w:tc>
      </w:tr>
      <w:tr>
        <w:trPr>
          <w:trHeight w:val="238"/>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10,538,328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10,478,266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10,529,259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10,534,933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56,812</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49,860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63,291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56,610</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10,595,140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10,528,126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10,592,550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10,591,543</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each of the three and nine months ended January 1, 2017 and December 27, 2015, there were no shares excluded from the calculation of weighted-average common shares for diluted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of Stauber Performance Ingredients: </w:t>
      </w:r>
      <w:r>
        <w:rPr>
          <w:rFonts w:ascii="Times New Roman" w:cs="Times New Roman" w:eastAsia="Times New Roman" w:hAnsi="Times New Roman"/>
          <w:sz w:val="18"/>
          <w:szCs w:val="18"/>
          <w:color w:val="auto"/>
        </w:rPr>
        <w:t>On December 23, 2015, we acquired Stauber Performance Ingredients (“Stauber”) for $157.0 million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cash-free, debt-free basis subject to a customary working capital adjustment. The total consideration for the acquisition was $158.2 million ($156.7 million net of cash acquired). We paid $156.0 million in cash at closing and paid an additional $2.2 million during the first quarter of fiscal 2017 based upon closing cash, debt and working capital balances. The purchase was funded with $131.0 million of proceeds from the credit facility described more fully in Note 8 as well as cash on hand.</w:t>
      </w:r>
    </w:p>
    <w:p>
      <w:pPr>
        <w:spacing w:after="0" w:line="2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are included in our recently-formed Health and Nutrition operating segment.</w:t>
      </w:r>
    </w:p>
    <w:p>
      <w:pPr>
        <w:spacing w:after="0" w:line="2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under the acquisition method of accounting. Accordingly, the cost to acquire Stauber was allocated to the underlying net assets in proportion to estimates of their respective fair values.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acquired property, plant and equipment of $11.0 million was valued using a cost approach with consideration given to the continuation of the property in the current operation at the present locations. The fair value of acquired identifiable intangible assets was $71.5 million. The acquired intangible assets, all of which are finite-lived, have a weighted average useful life of 16.3 years and are being amortized on a straight-line basis. The intangible assets include customer relationships of $66.0 million (17 year life), trade name of $4.0 million (10 year life), non-competition agreements of $1.3 million (3.3 year weighted average life) and order backlog of $0.1 million.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fair value of acquired identifiable intangible assets was determined using the income approach. In performing these valuations, the key underlying probability-adjusted assumptions of the discounted cash flows were projected revenues, gross margin expectations and operating cost estimates. The valuations were based on the information that was available as of the acquisition date and expectations and assumptions that have been deemed reasonable by management. There are inherent uncertainties and management judgment required in these determinations. The fair value measurements of the assets acquired were based on valuations involving significant unobservable inputs, or Level 3 in the fair value hierarchy. None of the intangible assets are deductible for income tax purposes. As a result, a $28.6 million deferred tax liability was recorded on the opening balance sheet for the amount of non-deductible amortization expense.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38" w:right="2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The purchase price of Stauber exceeded the acquisition-date amounts of the identifiable assets acquired less the liabilities assumed by $84.1 million. Cash flows used to determine the purchase price included strategic and synergistic benefits (investment value) specific to our businesses, which resulted in a purchase price in excess of the fair value of identifiable net assets. The purchase price also included the fair values of other assets that were not identifiable, not separately recognizable under accounting rules (e.g., assembled workforce) or of immaterial value in addition to a going-concern element that represents our ability to earn a higher rate of return on the group of assets than would be expected on the separate assets as determined during the valuation process. None of the goodwill is deductible for income tax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measurement of the assets acquired and liabilities assumed as of the acquisition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 and cash equivalents (a)</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16,023</w:t>
            </w:r>
          </w:p>
        </w:tc>
      </w:tr>
      <w:tr>
        <w:trPr>
          <w:trHeight w:val="243"/>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71,459</w:t>
            </w:r>
          </w:p>
        </w:tc>
      </w:tr>
      <w:tr>
        <w:trPr>
          <w:trHeight w:val="243"/>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 (a)</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43"/>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40" w:type="dxa"/>
            <w:vAlign w:val="bottom"/>
          </w:tcPr>
          <w:p>
            <w:pPr>
              <w:spacing w:after="0"/>
              <w:rPr>
                <w:sz w:val="20"/>
                <w:szCs w:val="20"/>
                <w:color w:val="auto"/>
              </w:rPr>
            </w:pP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74,113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84,063</w:t>
            </w:r>
          </w:p>
        </w:tc>
      </w:tr>
      <w:tr>
        <w:trPr>
          <w:trHeight w:val="237"/>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preliminary purchase price</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acquired cash</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57"/>
        </w:trPr>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Preliminary purchase price, net of cash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40" w:firstLine="8"/>
        <w:spacing w:after="0" w:line="282" w:lineRule="auto"/>
        <w:tabs>
          <w:tab w:leader="none" w:pos="1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these balances, $7.3 million of cash and current accrued liabilities that relate to stock and other acquisition-related compensation payments were recorded by Stauber as of the acquisition date but were paid subsequent to the acquisition date.</w:t>
      </w:r>
    </w:p>
    <w:p>
      <w:pPr>
        <w:spacing w:after="0" w:line="1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240" w:top="580" w:right="37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t>The following pro forma information has been prepared as if the Stauber acquisition and the borrowing to finance the acquisition had occurred as of the beginning of fiscal 2016. The pro forma information is not necessarily indicative of what our consolidated results of operations actually would have been had the acquisition occurred at the beginning of the fiscal year, nor is it indicative of our future operational results. There is no pro forma information presented for the three and nine months ended January 1, 2017 as Stauber’s results are included in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9977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34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Three Months Ended December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36830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Stauber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Combined Pro</w:t>
            </w:r>
          </w:p>
        </w:tc>
      </w:tr>
      <w:tr>
        <w:trPr>
          <w:trHeight w:val="225"/>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32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Forma Results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88,375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114,364</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 forma 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 forma 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27, 2015</w:t>
            </w: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Stauber</w:t>
            </w:r>
          </w:p>
        </w:tc>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Combined Pro</w:t>
            </w:r>
          </w:p>
        </w:tc>
      </w:tr>
      <w:tr>
        <w:trPr>
          <w:trHeight w:val="245"/>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Forma Results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 forma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284,463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87,691</w:t>
            </w:r>
          </w:p>
        </w:tc>
        <w:tc>
          <w:tcPr>
            <w:tcW w:w="2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372,154</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13,284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17,325</w:t>
            </w:r>
          </w:p>
        </w:tc>
      </w:tr>
      <w:tr>
        <w:trPr>
          <w:trHeight w:val="32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 forma 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5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Included in pro forma net income for the nine months ended December 27, 2015 was a $0.9 million pre-tax non-operating gain recorded by Stauber, or $0.05 per fully diluted share, after tax. 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(d) elimination of stock and other acquisition-related compensation recorded by Stauber, and $2.7 million of pre-tax transaction-related expenses recorded by us; and (e) recording income taxes at an estimated statutory rate of 37.5% on the pro forma adjustments.</w:t>
      </w:r>
    </w:p>
    <w:p>
      <w:pPr>
        <w:spacing w:after="0" w:line="3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Acquisition of Davis Supply, Inc.</w:t>
      </w:r>
      <w:r>
        <w:rPr>
          <w:rFonts w:ascii="Times New Roman" w:cs="Times New Roman" w:eastAsia="Times New Roman" w:hAnsi="Times New Roman"/>
          <w:sz w:val="18"/>
          <w:szCs w:val="18"/>
          <w:color w:val="auto"/>
        </w:rPr>
        <w:t>: On September 18, 2015, we acquired substantially all of the assets of Davis Supply, Inc. (“Davis”) under the terms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We integrated this business into our existing Florida locations. The results of operations after the date of acquisition and the acquired assets are included in our Water Treatment Segment.</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823" w:right="319" w:bottom="1440" w:gutter="0" w:footer="0" w:header="0"/>
        </w:sectPr>
      </w:pPr>
    </w:p>
    <w:bookmarkStart w:id="10" w:name="page11"/>
    <w:bookmarkEnd w:id="10"/>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acquisition has been accounted for under the acquisition method of accounting, under which the total purchase price is allocated to the net tangible and intangible assets acquired based on their estimated fair values. We estimated the fair values of the assets acquired and liabilities assumed using a discounted cash flow analysis (income approach). The following table summarizes the allocation of the purchase price to the fair values assigned to the assets acquired and liabilities assumed as of the acquisition date:</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Amount</w:t>
            </w:r>
          </w:p>
        </w:tc>
      </w:tr>
      <w:tr>
        <w:trPr>
          <w:trHeight w:val="237"/>
        </w:trPr>
        <w:tc>
          <w:tcPr>
            <w:tcW w:w="2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96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2,532</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2,755</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1,745</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Intangible assets recognized in connection with this acquisition consist of $2.4 million related to customer relationships to be amortized over 20 years, and $0.1 million related to a non-compete agreement to be amortized over five years. The goodwill recognized as a result of this acquisition is primarily attributable to strategic and synergistic benefits, as well as the assembled workforce. This goodwill is expected to be deductible for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 Instruments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January 1, 2017, we recorded $0.3 million in other comprehensive income related to unrealized gains (net of tax) on the cash flow hedge. An asset of</w:t>
      </w:r>
    </w:p>
    <w:p>
      <w:pPr>
        <w:spacing w:after="0" w:line="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$0.5 million is included in other long-term assets on our condensed consolidated balance sheet as of January 1, 2017. No amounts were reflected in other comprehensive income related to cash flow hedges for the three or nine months ended December 27, 2015 or on the condensed consolidated balance sheet as of December 27, 2015 as we did not hold any derivative instruments at that time. Unrealized gains and losses will be reflected in net income when the related cash flows or hedged transactions occur and offset the related performance of the hedged item.</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Our financial assets and liabilities are measured at fair value as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65"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63" w:lineRule="exact"/>
        <w:rPr>
          <w:sz w:val="20"/>
          <w:szCs w:val="20"/>
          <w:color w:val="auto"/>
        </w:rPr>
      </w:pPr>
    </w:p>
    <w:p>
      <w:pPr>
        <w:ind w:left="2160" w:right="280" w:hanging="864"/>
        <w:spacing w:after="0" w:line="266" w:lineRule="auto"/>
        <w:tabs>
          <w:tab w:leader="none" w:pos="2140" w:val="left"/>
        </w:tabs>
        <w:rPr>
          <w:sz w:val="20"/>
          <w:szCs w:val="20"/>
          <w:color w:val="auto"/>
        </w:rPr>
      </w:pPr>
      <w:r>
        <w:rPr>
          <w:rFonts w:ascii="Times New Roman" w:cs="Times New Roman" w:eastAsia="Times New Roman" w:hAnsi="Times New Roman"/>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4" w:lineRule="exact"/>
        <w:rPr>
          <w:sz w:val="20"/>
          <w:szCs w:val="20"/>
          <w:color w:val="auto"/>
        </w:rPr>
      </w:pPr>
    </w:p>
    <w:p>
      <w:pPr>
        <w:ind w:left="2160" w:right="940" w:hanging="864"/>
        <w:spacing w:after="0" w:line="266" w:lineRule="auto"/>
        <w:tabs>
          <w:tab w:leader="none" w:pos="2140" w:val="left"/>
        </w:tabs>
        <w:rPr>
          <w:sz w:val="20"/>
          <w:szCs w:val="20"/>
          <w:color w:val="auto"/>
        </w:rPr>
      </w:pPr>
      <w:r>
        <w:rPr>
          <w:rFonts w:ascii="Times New Roman" w:cs="Times New Roman" w:eastAsia="Times New Roman" w:hAnsi="Times New Roman"/>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580" w:right="299" w:bottom="1440" w:gutter="0" w:footer="0" w:header="0"/>
        </w:sectPr>
      </w:pPr>
    </w:p>
    <w:bookmarkStart w:id="11" w:name="page12"/>
    <w:bookmarkEnd w:id="11"/>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The fair value hierarchy requires the use of observable market data when available.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interest rate swaps is determined by the respective counterparties based on interest rate changes. Interest rate swaps are valued based on observable interest rate yield curves for similar instruments.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balances of assets measured at fair value on a recurring basis as of January 1, 2017. There were no assets measured at fair value on a recurring basis as of April 3,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5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360" w:type="dxa"/>
            <w:vAlign w:val="bottom"/>
            <w:tcBorders>
              <w:bottom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24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461</w:t>
            </w:r>
          </w:p>
        </w:tc>
        <w:tc>
          <w:tcPr>
            <w:tcW w:w="960" w:type="dxa"/>
            <w:vAlign w:val="bottom"/>
          </w:tcPr>
          <w:p>
            <w:pPr>
              <w:spacing w:after="0"/>
              <w:rPr>
                <w:sz w:val="21"/>
                <w:szCs w:val="21"/>
                <w:color w:val="auto"/>
              </w:rPr>
            </w:pPr>
          </w:p>
        </w:tc>
      </w:tr>
      <w:tr>
        <w:trPr>
          <w:trHeight w:val="459"/>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at January 1, 2017 and April 3, 2016 consisted of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w:t>
            </w:r>
          </w:p>
        </w:tc>
      </w:tr>
      <w:tr>
        <w:trPr>
          <w:trHeight w:val="225"/>
        </w:trPr>
        <w:tc>
          <w:tcPr>
            <w:tcW w:w="5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(FIFO basis)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53,644</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51,857</w:t>
            </w:r>
          </w:p>
        </w:tc>
      </w:tr>
      <w:tr>
        <w:trPr>
          <w:trHeight w:val="243"/>
        </w:trPr>
        <w:tc>
          <w:tcPr>
            <w:tcW w:w="5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LIFO reserve</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inventory</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50,256</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FIFO value of inventories accounted for under the LIFO method was $38.3 million at January 1, 2017 and $36.5 million at April 3, 2016. The remainder of the inventory was valued and accounted for under the FIFO method.</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LIFO reserve decreased $0.4 million during the three months ended January 1, 2017 and increased nominally during the three months ended December 27, 2015. During the nine months ended January 1, 2017 the LIFO reserve decreased $0.8 million and increased nominally for the nine months ended December 27, 2015. The valuation of LIFO inventory for interim periods is based on our estimates of year-end inventory levels and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carrying amount of goodwill was $97.6 million as of January 1, 2017 and $97.7 million as of April 3, 2016. Goodwill changed slightly during the three months ended January 1, 2017, as purchase accounting related to the Stauber acquisition was finalized.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intangible assets as of January 1, 2017 and April 3, 2016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2017</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60"/>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71,695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77,143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81,707</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78,370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82,934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at January 1, 2017 and April 3, 2016 consisted of the following:</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4"/>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2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3,</w:t>
            </w:r>
          </w:p>
        </w:tc>
      </w:tr>
      <w:tr>
        <w:trPr>
          <w:trHeight w:val="238"/>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140" w:type="dxa"/>
            <w:vAlign w:val="bottom"/>
            <w:tcBorders>
              <w:right w:val="single" w:sz="8" w:color="CCEEFF"/>
            </w:tcBorders>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98,750</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37"/>
        </w:trPr>
        <w:tc>
          <w:tcPr>
            <w:tcW w:w="140" w:type="dxa"/>
            <w:vAlign w:val="bottom"/>
          </w:tcPr>
          <w:p>
            <w:pPr>
              <w:spacing w:after="0"/>
              <w:rPr>
                <w:sz w:val="20"/>
                <w:szCs w:val="20"/>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129,750</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3"/>
        </w:trPr>
        <w:tc>
          <w:tcPr>
            <w:tcW w:w="140" w:type="dxa"/>
            <w:vAlign w:val="bottom"/>
          </w:tcPr>
          <w:p>
            <w:pPr>
              <w:spacing w:after="0"/>
              <w:rPr>
                <w:sz w:val="21"/>
                <w:szCs w:val="21"/>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123,616</w:t>
            </w: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multiple state jurisdictions. The tax years prior to our fiscal year ended March 31, 2013 are closed to examination by the Internal Revenue Service, and with few exceptions, state and local income tax jurisdictions. Our effective tax rate for the nine months ended January 1, 2017 was approximately 37.3%, compared to an effective tax rate of 40.2% for the nine months ended December 27, 2015. The effective tax rate is impacted by projected levels of annual taxable income, permanent items, and state taxes. The increase in the effective tax rate for the prior year was driven by approximately $0.5 million of income tax expense related to $1.3 million of Stauber acquisition-related expenditures that were not deductible for tax purposes and were recorded as discrete items during the three months ended December 27, 2015. The effective tax rate for the prior year was also increased by income tax expense of $0.2 million related to a preliminary audit finding by a state income tax jurisdiction covering multiple years. Our federal tax return filed for our fiscal year ended March 29, 2015 is currently under examination by the Internal Revenue Service.</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fiscal 2016, we recorded a gross unrecognized tax benefit of $1.9 million in other long-term liabilities on our consolidated balance sheet as a result of uncertain income tax positions taken by Stauber on its tax returns for periods prior to our acquisition. The Stauber acquisition agreement provides us with indemnification by the prior owners for any tax liabilities relating to pre-acquisition tax returns. Accordingly, we have also recorded an offsetting, long-term receivable for $1.9 million, and, as such, any change in the unrecognized tax benefit will not impact our effective tax rate in future periods. We expect these uncertain income tax amounts to decrease as the applicable examination periods by the relevant taxing authorities expire. During the nine months ended January 1, 2017 the unrecognized tax benefit and the offsetting receivable were reduced to $0.8 million due to the expiration of the statute of limitations. As of January 1, 2017 and April 3, 2016, the liability for uncertain tax positions and the corresponding receivable included $0.1 million and $0.3 million of interest and penalties,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Share-Based Compensation</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(the “Board”) approved a performance-based equity compensation arrangement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during the first quarters of each of fiscal 2017 and fiscal 2016.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54,028 shares in the aggregate for fiscal 2017.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76"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represents the restricted stock activity for the nine months ended January 1, 2017:</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66,162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recorded compensation expense of $0.4 million and $1.1 million related to performance share units and restricted stock for the three and nine months ended January 1, 2017, respectively. We recorded compensation expense of $0.3 million and $0.9 million related to performance share units and restricted stock for the three and nine months ended December 27, 2015, respectively. Substantially all of the compensation expense was recorded in selling, general and administrative expenses in the condensed consolidated statements of income.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part of their retainer, each non-employee director receives an annual grant of restricted stock for their Board of Director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restricted stock awards are expensed over the requisite vesting period, which is one year from the date of issuance, based on the market value on the date of grant. As of January 1, 2017, there were 8,092 shares of restricted stock with a weighted averaged grant date fair value of $43.24 outstanding under this program. Compensation expense for each of the three and nine months ended January 1, 2017 and December 27, 2015 related to restricted stock awards to the Board was $0.1 million and $0.2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 Repurchase Program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fiscal 2015,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shares were repurchased during the nine months ended January 1, 2017. During the first nine months of fiscal 2016, 127,852 shares at an aggregate purchase price of $4.8 million were repurchased. The remaining balance of shares available to be repurchased under the current share repurchase program is 112,546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Litigation, Commitments and Contingencies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material pending legal proceedings, other than ordinary routine litigation incidental to the business, to which we or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are a party or of which any of our property is the subject. Legal fees associated with such matters are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Industrial, Water Treatment, and Health and Nutrition. Our Health and Nutrition segment was established as a result of our acquisition of Stauber near the end of the third quarter of fiscal 2016. The accounting policies of the segments are the same as those described in the summary of significant accounting policies in our fiscal 2016 Annual Report on Form 10-K.</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and we began allocating a portion of these costs to the Health and Nutrition segment in fiscal 2017. Corporate costs allocated to Health and Nutrition were $0.5 million for the three months ended January 1, 2017 and $1.5 million for the nine months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2017; these costs would have otherwise been allocated to Industrial (approximately $0.3 million for the three months ended January 1, 2017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for the nine month period) and Water Treatment (approximately $0.2 million for the three months ended January 1, 2017 and $0.6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 period). There are no intersegment sales and no operating segments have been aggregated. Given the nature of our business, it is not practical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 revenues from external customers for each product or each group of similar products. No single customer’s revenues amounted to 10% or more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Sales are primarily within the United States and all assets are located within the United States.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4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Treatment</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Nutrition</w:t>
            </w: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January 1, 2017: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20,912</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5,996</w:t>
            </w:r>
          </w:p>
        </w:tc>
      </w:tr>
      <w:tr>
        <w:trPr>
          <w:trHeight w:val="243"/>
        </w:trPr>
        <w:tc>
          <w:tcPr>
            <w:tcW w:w="5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December 27, 2015: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88,375</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12,825</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January 1, 2017: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364,975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76,160</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44,913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31,247</w:t>
            </w:r>
          </w:p>
        </w:tc>
      </w:tr>
      <w:tr>
        <w:trPr>
          <w:trHeight w:val="243"/>
        </w:trPr>
        <w:tc>
          <w:tcPr>
            <w:tcW w:w="5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Nine months ended December 27, 2015: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284,463</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55,255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33,019</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22,236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changes to identifiable assets by segment occurred during the nine months ended January 1, 2017.</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240" w:top="954" w:right="779" w:bottom="1440" w:gutter="0" w:footer="0" w:header="0"/>
        </w:sectPr>
      </w:pPr>
    </w:p>
    <w:bookmarkStart w:id="15" w:name="page16"/>
    <w:bookmarkEnd w:id="15"/>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results of operations for the three and nine months ended January 1, 2017 as compared to the similar periods ended December 27, 2015. This discussion should be read in conjunction with the condensed consolidated financial statements and notes to condensed consolidated financial statements included in this quarterly report on Form 10-Q and Item 8 of our Annual Report on Form 10-K for the fiscal year ended April 3, 2016 (“fiscal 2016”). References to fiscal 2017 refer to the fiscal year ending April 2, 2017.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Acquisitions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Near the end of the third quarter of fiscal 2016, we acquired Stauber Performance Ingredients (“Stauber”) for $157.0 million on a cash-free, debt-free basis, subject to a customary working capital adjustment. The total consideration for the acquisition was $158.2 million ($156.7 million net of cash acquired). 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The results of operations since the acquisition date, and the assets, including the goodwill associated with the acquisition, are included in our recently-formed Health and Nutrition operating segment, starting with our results for the fourth quarter of fiscal 2016.</w:t>
      </w:r>
    </w:p>
    <w:p>
      <w:pPr>
        <w:spacing w:after="0" w:line="18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September 18, 2015, we acquired substantially all of the assets of Davis Supply, Inc. (“Davis”) for $4.5 million under the terms of an asset purchase agreement with Davis and its shareholders. We integrated this business into our existing Florida locations. The results of operations after the date of acquisition and the acquired assets are included in our Water Treatment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No shares were repurchased during the nine months ended January 1, 2017. During the first nine months of fiscal 2016, 127,852 shares at an aggregate purchase price of $4.8 million were repurchased. The remaining balance of shares available to be repurchased under the current share repurchase program is 112,546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Operating Segment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Stauber acquisition in fiscal 2016, we established our Health and Nutrition operating segment. This segment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 This is a new operating segment for us. We have provided comparisons below to prior year pro forma financial data disclosed in Note 3 to our condensed consolidated interim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use the last in, first out (“LIFO”) method for valuing a large portion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decrease in our LIFO reserve of $0.4 million for the three months ended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January 1, 2017 and $0.8 million for the nine months ended January 1, 2017, both of which increased our reported gross profit for those periods. We recorded a nominal increase in our LIFO reserve for both the three and nine months ended December 27, 2015. Inventories in the Health and Nutrition segment are valued using the first-in, first-out (“FIFO”) method.</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1, 2017</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 2015</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1, 2017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27, 2015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44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January 1, 2017 Compared to Three Months Ended December 27, 2015 </w:t>
      </w:r>
      <w:r>
        <w:rPr>
          <w:rFonts w:ascii="Times New Roman" w:cs="Times New Roman" w:eastAsia="Times New Roman" w:hAnsi="Times New Roman"/>
          <w:sz w:val="18"/>
          <w:szCs w:val="18"/>
          <w:i w:val="1"/>
          <w:iCs w:val="1"/>
          <w:color w:val="auto"/>
        </w:rPr>
        <w:t>Sales</w:t>
      </w:r>
    </w:p>
    <w:p>
      <w:pPr>
        <w:spacing w:after="0" w:line="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Sales increased $24.0 million, or 27.1%, to $112.4 million for the three months ended January 1, 2017, as compared to $88.4 million reported for the same period of the prior year.</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were $57.1 million for the three months ended January 1, 2017, a decrease of $2.2 million from $59.3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the prior year. Sales of bulk commodity products in the Industrial segment were approximately 20% of sales dollars for the three months ended January 1, 2017 and 21% for the same period in the prior year. Sales decreased primarily due to decreased per-unit selling prices resulting from lower raw material prices on certain products, and to a lesser extent, a decrease in overall sales volumes.</w:t>
      </w:r>
    </w:p>
    <w:p>
      <w:pPr>
        <w:spacing w:after="0" w:line="12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decreased $0.9 million, or 3.3%, to $28.1 million for the three months ended January 1, 2017,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$29.0 million for the same period of the prior year. Sales of bulk commodity products in the Water Treatment segment were approximately 17% of sales dollars in the both the three months ended January 1, 2017 and the same period a year ago. Overall sales volumes increased slightly year over year, but a decrease in equipment project revenues along with lower per-unit selling prices due largely to reduced raw material prices on certain products led to a reduction in sales dollars.</w:t>
      </w:r>
    </w:p>
    <w:p>
      <w:pPr>
        <w:spacing w:after="0" w:line="12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 &amp; Nutrition Segment. </w:t>
      </w:r>
      <w:r>
        <w:rPr>
          <w:rFonts w:ascii="Times New Roman" w:cs="Times New Roman" w:eastAsia="Times New Roman" w:hAnsi="Times New Roman"/>
          <w:sz w:val="18"/>
          <w:szCs w:val="18"/>
          <w:color w:val="auto"/>
        </w:rPr>
        <w:t>Sales for our Health and Nutrition segment, which was established near the end of the third quarter of fiscal 2016, were $27.2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January 1, 2017. This compares to pro forma sales of $26.0 million for the same period a year ago and sales of $28.5 million in the second quarter of fiscal 2017.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Gross profit was $20.9 million, or 18.6% of sales, for the three months ended January 1, 2017, an increase of $6.2 million from $14.7 million, or 16.6% of sales, for the same period of the prior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7" w:name="page18"/>
    <w:bookmarkEnd w:id="17"/>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increased $0.9 million to $8.4 million, or 14.7% of sales, for the three months ended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as compared to $7.5 million, or 12.6% of sales, for the same period of the prior year. The LIFO method of valuing inventory increased gross profit by $0.3 million in the current year and had a nominal impact on gross profit for the same period of the prior year. Despite a slight decrease in overall sales volumes, gross profit dollars and gross profit as a percentage of sales increased, primarily due to improved per-unit margins on certain of our specialized products. The improvement in gross profit as a percentage of sales was also due to decreased selling prices resulting from lower raw material costs.</w:t>
      </w:r>
    </w:p>
    <w:p>
      <w:pPr>
        <w:spacing w:after="0" w:line="12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was $7.2 million for both the three months ended January 1, 2017 and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the prior year. Gross profit as a percentage of sales was 25.8% for the three months ended January 1, 2017, as compared to 24.9% for the same period of the prior year. The LIFO method of valuing inventory increased gross profit by $0.1 million for the three months ended January 1, 2017 and had a nominal impact during the same quarter of the prior year. Although we experienced a slight increase in overall volumes, gross profit dollars were flat due to decreased per-unit margins on certain high-volume products.</w:t>
      </w:r>
    </w:p>
    <w:p>
      <w:pPr>
        <w:spacing w:after="0" w:line="12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Health and Nutrition Segment</w:t>
      </w:r>
      <w:r>
        <w:rPr>
          <w:rFonts w:ascii="Times New Roman" w:cs="Times New Roman" w:eastAsia="Times New Roman" w:hAnsi="Times New Roman"/>
          <w:sz w:val="18"/>
          <w:szCs w:val="18"/>
          <w:color w:val="auto"/>
        </w:rPr>
        <w:t>. Gross profit for our Health and Nutrition segment was $5.3 million, or 19.5% of sales, for the third quarter of fiscal 2017.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decrease of $0.5 million from the gross profit reported in the second quarter primarily resulting from lower sales with operational overhead costs that are largely fixed in nature. Inventories in this segment are valued using the FIFO method.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were $14.9 million, or 13.3% of sales, for the three months ended January 1, 2017, an increase of $2.1 million from $12.8 million, or 14.5% of sales, for the same period of the prior year. We incurred $2.7 million of expenses related to our acquisition of Stauber, which were reported in our Health and Nutrition segment in the third quarter of the prior year. SG&amp;A expenses in our Health and Nutrition segment in the current year were $4.6 million, including $1.2 million of amortization expense on acquired intangible assets and $0.5 million of allocated corporate costs. In addition to the $4.1 million of costs incurred within the Health and Nutrition segment, SG&amp;A costs incurred elsewhere in the company increased by $0.7 million compared to the prior year, with this increase driven primarily by the addition of sales and support personnel in our Industrial and Water Treatment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73"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Operating income was $6.0 million for the three months ended January 1, 2017, as compared to $1.9 million for the same period of the prior year. The prior year’s operating income was negatively impacted by $2.7 million of expenses related to our acquisition of Stauber. Operating income provided by our new Health and Nutrition segment was $0.7 million. Operating income in our Industrial segment increased by $0.9 million driven by higher gross profits.</w:t>
      </w:r>
    </w:p>
    <w:p>
      <w:pPr>
        <w:spacing w:after="0" w:line="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Operating income in our Water Treatment segment decreased by $0.1 million due to slightly lower gross profits and increased SG&amp;A expenses in that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increased by $0.6 million for the third quarter of fiscal 2017, compared to the same period of the prior year, due to the interest costs on the debt added late in the third quarter of fiscal 2016 to partially fund the Stauber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33.8% for the three months ended January 1, 2017 compared to 56.1% for the three months ended December 27, 2015. Our tax rate for the quarter ended December 27, 2015 was impacted by income tax expense of approximately $0.5 million associated with $1.3 million of acquisition-related expenditures that were not deductible for tax purposes. The effective tax rate is impacted by projected levels of annual taxable income, permanent items, and state taxes.</w:t>
      </w:r>
    </w:p>
    <w:p>
      <w:pPr>
        <w:spacing w:after="0" w:line="176" w:lineRule="exact"/>
        <w:rPr>
          <w:sz w:val="20"/>
          <w:szCs w:val="20"/>
          <w:color w:val="auto"/>
        </w:rPr>
      </w:pPr>
    </w:p>
    <w:p>
      <w:pPr>
        <w:ind w:right="44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January 1, 2017 Compared to the Nine Months ended December 27, 2015 </w:t>
      </w:r>
      <w:r>
        <w:rPr>
          <w:rFonts w:ascii="Times New Roman" w:cs="Times New Roman" w:eastAsia="Times New Roman" w:hAnsi="Times New Roman"/>
          <w:sz w:val="18"/>
          <w:szCs w:val="18"/>
          <w:i w:val="1"/>
          <w:iCs w:val="1"/>
          <w:color w:val="auto"/>
        </w:rPr>
        <w:t>Sales</w:t>
      </w:r>
    </w:p>
    <w:p>
      <w:pPr>
        <w:spacing w:after="0" w:line="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Sales increased $80.5 million, or 28.3%, to $365.0 million for the nine months ended January 1, 2017, as compared to $284.5 million for the same period of the prior year.</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were $176.7 million for the nine months ended January 1, 2017, a decrease of $8.5 million from $185.3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of the prior year. Sales of bulk commodity products in the Industrial segment were approximately 19% of sales dollars for the nine months ended January 1, 2017 compared to 20% for the same period of the previous year. Lower raw material costs on certain products drove lower selling prices and the decrease in sales dollars.</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increased $1.4 million, or 1.4%, to $100.6 million for the nine months ended January 1, 2017,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$99.2 million for the same period of the prior year. Sales of bulk commodity products in the Water Treatment segment were approximately 15% of sales dollars for the nine months ended January 1, 2017 compared to 16% for the same period of the previous year. The increase in sales dollars was largely due to the business we acquired late in the second quarter of fiscal 2016 and increased volumes of specialized products partially offset by lower volumes of bulk products.</w:t>
      </w:r>
    </w:p>
    <w:p>
      <w:pPr>
        <w:spacing w:after="0" w:line="12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 &amp; Nutrition Segment. </w:t>
      </w:r>
      <w:r>
        <w:rPr>
          <w:rFonts w:ascii="Times New Roman" w:cs="Times New Roman" w:eastAsia="Times New Roman" w:hAnsi="Times New Roman"/>
          <w:sz w:val="18"/>
          <w:szCs w:val="18"/>
          <w:color w:val="auto"/>
        </w:rPr>
        <w:t>Sales for our Health and Nutrition segment established in the third quarter of fiscal 2016 were $87.7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January 1, 2017, equal to pro forma sales of $87.7 million for the same period last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Gross profit was $76.2 million, or 20.9% of sales, for the nine months ended January 1, 2017, an increase of $20.9 million from $55.3 million, or 19.4% of sales, for the same period of the prior year.</w:t>
      </w:r>
    </w:p>
    <w:p>
      <w:pPr>
        <w:spacing w:after="0" w:line="10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increased $1.6 million to $29.0 million, or 16.4% of sales, for the nine months ended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as compared to $27.4 million, or 14.8% of sales, for the same period of the prior year. The LIFO method of valuing inventory increased gross profit in our Industrial segment by $0.6 million during the first nine months of fiscal 2017 and had a nominal impact on the same period of the prior year. Gross profit also increased year over year as a result of a product mix shift to products that carry higher per-unit margins. The improvement in gross profit as a percentage of sales was largely due to decreased selling prices resulting from lower raw material costs.</w:t>
      </w:r>
    </w:p>
    <w:p>
      <w:pPr>
        <w:sectPr>
          <w:pgSz w:w="11900" w:h="16838" w:orient="portrait"/>
          <w:cols w:equalWidth="0" w:num="1">
            <w:col w:w="11420"/>
          </w:cols>
          <w:pgMar w:left="240" w:top="740" w:right="239" w:bottom="0" w:gutter="0" w:footer="0" w:header="0"/>
        </w:sectPr>
      </w:pPr>
    </w:p>
    <w:bookmarkStart w:id="18" w:name="page19"/>
    <w:bookmarkEnd w:id="18"/>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increased $1.1 million to $28.9 million, or 28.8% of sales,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2017, as compared to $27.9 million, or 28.1% of sales, for the same period of the prior year. The LIFO method of valuing inventory increased gross profits in our Water Treatment segment by $0.2 million during the first nine months of fiscal 2017 and had a nominal impact on the same period of the prior year. The increase in gross profit dollars was primarily driven by increased sales volumes of specialized products that have higher per-unit margins as well as profits from the business we acquired late in the second quarter of fiscal 2016.</w:t>
      </w:r>
    </w:p>
    <w:p>
      <w:pPr>
        <w:spacing w:after="0" w:line="12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Health and Nutrition Segment</w:t>
      </w:r>
      <w:r>
        <w:rPr>
          <w:rFonts w:ascii="Times New Roman" w:cs="Times New Roman" w:eastAsia="Times New Roman" w:hAnsi="Times New Roman"/>
          <w:sz w:val="18"/>
          <w:szCs w:val="18"/>
          <w:color w:val="auto"/>
        </w:rPr>
        <w:t>. Gross profit for our Health and Nutrition segment was $18.2 million, or 20.8% of sales, for the nine months ended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Inventories in this segment are valued using the FIFO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SG&amp;A expenses were $44.9 million, or 12.3% of sales, for the nine months ended January 1, 2017, an increase of $11.9 million from $33.0 million, or 11.6% of sales, for the same period of the prior year. We incurred $2.7 million of expenses related to our acquisition of Stauber, which were reported in our Health and Nutrition segment in the prior year. SG&amp;A expenses in our Health and Nutrition segment were $13.8 million for the nine months ended January 1, 2017, including $3.6 million of amortization expense on acquired intangible assets and $1.5 million of allocated corporate costs. In addition to the $12.3 million of costs incurred within the Health and Nutrition segment, SG&amp;A costs incurred elsewhere in the company increased by $2.3 million compared to the prior year period, largely as a result of the addition of sales and support personnel in our Industrial and Water Treatment segments.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income was $31.2 million for the nine months ended January 1, 2017, as compared to $22.2 million for the same period of the prior year. The prior year’s operating income was negatively impacted by $2.7 million of expenses related to our acquisition of Stauber. Operating income provided by our Health and Nutrition segment was $4.4 million. Operating income in our Industrial segment increased $1.5 million and operating income in our Water Treatment segment increased by $0.4 million, with higher gross profit partially offset by increased SG&amp;A expenses in both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increased by $2.0 million for the nine months ended January 1, 2017, compared to the same period of the prior year due to the interest costs on the debt added at the end of the third quarter of fiscal 2016 to partially fund the Stauber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37.3% for the nine months ended January 1, 2017 compared to 40.2% for the nine months ended December 27, 2015. During fiscal 2016, we recorded income tax expense of approximately $0.5 million related to $1.3 million of acquisition-related expenditures that were not deductible for tax purposes and $0.2 million of state income tax expense related to an audit assessment which covered multiple years. The effective tax rate is impacted by projected levels of annual taxable income, permanent items, and state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January 1, 2017 was $31.0 million, compared to $23.8 million for the same period of the prior year. The increase in cash provided by operating activities was primarily driven by the added operating activity of the Health and Nutrition segment established near the end of the third quarter of fiscal 2016.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was $17.7 million for the nine months ended January 1, 2017, compared to $139.0 million for the nine months ended December 27, 2015. Capital expenditures were $15.8 million for the nine months ended January 1, 2017, compared to $17.1 million in the same period of the prior fiscal year. Included in capital expenditures for the first nine months of fiscal 2017 was $5.7 million related to business expansion, inventory storage, and process improvements, including the purchase of one of our previously leased Florida locations, and $6.0 million related to facility improvements, replacement equipment, new and replacement containers, and Water Treatment trucks. We paid $2.2 million of additional purchase price for Stauber as closing cash, debt and working capital balances were finalized in early fiscal 2017. We expended $150.8 million of cash, net of cash acquired, during the first nine months of fiscal 2016 on the Stauber and Davis acquisitions.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$24.9 million for the nine months ended January 1, 2017, compared to cash provided by financing activities of $117.4 million in the same period of the prior fiscal year. Included in financing activities were debt repayments of $3.8 million on our Term Loan Facility (as defined below) and $13.0 million on our Revolving Loan Facility (as defined below) which were made in the nine months ended January 1, 2017. In the first nine months of the prior fiscal year, proceeds of $131.0 million were received in conjunction with the credit facility we entered into to fund the Stauber acquisition, and we used $4.8 million of cash for our share repurchase program.</w:t>
      </w:r>
    </w:p>
    <w:p>
      <w:pPr>
        <w:spacing w:after="0" w:line="13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Cash was $8.4 million at January 1, 2017, a decrease of $11.6 million as compared with the $20.0 million available as of April 3, 2016. Cash flows generated by operations during the nine months ended January 1, 2017 were offset by capital expenditures, cash dividends paid, the Stauber acquisition purchase price adjustment, and debt repayments.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December 23, 2015, in connection with the Stauber acquisition described more fully in Note 3 to the condensed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balance outstanding on the Term Loan Facility was $95.0 million as of January 1, 2017.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spacing w:after="0"/>
        <w:rPr>
          <w:sz w:val="20"/>
          <w:szCs w:val="20"/>
          <w:color w:val="auto"/>
        </w:rPr>
      </w:pPr>
      <w:r>
        <w:rPr>
          <w:rFonts w:ascii="Times New Roman" w:cs="Times New Roman" w:eastAsia="Times New Roman" w:hAnsi="Times New Roman"/>
          <w:sz w:val="18"/>
          <w:szCs w:val="18"/>
          <w:color w:val="auto"/>
        </w:rPr>
        <w:t>(b) a base rate determined by reference to the highest of (1) U.S. Bank’s prime rate, (2) the Federal Funds Effective Rate plus 0.5%, or (3) one-month LIBOR</w:t>
      </w:r>
    </w:p>
    <w:p>
      <w:pPr>
        <w:sectPr>
          <w:pgSz w:w="11900" w:h="16838" w:orient="portrait"/>
          <w:cols w:equalWidth="0" w:num="1">
            <w:col w:w="11420"/>
          </w:cols>
          <w:pgMar w:left="240" w:top="281" w:right="239" w:bottom="0" w:gutter="0" w:footer="0" w:header="0"/>
        </w:sectPr>
      </w:pPr>
    </w:p>
    <w:bookmarkStart w:id="19" w:name="page20"/>
    <w:bookmarkEnd w:id="19"/>
    <w:p>
      <w:pPr>
        <w:ind w:right="140"/>
        <w:spacing w:after="0" w:line="282" w:lineRule="auto"/>
        <w:rPr>
          <w:sz w:val="20"/>
          <w:szCs w:val="20"/>
          <w:color w:val="auto"/>
        </w:rPr>
      </w:pPr>
      <w:r>
        <w:rPr>
          <w:rFonts w:ascii="Times New Roman" w:cs="Times New Roman" w:eastAsia="Times New Roman" w:hAnsi="Times New Roman"/>
          <w:sz w:val="18"/>
          <w:szCs w:val="18"/>
          <w:color w:val="auto"/>
        </w:rPr>
        <w:t>for U.S. dollars plus 1.0%. The LIBOR margin is 1.125%, 1.25% or 1.5%, depending on our leverage ratio. The base rate margin is either 0.125%, 0.25% or 0.5%, depending on our leverage ratio. At January 1, 2017, the effective interest rate on our borrowings was 1.9%.</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$131.0 million of the proceeds from the Credit Facility to fund our acquisition of Stauber. During the first nine months of fiscal 2017, we repaid</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$13.0 million on the Revolving Loan Facility. Accordingly, as of January 1, 2017, we had $47.0 million of borrowing capacity remaining available under the Revolving Loan Facility, which may be used for working capital, capital expenditures, restricted payments and acquisitions permitted under the credit agreement, and other general corporate purposes.</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Debt issuance costs of $0.7 million were paid to the lenders and are being amortized as interest expense over the term of the credit facility. As of January 1, 2017, the unamortized balance of these costs was $0.5 million, and is reflected as a reduction of debt on our balance sheet.</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January 1, 2017, we were in compliance with all required covenants.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set forth in Note 1 to our consolidated financial statements in our Annual Report on Form 10-K for the fiscal year ended April 3, 2016. The accounting policies used in preparing our condensed consolidated financial statements for the first quarter of fiscal 2017 are the same as those described in that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2016.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$0.3 million. In the second quarter of fiscal 2017, we entered into an interest rate swap that will convert a portion of our variable-rate debt into a fixed-rate obligation. The new swap agreement will begin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CONTROLS AND PROCEDURES</w:t>
      </w:r>
    </w:p>
    <w:p>
      <w:pPr>
        <w:sectPr>
          <w:pgSz w:w="11900" w:h="16838" w:orient="portrait"/>
          <w:cols w:equalWidth="0" w:num="1">
            <w:col w:w="11420"/>
          </w:cols>
          <w:pgMar w:left="240" w:top="121" w:right="239"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third quarter of fiscal 2017 that has materially affected, or is reasonably likely to materially affect, our internal control over financial reporting.</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198" w:right="319" w:bottom="1440" w:gutter="0" w:footer="0" w:header="0"/>
        </w:sectPr>
      </w:pPr>
    </w:p>
    <w:bookmarkStart w:id="21" w:name="page22"/>
    <w:bookmarkEnd w:id="2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in our Annual Report on Form 10-K for the fiscal year ended April 3, 2016.</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UNREGISTERED SALES OF EQUITY SECURITIES AND USE OF PROCEEDS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repurchase any shares of our common stock during the third quarter of fiscal 2017. As of January 1, 2017, the maximum number of shares available to be repurchased under the share repurchase program was 112,546.</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00"/>
          </w:cols>
          <w:pgMar w:left="240" w:top="576" w:right="359" w:bottom="1440" w:gutter="0" w:footer="0" w:header="0"/>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EXHIBITS-</w:t>
      </w:r>
    </w:p>
    <w:p>
      <w:pPr>
        <w:spacing w:after="0" w:line="234" w:lineRule="exact"/>
        <w:rPr>
          <w:sz w:val="20"/>
          <w:szCs w:val="20"/>
          <w:color w:val="auto"/>
        </w:rPr>
      </w:pPr>
    </w:p>
    <w:p>
      <w:pPr>
        <w:ind w:left="160"/>
        <w:spacing w:after="0"/>
        <w:tabs>
          <w:tab w:leader="none" w:pos="564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37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6"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Articles of Incorporation. (1)</w:t>
      </w:r>
    </w:p>
    <w:p>
      <w:pPr>
        <w:spacing w:after="0" w:line="77"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Amended and Restated By-Laws. (2)</w:t>
      </w:r>
    </w:p>
    <w:p>
      <w:pPr>
        <w:spacing w:after="0" w:line="6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by Chief Executive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by Chief Financial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Section 1350 Certification by Chief Executive Officer.</w:t>
      </w:r>
    </w:p>
    <w:p>
      <w:pPr>
        <w:spacing w:after="0" w:line="6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Section 1350 Certification by Chief Financial Officer.</w:t>
      </w:r>
    </w:p>
    <w:p>
      <w:pPr>
        <w:spacing w:after="0" w:line="63" w:lineRule="exact"/>
        <w:rPr>
          <w:sz w:val="20"/>
          <w:szCs w:val="20"/>
          <w:color w:val="auto"/>
        </w:rPr>
      </w:pPr>
    </w:p>
    <w:p>
      <w:pPr>
        <w:ind w:left="840" w:right="200" w:hanging="535"/>
        <w:spacing w:after="0" w:line="256" w:lineRule="auto"/>
        <w:tabs>
          <w:tab w:leader="none" w:pos="8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Hawkins, Inc. for the period ended January 1, 2017 filed with the SEC on February 8, 2017 formatted in Extensible Business Reporting Language (XBRL); (i) the Condensed Consolidated Balance Sheets at January 1, 2017 and April 3, 2016, (ii) the Condensed Consolidated Statements of Income for the Three and Nine months ended January 1, 2017 and December 27, 2015, (iii) the Condensed Consolidated Statements of Comprehensive Income for the Three and Nine months ended January 1, 2017 and December 27, 2015, (iv) the Condensed Consolidated Statements of Cash Flows for the Nine months ended January 1, 2017 and December 27, 2015, and (v) Notes to Condensed Consolidated Financial Statements.</w:t>
      </w:r>
    </w:p>
    <w:p>
      <w:pPr>
        <w:spacing w:after="0" w:line="187"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Quarterly Report on Form 10-Q for the period ended June 30, 2010, filed on July 29, 2010 (File no. 000-07647).</w:t>
      </w:r>
    </w:p>
    <w:p>
      <w:pPr>
        <w:ind w:left="540" w:hanging="316"/>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20"/>
          </w:cols>
          <w:pgMar w:left="240" w:top="580" w:right="339" w:bottom="1440" w:gutter="0" w:footer="0" w:header="0"/>
        </w:sectPr>
      </w:pPr>
    </w:p>
    <w:bookmarkStart w:id="23" w:name="page24"/>
    <w:bookmarkEnd w:id="2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34290</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(On behalf of the registrant and as principal financial</w:t>
      </w:r>
    </w:p>
    <w:p>
      <w:pPr>
        <w:spacing w:after="0" w:line="2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2017</w:t>
      </w:r>
    </w:p>
    <w:p>
      <w:pPr>
        <w:sectPr>
          <w:pgSz w:w="11900" w:h="16838" w:orient="portrait"/>
          <w:cols w:equalWidth="0" w:num="1">
            <w:col w:w="11220"/>
          </w:cols>
          <w:pgMar w:left="240" w:top="576" w:right="439" w:bottom="1440" w:gutter="0" w:footer="0" w:header="0"/>
        </w:sectPr>
      </w:pPr>
    </w:p>
    <w:bookmarkStart w:id="24" w:name="page25"/>
    <w:bookmarkEnd w:id="24"/>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Articles of Incorporation.</w:t>
      </w:r>
    </w:p>
    <w:p>
      <w:pPr>
        <w:spacing w:after="0" w:line="63"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Section 1350 Certification by Chief Financial Officer.</w:t>
      </w:r>
    </w:p>
    <w:p>
      <w:pPr>
        <w:spacing w:after="0" w:line="63" w:lineRule="exact"/>
        <w:rPr>
          <w:sz w:val="20"/>
          <w:szCs w:val="20"/>
          <w:color w:val="auto"/>
        </w:rPr>
      </w:pPr>
    </w:p>
    <w:p>
      <w:pPr>
        <w:ind w:left="700" w:hanging="541"/>
        <w:spacing w:after="0" w:line="255"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Hawkins, Inc. for the period ended January 1, 2017 filed with the SEC on February 8, 2017 formatted in Extensible Business Reporting Language (XBRL); (i) the Condensed Consolidated Balance Sheets at January 1, 2017 and April 3, 2016, (ii) the Condensed Consolidated Statements of Income for the Three and Nine months ended January 1, 2017 and December 27, 2015, (iii) the Condensed Consolidated Statements of Comprehensive Income for the Three and Nine months ended January 1, 2017 and December 27, 2015, (iv) the Condensed Consolidated Statements of Cash Flows for the Nine months ended January 1, 2017 and December 27, 2015, and (v)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Method of Filing</w:t>
      </w:r>
    </w:p>
    <w:p>
      <w:pPr>
        <w:spacing w:after="0" w:line="46"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color w:val="auto"/>
        </w:rPr>
        <w:t>Incorporated by Reference Incorporated by Reference Filed Electronically Filed Electronically Filed Electronically Filed Electronically Filed Electronically</w:t>
      </w:r>
    </w:p>
    <w:p>
      <w:pPr>
        <w:sectPr>
          <w:pgSz w:w="11900" w:h="16838" w:orient="portrait"/>
          <w:cols w:equalWidth="0" w:num="2">
            <w:col w:w="8560" w:space="500"/>
            <w:col w:w="1920"/>
          </w:cols>
          <w:pgMar w:left="400" w:top="576" w:right="5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2017</w:t>
      </w:r>
    </w:p>
    <w:p>
      <w:pPr>
        <w:spacing w:after="0" w:line="36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420"/>
          </w:cols>
          <w:pgMar w:left="240" w:top="576"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644"/>
        <w:spacing w:after="0" w:line="28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80" w:hanging="644"/>
        <w:spacing w:after="0" w:line="28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2017</w:t>
      </w:r>
    </w:p>
    <w:p>
      <w:pPr>
        <w:spacing w:after="0" w:line="3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420"/>
          </w:cols>
          <w:pgMar w:left="240" w:top="576"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January 1, 2017,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8, 2017</w:t>
      </w:r>
    </w:p>
    <w:p>
      <w:pPr>
        <w:sectPr>
          <w:pgSz w:w="11900" w:h="16838" w:orient="portrait"/>
          <w:cols w:equalWidth="0" w:num="1">
            <w:col w:w="11420"/>
          </w:cols>
          <w:pgMar w:left="240" w:top="576"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January 1, 2017,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8,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lvl w:ilvl="1">
      <w:lvlJc w:val="left"/>
      <w:lvlText w:val="%2"/>
      <w:numFmt w:val="decimal"/>
      <w:start w:val="101"/>
    </w:lvl>
  </w:abstractNum>
  <w:abstractNum w:abstractNumId="2">
    <w:nsid w:val="238E1F29"/>
    <w:multiLevelType w:val="hybridMultilevel"/>
    <w:lvl w:ilvl="0">
      <w:lvlJc w:val="left"/>
      <w:lvlText w:val="(%1)"/>
      <w:numFmt w:val="decimal"/>
      <w:start w:val="1"/>
    </w:lvl>
    <w:lvl w:ilvl="1">
      <w:lvlJc w:val="left"/>
      <w:lvlText w:val="%2"/>
      <w:numFmt w:val="decimal"/>
      <w:start w:val="1"/>
    </w:lvl>
  </w:abstractNum>
  <w:abstractNum w:abstractNumId="3">
    <w:nsid w:val="46E87CCD"/>
    <w:multiLevelType w:val="hybridMultilevel"/>
    <w:lvl w:ilvl="0">
      <w:lvlJc w:val="left"/>
      <w:lvlText w:val="%1"/>
      <w:numFmt w:val="decimal"/>
      <w:start w:val="10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2019-12-29T07:42:39Z</dcterms:created>
  <dcterms:modified xsi:type="dcterms:W3CDTF">2019-12-29T07:42:39Z</dcterms:modified>
</cp:coreProperties>
</file>