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8"/>
          <w:szCs w:val="28"/>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SECURITIES AND EXCHANGE COMMISSION</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Washington, D.C. 20549</w:t>
      </w:r>
    </w:p>
    <w:p>
      <w:pPr>
        <w:spacing w:after="0" w:line="200" w:lineRule="exact"/>
        <w:rPr>
          <w:sz w:val="24"/>
          <w:szCs w:val="24"/>
          <w:color w:val="auto"/>
        </w:rPr>
      </w:pPr>
    </w:p>
    <w:p>
      <w:pPr>
        <w:spacing w:after="0" w:line="258"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FORM 8-K</w:t>
      </w:r>
    </w:p>
    <w:p>
      <w:pPr>
        <w:spacing w:after="0" w:line="200" w:lineRule="exact"/>
        <w:rPr>
          <w:sz w:val="24"/>
          <w:szCs w:val="24"/>
          <w:color w:val="auto"/>
        </w:rPr>
      </w:pPr>
    </w:p>
    <w:p>
      <w:pPr>
        <w:spacing w:after="0" w:line="29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151"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Pursuant to Section 13 or 15(d) of the</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Securities Exchange Act of 1934</w:t>
      </w:r>
    </w:p>
    <w:p>
      <w:pPr>
        <w:spacing w:after="0" w:line="122"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Date of Report (Date of earliest event reported) August 5, 2019</w:t>
      </w:r>
    </w:p>
    <w:p>
      <w:pPr>
        <w:spacing w:after="0" w:line="152" w:lineRule="exact"/>
        <w:rPr>
          <w:sz w:val="24"/>
          <w:szCs w:val="24"/>
          <w:color w:val="auto"/>
        </w:rPr>
      </w:pPr>
    </w:p>
    <w:p>
      <w:pPr>
        <w:jc w:val="center"/>
        <w:ind w:right="20"/>
        <w:spacing w:after="0"/>
        <w:rPr>
          <w:sz w:val="20"/>
          <w:szCs w:val="20"/>
          <w:color w:val="auto"/>
        </w:rPr>
      </w:pPr>
      <w:r>
        <w:rPr>
          <w:rFonts w:ascii="Arial" w:cs="Arial" w:eastAsia="Arial" w:hAnsi="Arial"/>
          <w:sz w:val="37"/>
          <w:szCs w:val="37"/>
          <w:b w:val="1"/>
          <w:bCs w:val="1"/>
          <w:color w:val="auto"/>
        </w:rPr>
        <w:t>Hawkins, Inc.</w:t>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440"/>
          </w:cols>
          <w:pgMar w:left="240" w:top="464" w:right="219" w:bottom="1440" w:gutter="0" w:footer="0" w:header="0"/>
        </w:sectPr>
      </w:pPr>
    </w:p>
    <w:p>
      <w:pPr>
        <w:spacing w:after="0" w:line="287" w:lineRule="exact"/>
        <w:rPr>
          <w:sz w:val="24"/>
          <w:szCs w:val="24"/>
          <w:color w:val="auto"/>
        </w:rPr>
      </w:pPr>
    </w:p>
    <w:p>
      <w:pPr>
        <w:ind w:left="1820"/>
        <w:spacing w:after="0"/>
        <w:rPr>
          <w:sz w:val="20"/>
          <w:szCs w:val="20"/>
          <w:color w:val="auto"/>
        </w:rPr>
      </w:pPr>
      <w:r>
        <w:rPr>
          <w:rFonts w:ascii="Arial" w:cs="Arial" w:eastAsia="Arial" w:hAnsi="Arial"/>
          <w:sz w:val="14"/>
          <w:szCs w:val="14"/>
          <w:b w:val="1"/>
          <w:bCs w:val="1"/>
          <w:color w:val="auto"/>
        </w:rPr>
        <w:t>Minnesota</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0-7647</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41-0771293</w:t>
      </w:r>
    </w:p>
    <w:p>
      <w:pPr>
        <w:spacing w:after="0" w:line="80" w:lineRule="exact"/>
        <w:rPr>
          <w:sz w:val="24"/>
          <w:szCs w:val="24"/>
          <w:color w:val="auto"/>
        </w:rPr>
      </w:pPr>
    </w:p>
    <w:p>
      <w:pPr>
        <w:sectPr>
          <w:pgSz w:w="11900" w:h="16838" w:orient="portrait"/>
          <w:cols w:equalWidth="0" w:num="3">
            <w:col w:w="5480" w:space="720"/>
            <w:col w:w="2540" w:space="720"/>
            <w:col w:w="1980"/>
          </w:cols>
          <w:pgMar w:left="240" w:top="464" w:right="219" w:bottom="1440" w:gutter="0" w:footer="0" w:header="0"/>
          <w:type w:val="continuous"/>
        </w:sectPr>
      </w:pPr>
    </w:p>
    <w:p>
      <w:pPr>
        <w:ind w:left="1000"/>
        <w:spacing w:after="0"/>
        <w:rPr>
          <w:sz w:val="20"/>
          <w:szCs w:val="20"/>
          <w:color w:val="auto"/>
        </w:rPr>
      </w:pPr>
      <w:r>
        <w:rPr>
          <w:rFonts w:ascii="Arial" w:cs="Arial" w:eastAsia="Arial" w:hAnsi="Arial"/>
          <w:sz w:val="11"/>
          <w:szCs w:val="11"/>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(IRS Employer Identification No.)</w:t>
      </w:r>
    </w:p>
    <w:p>
      <w:pPr>
        <w:spacing w:after="0" w:line="200" w:lineRule="exact"/>
        <w:rPr>
          <w:sz w:val="24"/>
          <w:szCs w:val="24"/>
          <w:color w:val="auto"/>
        </w:rPr>
      </w:pPr>
    </w:p>
    <w:p>
      <w:pPr>
        <w:sectPr>
          <w:pgSz w:w="11900" w:h="16838" w:orient="portrait"/>
          <w:cols w:equalWidth="0" w:num="3">
            <w:col w:w="4980" w:space="720"/>
            <w:col w:w="2520" w:space="720"/>
            <w:col w:w="2500"/>
          </w:cols>
          <w:pgMar w:left="240" w:top="464" w:right="219" w:bottom="1440" w:gutter="0" w:footer="0" w:header="0"/>
          <w:type w:val="continuous"/>
        </w:sectPr>
      </w:pPr>
    </w:p>
    <w:p>
      <w:pPr>
        <w:spacing w:after="0" w:line="49" w:lineRule="exact"/>
        <w:rPr>
          <w:sz w:val="24"/>
          <w:szCs w:val="24"/>
          <w:color w:val="auto"/>
        </w:rPr>
      </w:pPr>
    </w:p>
    <w:p>
      <w:pPr>
        <w:ind w:left="3020"/>
        <w:spacing w:after="0"/>
        <w:rPr>
          <w:sz w:val="20"/>
          <w:szCs w:val="20"/>
          <w:color w:val="auto"/>
        </w:rPr>
      </w:pPr>
      <w:r>
        <w:rPr>
          <w:rFonts w:ascii="Arial" w:cs="Arial" w:eastAsia="Arial" w:hAnsi="Arial"/>
          <w:sz w:val="13"/>
          <w:szCs w:val="13"/>
          <w:b w:val="1"/>
          <w:bCs w:val="1"/>
          <w:color w:val="auto"/>
        </w:rPr>
        <w:t>2381 Rosegate, Roseville, MN</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55113</w:t>
      </w:r>
    </w:p>
    <w:p>
      <w:pPr>
        <w:spacing w:after="0" w:line="80" w:lineRule="exact"/>
        <w:rPr>
          <w:sz w:val="24"/>
          <w:szCs w:val="24"/>
          <w:color w:val="auto"/>
        </w:rPr>
      </w:pPr>
    </w:p>
    <w:p>
      <w:pPr>
        <w:sectPr>
          <w:pgSz w:w="11900" w:h="16838" w:orient="portrait"/>
          <w:cols w:equalWidth="0" w:num="2">
            <w:col w:w="8920" w:space="720"/>
            <w:col w:w="1800"/>
          </w:cols>
          <w:pgMar w:left="240" w:top="464" w:right="219" w:bottom="1440" w:gutter="0" w:footer="0" w:header="0"/>
          <w:type w:val="continuous"/>
        </w:sectPr>
      </w:pPr>
    </w:p>
    <w:p>
      <w:pPr>
        <w:ind w:left="29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200" w:lineRule="exact"/>
        <w:rPr>
          <w:sz w:val="24"/>
          <w:szCs w:val="24"/>
          <w:color w:val="auto"/>
        </w:rPr>
      </w:pPr>
    </w:p>
    <w:p>
      <w:pPr>
        <w:sectPr>
          <w:pgSz w:w="11900" w:h="16838" w:orient="portrait"/>
          <w:cols w:equalWidth="0" w:num="2">
            <w:col w:w="8820" w:space="720"/>
            <w:col w:w="1900"/>
          </w:cols>
          <w:pgMar w:left="240" w:top="464" w:right="219" w:bottom="1440" w:gutter="0" w:footer="0" w:header="0"/>
          <w:type w:val="continuous"/>
        </w:sectPr>
      </w:pP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(612) 331-6910</w:t>
      </w:r>
    </w:p>
    <w:p>
      <w:pPr>
        <w:spacing w:after="0" w:line="200" w:lineRule="exact"/>
        <w:rPr>
          <w:sz w:val="24"/>
          <w:szCs w:val="24"/>
          <w:color w:val="auto"/>
        </w:rPr>
      </w:pPr>
    </w:p>
    <w:p>
      <w:pPr>
        <w:spacing w:after="0" w:line="297" w:lineRule="exact"/>
        <w:rPr>
          <w:sz w:val="24"/>
          <w:szCs w:val="24"/>
          <w:color w:val="auto"/>
        </w:rPr>
      </w:pPr>
    </w:p>
    <w:p>
      <w:pPr>
        <w:ind w:left="36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w:t>
      </w:r>
      <w:r>
        <w:rPr>
          <w:rFonts w:ascii="Arial" w:cs="Arial" w:eastAsia="Arial" w:hAnsi="Arial"/>
          <w:sz w:val="14"/>
          <w:szCs w:val="14"/>
          <w:i w:val="1"/>
          <w:iCs w:val="1"/>
          <w:color w:val="auto"/>
        </w:rPr>
        <w:t>see</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General Instruction A.2. below):</w:t>
      </w:r>
    </w:p>
    <w:p>
      <w:pPr>
        <w:spacing w:after="0" w:line="132" w:lineRule="exact"/>
        <w:rPr>
          <w:sz w:val="24"/>
          <w:szCs w:val="24"/>
          <w:color w:val="auto"/>
        </w:rPr>
      </w:pPr>
    </w:p>
    <w:p>
      <w:pPr>
        <w:ind w:left="360" w:hanging="344"/>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rPr>
      </w:pPr>
    </w:p>
    <w:p>
      <w:pPr>
        <w:ind w:left="360" w:hanging="344"/>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360" w:hanging="344"/>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right="4140" w:firstLine="16"/>
        <w:spacing w:after="0" w:line="408" w:lineRule="auto"/>
        <w:tabs>
          <w:tab w:leader="none" w:pos="37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82"/>
        </w:trPr>
        <w:tc>
          <w:tcPr>
            <w:tcW w:w="3520" w:type="dxa"/>
            <w:vAlign w:val="bottom"/>
          </w:tcPr>
          <w:p>
            <w:pPr>
              <w:ind w:left="1480"/>
              <w:spacing w:after="0"/>
              <w:rPr>
                <w:sz w:val="20"/>
                <w:szCs w:val="20"/>
                <w:color w:val="auto"/>
              </w:rPr>
            </w:pPr>
            <w:r>
              <w:rPr>
                <w:rFonts w:ascii="Arial" w:cs="Arial" w:eastAsia="Arial" w:hAnsi="Arial"/>
                <w:sz w:val="14"/>
                <w:szCs w:val="14"/>
                <w:b w:val="1"/>
                <w:bCs w:val="1"/>
                <w:color w:val="auto"/>
              </w:rPr>
              <w:t>Title of each class</w:t>
            </w:r>
          </w:p>
        </w:tc>
        <w:tc>
          <w:tcPr>
            <w:tcW w:w="3040" w:type="dxa"/>
            <w:vAlign w:val="bottom"/>
          </w:tcPr>
          <w:p>
            <w:pPr>
              <w:jc w:val="center"/>
              <w:ind w:left="10"/>
              <w:spacing w:after="0"/>
              <w:rPr>
                <w:sz w:val="20"/>
                <w:szCs w:val="20"/>
                <w:color w:val="auto"/>
              </w:rPr>
            </w:pPr>
            <w:r>
              <w:rPr>
                <w:rFonts w:ascii="Arial" w:cs="Arial" w:eastAsia="Arial" w:hAnsi="Arial"/>
                <w:sz w:val="14"/>
                <w:szCs w:val="14"/>
                <w:b w:val="1"/>
                <w:bCs w:val="1"/>
                <w:color w:val="auto"/>
                <w:w w:val="91"/>
              </w:rPr>
              <w:t>Trading Symbol(s)</w:t>
            </w:r>
          </w:p>
        </w:tc>
        <w:tc>
          <w:tcPr>
            <w:tcW w:w="4840" w:type="dxa"/>
            <w:vAlign w:val="bottom"/>
          </w:tcPr>
          <w:p>
            <w:pPr>
              <w:jc w:val="center"/>
              <w:ind w:right="350"/>
              <w:spacing w:after="0"/>
              <w:rPr>
                <w:sz w:val="20"/>
                <w:szCs w:val="20"/>
                <w:color w:val="auto"/>
              </w:rPr>
            </w:pPr>
            <w:r>
              <w:rPr>
                <w:rFonts w:ascii="Arial" w:cs="Arial" w:eastAsia="Arial" w:hAnsi="Arial"/>
                <w:sz w:val="14"/>
                <w:szCs w:val="14"/>
                <w:b w:val="1"/>
                <w:bCs w:val="1"/>
                <w:color w:val="auto"/>
                <w:w w:val="87"/>
              </w:rPr>
              <w:t>Name of each exchange on which registered</w:t>
            </w:r>
          </w:p>
        </w:tc>
      </w:tr>
      <w:tr>
        <w:trPr>
          <w:trHeight w:val="28"/>
        </w:trPr>
        <w:tc>
          <w:tcPr>
            <w:tcW w:w="35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r>
      <w:tr>
        <w:trPr>
          <w:trHeight w:val="185"/>
        </w:trPr>
        <w:tc>
          <w:tcPr>
            <w:tcW w:w="3520" w:type="dxa"/>
            <w:vAlign w:val="bottom"/>
          </w:tcPr>
          <w:p>
            <w:pPr>
              <w:ind w:left="20"/>
              <w:spacing w:after="0"/>
              <w:rPr>
                <w:sz w:val="20"/>
                <w:szCs w:val="20"/>
                <w:color w:val="auto"/>
              </w:rPr>
            </w:pPr>
            <w:r>
              <w:rPr>
                <w:rFonts w:ascii="Arial" w:cs="Arial" w:eastAsia="Arial" w:hAnsi="Arial"/>
                <w:sz w:val="14"/>
                <w:szCs w:val="14"/>
                <w:color w:val="auto"/>
              </w:rPr>
              <w:t>Common Stock, par value $.05 per share</w:t>
            </w:r>
          </w:p>
        </w:tc>
        <w:tc>
          <w:tcPr>
            <w:tcW w:w="3040" w:type="dxa"/>
            <w:vAlign w:val="bottom"/>
          </w:tcPr>
          <w:p>
            <w:pPr>
              <w:jc w:val="center"/>
              <w:ind w:left="10"/>
              <w:spacing w:after="0"/>
              <w:rPr>
                <w:sz w:val="20"/>
                <w:szCs w:val="20"/>
                <w:color w:val="auto"/>
              </w:rPr>
            </w:pPr>
            <w:r>
              <w:rPr>
                <w:rFonts w:ascii="Arial" w:cs="Arial" w:eastAsia="Arial" w:hAnsi="Arial"/>
                <w:sz w:val="14"/>
                <w:szCs w:val="14"/>
                <w:color w:val="auto"/>
              </w:rPr>
              <w:t>HWKN</w:t>
            </w:r>
          </w:p>
        </w:tc>
        <w:tc>
          <w:tcPr>
            <w:tcW w:w="4840" w:type="dxa"/>
            <w:vAlign w:val="bottom"/>
          </w:tcPr>
          <w:p>
            <w:pPr>
              <w:jc w:val="center"/>
              <w:ind w:right="350"/>
              <w:spacing w:after="0"/>
              <w:rPr>
                <w:sz w:val="20"/>
                <w:szCs w:val="20"/>
                <w:color w:val="auto"/>
              </w:rPr>
            </w:pPr>
            <w:r>
              <w:rPr>
                <w:rFonts w:ascii="Arial" w:cs="Arial" w:eastAsia="Arial" w:hAnsi="Arial"/>
                <w:sz w:val="14"/>
                <w:szCs w:val="14"/>
                <w:color w:val="auto"/>
                <w:w w:val="91"/>
              </w:rPr>
              <w:t>Nasdaq Stock Market LLC</w:t>
            </w:r>
          </w:p>
        </w:tc>
      </w:tr>
    </w:tbl>
    <w:p>
      <w:pPr>
        <w:spacing w:after="0" w:line="204" w:lineRule="exact"/>
        <w:rPr>
          <w:sz w:val="24"/>
          <w:szCs w:val="24"/>
          <w:color w:val="auto"/>
        </w:rPr>
      </w:pPr>
    </w:p>
    <w:p>
      <w:pPr>
        <w:ind w:right="360"/>
        <w:spacing w:after="0" w:line="25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(§240.12b-2 of this chapter).</w:t>
      </w:r>
    </w:p>
    <w:p>
      <w:pPr>
        <w:spacing w:after="0" w:line="133" w:lineRule="exact"/>
        <w:rPr>
          <w:sz w:val="24"/>
          <w:szCs w:val="24"/>
          <w:color w:val="auto"/>
        </w:rPr>
      </w:pPr>
    </w:p>
    <w:p>
      <w:pPr>
        <w:ind w:left="95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60" w:lineRule="exact"/>
        <w:rPr>
          <w:sz w:val="24"/>
          <w:szCs w:val="24"/>
          <w:color w:val="auto"/>
        </w:rPr>
      </w:pPr>
    </w:p>
    <w:p>
      <w:pPr>
        <w:ind w:right="6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40"/>
          </w:cols>
          <w:pgMar w:left="240" w:top="464" w:right="21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9"/>
          <w:szCs w:val="19"/>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93" w:lineRule="exact"/>
        <w:rPr>
          <w:sz w:val="20"/>
          <w:szCs w:val="20"/>
          <w:color w:val="auto"/>
        </w:rPr>
      </w:pPr>
    </w:p>
    <w:p>
      <w:pPr>
        <w:ind w:right="320" w:firstLine="559"/>
        <w:spacing w:after="0" w:line="323" w:lineRule="auto"/>
        <w:rPr>
          <w:sz w:val="20"/>
          <w:szCs w:val="20"/>
          <w:color w:val="auto"/>
        </w:rPr>
      </w:pPr>
      <w:r>
        <w:rPr>
          <w:rFonts w:ascii="Arial" w:cs="Arial" w:eastAsia="Arial" w:hAnsi="Arial"/>
          <w:sz w:val="17"/>
          <w:szCs w:val="17"/>
          <w:color w:val="auto"/>
        </w:rPr>
        <w:t>At our annual meeting of shareholders held August 1, 2019, the following proposals, each as described in further detail in the definitive proxy statement filed by our company on June 28, 2019 (File No. 000-07647), were voted upon by our shareholders as set forth below:</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Proposal One – Election of Directors</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9"/>
          <w:szCs w:val="19"/>
          <w:color w:val="auto"/>
        </w:rPr>
        <w:t>Our shareholders elected each of the eight nominees to our Board of Directors, based on the following votes: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60" w:type="dxa"/>
            <w:vAlign w:val="bottom"/>
            <w:gridSpan w:val="2"/>
          </w:tcPr>
          <w:p>
            <w:pPr>
              <w:ind w:left="1180"/>
              <w:spacing w:after="0"/>
              <w:rPr>
                <w:sz w:val="20"/>
                <w:szCs w:val="20"/>
                <w:color w:val="auto"/>
              </w:rPr>
            </w:pPr>
            <w:r>
              <w:rPr>
                <w:rFonts w:ascii="Arial" w:cs="Arial" w:eastAsia="Arial" w:hAnsi="Arial"/>
                <w:sz w:val="16"/>
                <w:szCs w:val="16"/>
                <w:b w:val="1"/>
                <w:bCs w:val="1"/>
                <w:color w:val="auto"/>
              </w:rPr>
              <w:t>Director Nominee</w:t>
            </w:r>
          </w:p>
        </w:tc>
        <w:tc>
          <w:tcPr>
            <w:tcW w:w="26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For</w:t>
            </w:r>
          </w:p>
        </w:tc>
        <w:tc>
          <w:tcPr>
            <w:tcW w:w="2620" w:type="dxa"/>
            <w:vAlign w:val="bottom"/>
            <w:gridSpan w:val="2"/>
          </w:tcPr>
          <w:p>
            <w:pPr>
              <w:ind w:left="1000"/>
              <w:spacing w:after="0"/>
              <w:rPr>
                <w:sz w:val="20"/>
                <w:szCs w:val="20"/>
                <w:color w:val="auto"/>
              </w:rPr>
            </w:pPr>
            <w:r>
              <w:rPr>
                <w:rFonts w:ascii="Arial" w:cs="Arial" w:eastAsia="Arial" w:hAnsi="Arial"/>
                <w:sz w:val="16"/>
                <w:szCs w:val="16"/>
                <w:b w:val="1"/>
                <w:bCs w:val="1"/>
                <w:color w:val="auto"/>
              </w:rPr>
              <w:t>Against</w:t>
            </w:r>
          </w:p>
        </w:tc>
        <w:tc>
          <w:tcPr>
            <w:tcW w:w="2520" w:type="dxa"/>
            <w:vAlign w:val="bottom"/>
          </w:tcPr>
          <w:p>
            <w:pPr>
              <w:jc w:val="center"/>
              <w:spacing w:after="0"/>
              <w:rPr>
                <w:sz w:val="20"/>
                <w:szCs w:val="20"/>
                <w:color w:val="auto"/>
              </w:rPr>
            </w:pPr>
            <w:r>
              <w:rPr>
                <w:rFonts w:ascii="Arial" w:cs="Arial" w:eastAsia="Arial" w:hAnsi="Arial"/>
                <w:sz w:val="16"/>
                <w:szCs w:val="16"/>
                <w:b w:val="1"/>
                <w:bCs w:val="1"/>
                <w:color w:val="auto"/>
                <w:w w:val="88"/>
              </w:rPr>
              <w:t>Broker Non-Vote</w:t>
            </w:r>
          </w:p>
        </w:tc>
      </w:tr>
      <w:tr>
        <w:trPr>
          <w:trHeight w:val="24"/>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201"/>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John S. McKeon</w:t>
            </w:r>
          </w:p>
        </w:tc>
        <w:tc>
          <w:tcPr>
            <w:tcW w:w="2520" w:type="dxa"/>
            <w:vAlign w:val="bottom"/>
          </w:tcPr>
          <w:p>
            <w:pPr>
              <w:jc w:val="center"/>
              <w:spacing w:after="0"/>
              <w:rPr>
                <w:sz w:val="20"/>
                <w:szCs w:val="20"/>
                <w:color w:val="auto"/>
              </w:rPr>
            </w:pPr>
            <w:r>
              <w:rPr>
                <w:rFonts w:ascii="Arial" w:cs="Arial" w:eastAsia="Arial" w:hAnsi="Arial"/>
                <w:sz w:val="16"/>
                <w:szCs w:val="16"/>
                <w:color w:val="auto"/>
                <w:w w:val="87"/>
              </w:rPr>
              <w:t>7,194,785</w:t>
            </w:r>
          </w:p>
        </w:tc>
        <w:tc>
          <w:tcPr>
            <w:tcW w:w="120" w:type="dxa"/>
            <w:vAlign w:val="bottom"/>
          </w:tcPr>
          <w:p>
            <w:pPr>
              <w:spacing w:after="0"/>
              <w:rPr>
                <w:sz w:val="17"/>
                <w:szCs w:val="17"/>
                <w:color w:val="auto"/>
              </w:rPr>
            </w:pPr>
          </w:p>
        </w:tc>
        <w:tc>
          <w:tcPr>
            <w:tcW w:w="2520" w:type="dxa"/>
            <w:vAlign w:val="bottom"/>
          </w:tcPr>
          <w:p>
            <w:pPr>
              <w:ind w:left="1000"/>
              <w:spacing w:after="0"/>
              <w:rPr>
                <w:sz w:val="20"/>
                <w:szCs w:val="20"/>
                <w:color w:val="auto"/>
              </w:rPr>
            </w:pPr>
            <w:r>
              <w:rPr>
                <w:rFonts w:ascii="Arial" w:cs="Arial" w:eastAsia="Arial" w:hAnsi="Arial"/>
                <w:sz w:val="16"/>
                <w:szCs w:val="16"/>
                <w:color w:val="auto"/>
              </w:rPr>
              <w:t>709,719</w:t>
            </w:r>
          </w:p>
        </w:tc>
        <w:tc>
          <w:tcPr>
            <w:tcW w:w="100" w:type="dxa"/>
            <w:vAlign w:val="bottom"/>
          </w:tcPr>
          <w:p>
            <w:pPr>
              <w:spacing w:after="0"/>
              <w:rPr>
                <w:sz w:val="17"/>
                <w:szCs w:val="17"/>
                <w:color w:val="auto"/>
              </w:rPr>
            </w:pPr>
          </w:p>
        </w:tc>
        <w:tc>
          <w:tcPr>
            <w:tcW w:w="2520" w:type="dxa"/>
            <w:vAlign w:val="bottom"/>
          </w:tcPr>
          <w:p>
            <w:pPr>
              <w:jc w:val="center"/>
              <w:spacing w:after="0"/>
              <w:rPr>
                <w:sz w:val="20"/>
                <w:szCs w:val="20"/>
                <w:color w:val="auto"/>
              </w:rPr>
            </w:pPr>
            <w:r>
              <w:rPr>
                <w:rFonts w:ascii="Arial" w:cs="Arial" w:eastAsia="Arial" w:hAnsi="Arial"/>
                <w:sz w:val="16"/>
                <w:szCs w:val="16"/>
                <w:color w:val="auto"/>
                <w:w w:val="89"/>
              </w:rPr>
              <w:t>–</w:t>
            </w:r>
          </w:p>
        </w:tc>
      </w:tr>
      <w:tr>
        <w:trPr>
          <w:trHeight w:val="233"/>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Patrick H. Hawkins</w:t>
            </w:r>
          </w:p>
        </w:tc>
        <w:tc>
          <w:tcPr>
            <w:tcW w:w="2520" w:type="dxa"/>
            <w:vAlign w:val="bottom"/>
          </w:tcPr>
          <w:p>
            <w:pPr>
              <w:jc w:val="center"/>
              <w:spacing w:after="0"/>
              <w:rPr>
                <w:sz w:val="20"/>
                <w:szCs w:val="20"/>
                <w:color w:val="auto"/>
              </w:rPr>
            </w:pPr>
            <w:r>
              <w:rPr>
                <w:rFonts w:ascii="Arial" w:cs="Arial" w:eastAsia="Arial" w:hAnsi="Arial"/>
                <w:sz w:val="16"/>
                <w:szCs w:val="16"/>
                <w:color w:val="auto"/>
                <w:w w:val="87"/>
              </w:rPr>
              <w:t>7,619,364</w:t>
            </w:r>
          </w:p>
        </w:tc>
        <w:tc>
          <w:tcPr>
            <w:tcW w:w="120" w:type="dxa"/>
            <w:vAlign w:val="bottom"/>
          </w:tcPr>
          <w:p>
            <w:pPr>
              <w:spacing w:after="0"/>
              <w:rPr>
                <w:sz w:val="20"/>
                <w:szCs w:val="20"/>
                <w:color w:val="auto"/>
              </w:rPr>
            </w:pPr>
          </w:p>
        </w:tc>
        <w:tc>
          <w:tcPr>
            <w:tcW w:w="2520" w:type="dxa"/>
            <w:vAlign w:val="bottom"/>
          </w:tcPr>
          <w:p>
            <w:pPr>
              <w:ind w:left="1000"/>
              <w:spacing w:after="0"/>
              <w:rPr>
                <w:sz w:val="20"/>
                <w:szCs w:val="20"/>
                <w:color w:val="auto"/>
              </w:rPr>
            </w:pPr>
            <w:r>
              <w:rPr>
                <w:rFonts w:ascii="Arial" w:cs="Arial" w:eastAsia="Arial" w:hAnsi="Arial"/>
                <w:sz w:val="16"/>
                <w:szCs w:val="16"/>
                <w:color w:val="auto"/>
              </w:rPr>
              <w:t>285,140</w:t>
            </w:r>
          </w:p>
        </w:tc>
        <w:tc>
          <w:tcPr>
            <w:tcW w:w="10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6"/>
                <w:szCs w:val="16"/>
                <w:color w:val="auto"/>
                <w:w w:val="89"/>
              </w:rPr>
              <w:t>–</w:t>
            </w:r>
          </w:p>
        </w:tc>
      </w:tr>
      <w:tr>
        <w:trPr>
          <w:trHeight w:val="233"/>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James A. Faulconbridge</w:t>
            </w:r>
          </w:p>
        </w:tc>
        <w:tc>
          <w:tcPr>
            <w:tcW w:w="2520" w:type="dxa"/>
            <w:vAlign w:val="bottom"/>
          </w:tcPr>
          <w:p>
            <w:pPr>
              <w:jc w:val="center"/>
              <w:spacing w:after="0"/>
              <w:rPr>
                <w:sz w:val="20"/>
                <w:szCs w:val="20"/>
                <w:color w:val="auto"/>
              </w:rPr>
            </w:pPr>
            <w:r>
              <w:rPr>
                <w:rFonts w:ascii="Arial" w:cs="Arial" w:eastAsia="Arial" w:hAnsi="Arial"/>
                <w:sz w:val="16"/>
                <w:szCs w:val="16"/>
                <w:color w:val="auto"/>
                <w:w w:val="87"/>
              </w:rPr>
              <w:t>7,256,422</w:t>
            </w:r>
          </w:p>
        </w:tc>
        <w:tc>
          <w:tcPr>
            <w:tcW w:w="120" w:type="dxa"/>
            <w:vAlign w:val="bottom"/>
          </w:tcPr>
          <w:p>
            <w:pPr>
              <w:spacing w:after="0"/>
              <w:rPr>
                <w:sz w:val="20"/>
                <w:szCs w:val="20"/>
                <w:color w:val="auto"/>
              </w:rPr>
            </w:pPr>
          </w:p>
        </w:tc>
        <w:tc>
          <w:tcPr>
            <w:tcW w:w="2520" w:type="dxa"/>
            <w:vAlign w:val="bottom"/>
          </w:tcPr>
          <w:p>
            <w:pPr>
              <w:ind w:left="1000"/>
              <w:spacing w:after="0"/>
              <w:rPr>
                <w:sz w:val="20"/>
                <w:szCs w:val="20"/>
                <w:color w:val="auto"/>
              </w:rPr>
            </w:pPr>
            <w:r>
              <w:rPr>
                <w:rFonts w:ascii="Arial" w:cs="Arial" w:eastAsia="Arial" w:hAnsi="Arial"/>
                <w:sz w:val="16"/>
                <w:szCs w:val="16"/>
                <w:color w:val="auto"/>
              </w:rPr>
              <w:t>648,082</w:t>
            </w:r>
          </w:p>
        </w:tc>
        <w:tc>
          <w:tcPr>
            <w:tcW w:w="10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6"/>
                <w:szCs w:val="16"/>
                <w:color w:val="auto"/>
                <w:w w:val="89"/>
              </w:rPr>
              <w:t>–</w:t>
            </w:r>
          </w:p>
        </w:tc>
      </w:tr>
      <w:tr>
        <w:trPr>
          <w:trHeight w:val="233"/>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Duane M. Jergenson</w:t>
            </w:r>
          </w:p>
        </w:tc>
        <w:tc>
          <w:tcPr>
            <w:tcW w:w="2520" w:type="dxa"/>
            <w:vAlign w:val="bottom"/>
          </w:tcPr>
          <w:p>
            <w:pPr>
              <w:jc w:val="center"/>
              <w:spacing w:after="0"/>
              <w:rPr>
                <w:sz w:val="20"/>
                <w:szCs w:val="20"/>
                <w:color w:val="auto"/>
              </w:rPr>
            </w:pPr>
            <w:r>
              <w:rPr>
                <w:rFonts w:ascii="Arial" w:cs="Arial" w:eastAsia="Arial" w:hAnsi="Arial"/>
                <w:sz w:val="16"/>
                <w:szCs w:val="16"/>
                <w:color w:val="auto"/>
                <w:w w:val="87"/>
              </w:rPr>
              <w:t>7,405,708</w:t>
            </w:r>
          </w:p>
        </w:tc>
        <w:tc>
          <w:tcPr>
            <w:tcW w:w="120" w:type="dxa"/>
            <w:vAlign w:val="bottom"/>
          </w:tcPr>
          <w:p>
            <w:pPr>
              <w:spacing w:after="0"/>
              <w:rPr>
                <w:sz w:val="20"/>
                <w:szCs w:val="20"/>
                <w:color w:val="auto"/>
              </w:rPr>
            </w:pPr>
          </w:p>
        </w:tc>
        <w:tc>
          <w:tcPr>
            <w:tcW w:w="2520" w:type="dxa"/>
            <w:vAlign w:val="bottom"/>
          </w:tcPr>
          <w:p>
            <w:pPr>
              <w:ind w:left="1000"/>
              <w:spacing w:after="0"/>
              <w:rPr>
                <w:sz w:val="20"/>
                <w:szCs w:val="20"/>
                <w:color w:val="auto"/>
              </w:rPr>
            </w:pPr>
            <w:r>
              <w:rPr>
                <w:rFonts w:ascii="Arial" w:cs="Arial" w:eastAsia="Arial" w:hAnsi="Arial"/>
                <w:sz w:val="16"/>
                <w:szCs w:val="16"/>
                <w:color w:val="auto"/>
              </w:rPr>
              <w:t>498,796</w:t>
            </w:r>
          </w:p>
        </w:tc>
        <w:tc>
          <w:tcPr>
            <w:tcW w:w="10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6"/>
                <w:szCs w:val="16"/>
                <w:color w:val="auto"/>
                <w:w w:val="89"/>
              </w:rPr>
              <w:t>–</w:t>
            </w:r>
          </w:p>
        </w:tc>
      </w:tr>
      <w:tr>
        <w:trPr>
          <w:trHeight w:val="233"/>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Mary J. Schumacher</w:t>
            </w:r>
          </w:p>
        </w:tc>
        <w:tc>
          <w:tcPr>
            <w:tcW w:w="2520" w:type="dxa"/>
            <w:vAlign w:val="bottom"/>
          </w:tcPr>
          <w:p>
            <w:pPr>
              <w:jc w:val="center"/>
              <w:spacing w:after="0"/>
              <w:rPr>
                <w:sz w:val="20"/>
                <w:szCs w:val="20"/>
                <w:color w:val="auto"/>
              </w:rPr>
            </w:pPr>
            <w:r>
              <w:rPr>
                <w:rFonts w:ascii="Arial" w:cs="Arial" w:eastAsia="Arial" w:hAnsi="Arial"/>
                <w:sz w:val="16"/>
                <w:szCs w:val="16"/>
                <w:color w:val="auto"/>
                <w:w w:val="87"/>
              </w:rPr>
              <w:t>7,571,557</w:t>
            </w:r>
          </w:p>
        </w:tc>
        <w:tc>
          <w:tcPr>
            <w:tcW w:w="120" w:type="dxa"/>
            <w:vAlign w:val="bottom"/>
          </w:tcPr>
          <w:p>
            <w:pPr>
              <w:spacing w:after="0"/>
              <w:rPr>
                <w:sz w:val="20"/>
                <w:szCs w:val="20"/>
                <w:color w:val="auto"/>
              </w:rPr>
            </w:pPr>
          </w:p>
        </w:tc>
        <w:tc>
          <w:tcPr>
            <w:tcW w:w="2520" w:type="dxa"/>
            <w:vAlign w:val="bottom"/>
          </w:tcPr>
          <w:p>
            <w:pPr>
              <w:ind w:left="1000"/>
              <w:spacing w:after="0"/>
              <w:rPr>
                <w:sz w:val="20"/>
                <w:szCs w:val="20"/>
                <w:color w:val="auto"/>
              </w:rPr>
            </w:pPr>
            <w:r>
              <w:rPr>
                <w:rFonts w:ascii="Arial" w:cs="Arial" w:eastAsia="Arial" w:hAnsi="Arial"/>
                <w:sz w:val="16"/>
                <w:szCs w:val="16"/>
                <w:color w:val="auto"/>
              </w:rPr>
              <w:t>332,947</w:t>
            </w:r>
          </w:p>
        </w:tc>
        <w:tc>
          <w:tcPr>
            <w:tcW w:w="10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6"/>
                <w:szCs w:val="16"/>
                <w:color w:val="auto"/>
                <w:w w:val="89"/>
              </w:rPr>
              <w:t>–</w:t>
            </w:r>
          </w:p>
        </w:tc>
      </w:tr>
      <w:tr>
        <w:trPr>
          <w:trHeight w:val="233"/>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Daniel J. Stauber</w:t>
            </w:r>
          </w:p>
        </w:tc>
        <w:tc>
          <w:tcPr>
            <w:tcW w:w="2520" w:type="dxa"/>
            <w:vAlign w:val="bottom"/>
          </w:tcPr>
          <w:p>
            <w:pPr>
              <w:jc w:val="center"/>
              <w:spacing w:after="0"/>
              <w:rPr>
                <w:sz w:val="20"/>
                <w:szCs w:val="20"/>
                <w:color w:val="auto"/>
              </w:rPr>
            </w:pPr>
            <w:r>
              <w:rPr>
                <w:rFonts w:ascii="Arial" w:cs="Arial" w:eastAsia="Arial" w:hAnsi="Arial"/>
                <w:sz w:val="16"/>
                <w:szCs w:val="16"/>
                <w:color w:val="auto"/>
                <w:w w:val="87"/>
              </w:rPr>
              <w:t>7,593,848</w:t>
            </w:r>
          </w:p>
        </w:tc>
        <w:tc>
          <w:tcPr>
            <w:tcW w:w="120" w:type="dxa"/>
            <w:vAlign w:val="bottom"/>
          </w:tcPr>
          <w:p>
            <w:pPr>
              <w:spacing w:after="0"/>
              <w:rPr>
                <w:sz w:val="20"/>
                <w:szCs w:val="20"/>
                <w:color w:val="auto"/>
              </w:rPr>
            </w:pPr>
          </w:p>
        </w:tc>
        <w:tc>
          <w:tcPr>
            <w:tcW w:w="2520" w:type="dxa"/>
            <w:vAlign w:val="bottom"/>
          </w:tcPr>
          <w:p>
            <w:pPr>
              <w:ind w:left="1000"/>
              <w:spacing w:after="0"/>
              <w:rPr>
                <w:sz w:val="20"/>
                <w:szCs w:val="20"/>
                <w:color w:val="auto"/>
              </w:rPr>
            </w:pPr>
            <w:r>
              <w:rPr>
                <w:rFonts w:ascii="Arial" w:cs="Arial" w:eastAsia="Arial" w:hAnsi="Arial"/>
                <w:sz w:val="16"/>
                <w:szCs w:val="16"/>
                <w:color w:val="auto"/>
              </w:rPr>
              <w:t>310,656</w:t>
            </w:r>
          </w:p>
        </w:tc>
        <w:tc>
          <w:tcPr>
            <w:tcW w:w="10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6"/>
                <w:szCs w:val="16"/>
                <w:color w:val="auto"/>
                <w:w w:val="89"/>
              </w:rPr>
              <w:t>–</w:t>
            </w:r>
          </w:p>
        </w:tc>
      </w:tr>
      <w:tr>
        <w:trPr>
          <w:trHeight w:val="233"/>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James T. Thompson</w:t>
            </w:r>
          </w:p>
        </w:tc>
        <w:tc>
          <w:tcPr>
            <w:tcW w:w="2520" w:type="dxa"/>
            <w:vAlign w:val="bottom"/>
          </w:tcPr>
          <w:p>
            <w:pPr>
              <w:jc w:val="center"/>
              <w:spacing w:after="0"/>
              <w:rPr>
                <w:sz w:val="20"/>
                <w:szCs w:val="20"/>
                <w:color w:val="auto"/>
              </w:rPr>
            </w:pPr>
            <w:r>
              <w:rPr>
                <w:rFonts w:ascii="Arial" w:cs="Arial" w:eastAsia="Arial" w:hAnsi="Arial"/>
                <w:sz w:val="16"/>
                <w:szCs w:val="16"/>
                <w:color w:val="auto"/>
                <w:w w:val="87"/>
              </w:rPr>
              <w:t>7,496,452</w:t>
            </w:r>
          </w:p>
        </w:tc>
        <w:tc>
          <w:tcPr>
            <w:tcW w:w="120" w:type="dxa"/>
            <w:vAlign w:val="bottom"/>
          </w:tcPr>
          <w:p>
            <w:pPr>
              <w:spacing w:after="0"/>
              <w:rPr>
                <w:sz w:val="20"/>
                <w:szCs w:val="20"/>
                <w:color w:val="auto"/>
              </w:rPr>
            </w:pPr>
          </w:p>
        </w:tc>
        <w:tc>
          <w:tcPr>
            <w:tcW w:w="2520" w:type="dxa"/>
            <w:vAlign w:val="bottom"/>
          </w:tcPr>
          <w:p>
            <w:pPr>
              <w:ind w:left="1000"/>
              <w:spacing w:after="0"/>
              <w:rPr>
                <w:sz w:val="20"/>
                <w:szCs w:val="20"/>
                <w:color w:val="auto"/>
              </w:rPr>
            </w:pPr>
            <w:r>
              <w:rPr>
                <w:rFonts w:ascii="Arial" w:cs="Arial" w:eastAsia="Arial" w:hAnsi="Arial"/>
                <w:sz w:val="16"/>
                <w:szCs w:val="16"/>
                <w:color w:val="auto"/>
              </w:rPr>
              <w:t>408,052</w:t>
            </w:r>
          </w:p>
        </w:tc>
        <w:tc>
          <w:tcPr>
            <w:tcW w:w="10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6"/>
                <w:szCs w:val="16"/>
                <w:color w:val="auto"/>
                <w:w w:val="89"/>
              </w:rPr>
              <w:t>–</w:t>
            </w:r>
          </w:p>
        </w:tc>
      </w:tr>
      <w:tr>
        <w:trPr>
          <w:trHeight w:val="233"/>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Jeffrey L. Wright</w:t>
            </w:r>
          </w:p>
        </w:tc>
        <w:tc>
          <w:tcPr>
            <w:tcW w:w="2520" w:type="dxa"/>
            <w:vAlign w:val="bottom"/>
          </w:tcPr>
          <w:p>
            <w:pPr>
              <w:jc w:val="center"/>
              <w:spacing w:after="0"/>
              <w:rPr>
                <w:sz w:val="20"/>
                <w:szCs w:val="20"/>
                <w:color w:val="auto"/>
              </w:rPr>
            </w:pPr>
            <w:r>
              <w:rPr>
                <w:rFonts w:ascii="Arial" w:cs="Arial" w:eastAsia="Arial" w:hAnsi="Arial"/>
                <w:sz w:val="16"/>
                <w:szCs w:val="16"/>
                <w:color w:val="auto"/>
                <w:w w:val="87"/>
              </w:rPr>
              <w:t>7,231,315</w:t>
            </w:r>
          </w:p>
        </w:tc>
        <w:tc>
          <w:tcPr>
            <w:tcW w:w="120" w:type="dxa"/>
            <w:vAlign w:val="bottom"/>
          </w:tcPr>
          <w:p>
            <w:pPr>
              <w:spacing w:after="0"/>
              <w:rPr>
                <w:sz w:val="20"/>
                <w:szCs w:val="20"/>
                <w:color w:val="auto"/>
              </w:rPr>
            </w:pPr>
          </w:p>
        </w:tc>
        <w:tc>
          <w:tcPr>
            <w:tcW w:w="2520" w:type="dxa"/>
            <w:vAlign w:val="bottom"/>
          </w:tcPr>
          <w:p>
            <w:pPr>
              <w:ind w:left="1000"/>
              <w:spacing w:after="0"/>
              <w:rPr>
                <w:sz w:val="20"/>
                <w:szCs w:val="20"/>
                <w:color w:val="auto"/>
              </w:rPr>
            </w:pPr>
            <w:r>
              <w:rPr>
                <w:rFonts w:ascii="Arial" w:cs="Arial" w:eastAsia="Arial" w:hAnsi="Arial"/>
                <w:sz w:val="16"/>
                <w:szCs w:val="16"/>
                <w:color w:val="auto"/>
              </w:rPr>
              <w:t>673,189</w:t>
            </w:r>
          </w:p>
        </w:tc>
        <w:tc>
          <w:tcPr>
            <w:tcW w:w="10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6"/>
                <w:szCs w:val="16"/>
                <w:color w:val="auto"/>
                <w:w w:val="89"/>
              </w:rPr>
              <w:t>–</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Proposal Two – Approval of the Hawkins, Inc. 2019 Equity Incentive Plan</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9"/>
          <w:szCs w:val="19"/>
          <w:color w:val="auto"/>
        </w:rPr>
        <w:t>Our shareholders approved the Hawkins, Inc. 2019 Equity Incentive Plan, based on the votes listed below:</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For</w:t>
            </w:r>
          </w:p>
        </w:tc>
        <w:tc>
          <w:tcPr>
            <w:tcW w:w="2860" w:type="dxa"/>
            <w:vAlign w:val="bottom"/>
            <w:gridSpan w:val="2"/>
          </w:tcPr>
          <w:p>
            <w:pPr>
              <w:ind w:left="1120"/>
              <w:spacing w:after="0"/>
              <w:rPr>
                <w:sz w:val="20"/>
                <w:szCs w:val="20"/>
                <w:color w:val="auto"/>
              </w:rPr>
            </w:pPr>
            <w:r>
              <w:rPr>
                <w:rFonts w:ascii="Arial" w:cs="Arial" w:eastAsia="Arial" w:hAnsi="Arial"/>
                <w:sz w:val="16"/>
                <w:szCs w:val="16"/>
                <w:b w:val="1"/>
                <w:bCs w:val="1"/>
                <w:color w:val="auto"/>
              </w:rPr>
              <w:t>Against</w:t>
            </w:r>
          </w:p>
        </w:tc>
        <w:tc>
          <w:tcPr>
            <w:tcW w:w="2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5"/>
              </w:rPr>
              <w:t>Abstain</w:t>
            </w:r>
          </w:p>
        </w:tc>
        <w:tc>
          <w:tcPr>
            <w:tcW w:w="2740" w:type="dxa"/>
            <w:vAlign w:val="bottom"/>
          </w:tcPr>
          <w:p>
            <w:pPr>
              <w:jc w:val="center"/>
              <w:spacing w:after="0"/>
              <w:rPr>
                <w:sz w:val="20"/>
                <w:szCs w:val="20"/>
                <w:color w:val="auto"/>
              </w:rPr>
            </w:pPr>
            <w:r>
              <w:rPr>
                <w:rFonts w:ascii="Arial" w:cs="Arial" w:eastAsia="Arial" w:hAnsi="Arial"/>
                <w:sz w:val="16"/>
                <w:szCs w:val="16"/>
                <w:b w:val="1"/>
                <w:bCs w:val="1"/>
                <w:color w:val="auto"/>
                <w:w w:val="89"/>
              </w:rPr>
              <w:t>Broker Non-Vote</w:t>
            </w:r>
          </w:p>
        </w:tc>
      </w:tr>
      <w:tr>
        <w:trPr>
          <w:trHeight w:val="24"/>
        </w:trPr>
        <w:tc>
          <w:tcPr>
            <w:tcW w:w="2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01"/>
        </w:trPr>
        <w:tc>
          <w:tcPr>
            <w:tcW w:w="2860" w:type="dxa"/>
            <w:vAlign w:val="bottom"/>
          </w:tcPr>
          <w:p>
            <w:pPr>
              <w:jc w:val="right"/>
              <w:ind w:right="1042"/>
              <w:spacing w:after="0"/>
              <w:rPr>
                <w:sz w:val="20"/>
                <w:szCs w:val="20"/>
                <w:color w:val="auto"/>
              </w:rPr>
            </w:pPr>
            <w:r>
              <w:rPr>
                <w:rFonts w:ascii="Arial" w:cs="Arial" w:eastAsia="Arial" w:hAnsi="Arial"/>
                <w:sz w:val="16"/>
                <w:szCs w:val="16"/>
                <w:color w:val="auto"/>
              </w:rPr>
              <w:t>7,312,546</w:t>
            </w:r>
          </w:p>
        </w:tc>
        <w:tc>
          <w:tcPr>
            <w:tcW w:w="120" w:type="dxa"/>
            <w:vAlign w:val="bottom"/>
          </w:tcPr>
          <w:p>
            <w:pPr>
              <w:spacing w:after="0"/>
              <w:rPr>
                <w:sz w:val="17"/>
                <w:szCs w:val="17"/>
                <w:color w:val="auto"/>
              </w:rPr>
            </w:pPr>
          </w:p>
        </w:tc>
        <w:tc>
          <w:tcPr>
            <w:tcW w:w="2740" w:type="dxa"/>
            <w:vAlign w:val="bottom"/>
          </w:tcPr>
          <w:p>
            <w:pPr>
              <w:ind w:left="1120"/>
              <w:spacing w:after="0"/>
              <w:rPr>
                <w:sz w:val="20"/>
                <w:szCs w:val="20"/>
                <w:color w:val="auto"/>
              </w:rPr>
            </w:pPr>
            <w:r>
              <w:rPr>
                <w:rFonts w:ascii="Arial" w:cs="Arial" w:eastAsia="Arial" w:hAnsi="Arial"/>
                <w:sz w:val="16"/>
                <w:szCs w:val="16"/>
                <w:color w:val="auto"/>
              </w:rPr>
              <w:t>563,449</w:t>
            </w:r>
          </w:p>
        </w:tc>
        <w:tc>
          <w:tcPr>
            <w:tcW w:w="120" w:type="dxa"/>
            <w:vAlign w:val="bottom"/>
          </w:tcPr>
          <w:p>
            <w:pPr>
              <w:spacing w:after="0"/>
              <w:rPr>
                <w:sz w:val="17"/>
                <w:szCs w:val="17"/>
                <w:color w:val="auto"/>
              </w:rPr>
            </w:pPr>
          </w:p>
        </w:tc>
        <w:tc>
          <w:tcPr>
            <w:tcW w:w="2740" w:type="dxa"/>
            <w:vAlign w:val="bottom"/>
          </w:tcPr>
          <w:p>
            <w:pPr>
              <w:jc w:val="right"/>
              <w:ind w:right="1082"/>
              <w:spacing w:after="0"/>
              <w:rPr>
                <w:sz w:val="20"/>
                <w:szCs w:val="20"/>
                <w:color w:val="auto"/>
              </w:rPr>
            </w:pPr>
            <w:r>
              <w:rPr>
                <w:rFonts w:ascii="Arial" w:cs="Arial" w:eastAsia="Arial" w:hAnsi="Arial"/>
                <w:sz w:val="16"/>
                <w:szCs w:val="16"/>
                <w:color w:val="auto"/>
              </w:rPr>
              <w:t>28,509</w:t>
            </w:r>
          </w:p>
        </w:tc>
        <w:tc>
          <w:tcPr>
            <w:tcW w:w="120" w:type="dxa"/>
            <w:vAlign w:val="bottom"/>
          </w:tcPr>
          <w:p>
            <w:pPr>
              <w:spacing w:after="0"/>
              <w:rPr>
                <w:sz w:val="17"/>
                <w:szCs w:val="17"/>
                <w:color w:val="auto"/>
              </w:rPr>
            </w:pPr>
          </w:p>
        </w:tc>
        <w:tc>
          <w:tcPr>
            <w:tcW w:w="2740" w:type="dxa"/>
            <w:vAlign w:val="bottom"/>
          </w:tcPr>
          <w:p>
            <w:pPr>
              <w:jc w:val="center"/>
              <w:spacing w:after="0"/>
              <w:rPr>
                <w:sz w:val="20"/>
                <w:szCs w:val="20"/>
                <w:color w:val="auto"/>
              </w:rPr>
            </w:pPr>
            <w:r>
              <w:rPr>
                <w:rFonts w:ascii="Arial" w:cs="Arial" w:eastAsia="Arial" w:hAnsi="Arial"/>
                <w:sz w:val="16"/>
                <w:szCs w:val="16"/>
                <w:color w:val="auto"/>
                <w:w w:val="89"/>
              </w:rPr>
              <w:t>–</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Proposal Three – Advisory Vote to Approve Executive Compensation</w:t>
      </w:r>
    </w:p>
    <w:p>
      <w:pPr>
        <w:spacing w:after="0" w:line="193" w:lineRule="exact"/>
        <w:rPr>
          <w:sz w:val="20"/>
          <w:szCs w:val="20"/>
          <w:color w:val="auto"/>
        </w:rPr>
      </w:pPr>
    </w:p>
    <w:p>
      <w:pPr>
        <w:ind w:right="760" w:firstLine="559"/>
        <w:spacing w:after="0" w:line="264" w:lineRule="auto"/>
        <w:rPr>
          <w:sz w:val="20"/>
          <w:szCs w:val="20"/>
          <w:color w:val="auto"/>
        </w:rPr>
      </w:pPr>
      <w:r>
        <w:rPr>
          <w:rFonts w:ascii="Arial" w:cs="Arial" w:eastAsia="Arial" w:hAnsi="Arial"/>
          <w:sz w:val="19"/>
          <w:szCs w:val="19"/>
          <w:color w:val="auto"/>
        </w:rPr>
        <w:t>Our shareholders approved, on an advisory basis, the compensation of our executive officers as disclosed in the above-referenced proxy statement, based on the votes listed below:</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For</w:t>
            </w:r>
          </w:p>
        </w:tc>
        <w:tc>
          <w:tcPr>
            <w:tcW w:w="2860" w:type="dxa"/>
            <w:vAlign w:val="bottom"/>
            <w:gridSpan w:val="2"/>
          </w:tcPr>
          <w:p>
            <w:pPr>
              <w:ind w:left="1120"/>
              <w:spacing w:after="0"/>
              <w:rPr>
                <w:sz w:val="20"/>
                <w:szCs w:val="20"/>
                <w:color w:val="auto"/>
              </w:rPr>
            </w:pPr>
            <w:r>
              <w:rPr>
                <w:rFonts w:ascii="Arial" w:cs="Arial" w:eastAsia="Arial" w:hAnsi="Arial"/>
                <w:sz w:val="16"/>
                <w:szCs w:val="16"/>
                <w:b w:val="1"/>
                <w:bCs w:val="1"/>
                <w:color w:val="auto"/>
              </w:rPr>
              <w:t>Against</w:t>
            </w:r>
          </w:p>
        </w:tc>
        <w:tc>
          <w:tcPr>
            <w:tcW w:w="2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5"/>
              </w:rPr>
              <w:t>Abstain</w:t>
            </w:r>
          </w:p>
        </w:tc>
        <w:tc>
          <w:tcPr>
            <w:tcW w:w="2740" w:type="dxa"/>
            <w:vAlign w:val="bottom"/>
          </w:tcPr>
          <w:p>
            <w:pPr>
              <w:jc w:val="center"/>
              <w:spacing w:after="0"/>
              <w:rPr>
                <w:sz w:val="20"/>
                <w:szCs w:val="20"/>
                <w:color w:val="auto"/>
              </w:rPr>
            </w:pPr>
            <w:r>
              <w:rPr>
                <w:rFonts w:ascii="Arial" w:cs="Arial" w:eastAsia="Arial" w:hAnsi="Arial"/>
                <w:sz w:val="16"/>
                <w:szCs w:val="16"/>
                <w:b w:val="1"/>
                <w:bCs w:val="1"/>
                <w:color w:val="auto"/>
                <w:w w:val="89"/>
              </w:rPr>
              <w:t>Broker Non-Vote</w:t>
            </w:r>
          </w:p>
        </w:tc>
      </w:tr>
      <w:tr>
        <w:trPr>
          <w:trHeight w:val="24"/>
        </w:trPr>
        <w:tc>
          <w:tcPr>
            <w:tcW w:w="2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01"/>
        </w:trPr>
        <w:tc>
          <w:tcPr>
            <w:tcW w:w="2860" w:type="dxa"/>
            <w:vAlign w:val="bottom"/>
          </w:tcPr>
          <w:p>
            <w:pPr>
              <w:jc w:val="right"/>
              <w:ind w:right="1042"/>
              <w:spacing w:after="0"/>
              <w:rPr>
                <w:sz w:val="20"/>
                <w:szCs w:val="20"/>
                <w:color w:val="auto"/>
              </w:rPr>
            </w:pPr>
            <w:r>
              <w:rPr>
                <w:rFonts w:ascii="Arial" w:cs="Arial" w:eastAsia="Arial" w:hAnsi="Arial"/>
                <w:sz w:val="16"/>
                <w:szCs w:val="16"/>
                <w:color w:val="auto"/>
              </w:rPr>
              <w:t>7,453,281</w:t>
            </w:r>
          </w:p>
        </w:tc>
        <w:tc>
          <w:tcPr>
            <w:tcW w:w="120" w:type="dxa"/>
            <w:vAlign w:val="bottom"/>
          </w:tcPr>
          <w:p>
            <w:pPr>
              <w:spacing w:after="0"/>
              <w:rPr>
                <w:sz w:val="17"/>
                <w:szCs w:val="17"/>
                <w:color w:val="auto"/>
              </w:rPr>
            </w:pPr>
          </w:p>
        </w:tc>
        <w:tc>
          <w:tcPr>
            <w:tcW w:w="2740" w:type="dxa"/>
            <w:vAlign w:val="bottom"/>
          </w:tcPr>
          <w:p>
            <w:pPr>
              <w:ind w:left="1120"/>
              <w:spacing w:after="0"/>
              <w:rPr>
                <w:sz w:val="20"/>
                <w:szCs w:val="20"/>
                <w:color w:val="auto"/>
              </w:rPr>
            </w:pPr>
            <w:r>
              <w:rPr>
                <w:rFonts w:ascii="Arial" w:cs="Arial" w:eastAsia="Arial" w:hAnsi="Arial"/>
                <w:sz w:val="16"/>
                <w:szCs w:val="16"/>
                <w:color w:val="auto"/>
              </w:rPr>
              <w:t>394,648</w:t>
            </w:r>
          </w:p>
        </w:tc>
        <w:tc>
          <w:tcPr>
            <w:tcW w:w="120" w:type="dxa"/>
            <w:vAlign w:val="bottom"/>
          </w:tcPr>
          <w:p>
            <w:pPr>
              <w:spacing w:after="0"/>
              <w:rPr>
                <w:sz w:val="17"/>
                <w:szCs w:val="17"/>
                <w:color w:val="auto"/>
              </w:rPr>
            </w:pPr>
          </w:p>
        </w:tc>
        <w:tc>
          <w:tcPr>
            <w:tcW w:w="2740" w:type="dxa"/>
            <w:vAlign w:val="bottom"/>
          </w:tcPr>
          <w:p>
            <w:pPr>
              <w:jc w:val="right"/>
              <w:ind w:right="1082"/>
              <w:spacing w:after="0"/>
              <w:rPr>
                <w:sz w:val="20"/>
                <w:szCs w:val="20"/>
                <w:color w:val="auto"/>
              </w:rPr>
            </w:pPr>
            <w:r>
              <w:rPr>
                <w:rFonts w:ascii="Arial" w:cs="Arial" w:eastAsia="Arial" w:hAnsi="Arial"/>
                <w:sz w:val="16"/>
                <w:szCs w:val="16"/>
                <w:color w:val="auto"/>
              </w:rPr>
              <w:t>56,575</w:t>
            </w:r>
          </w:p>
        </w:tc>
        <w:tc>
          <w:tcPr>
            <w:tcW w:w="120" w:type="dxa"/>
            <w:vAlign w:val="bottom"/>
          </w:tcPr>
          <w:p>
            <w:pPr>
              <w:spacing w:after="0"/>
              <w:rPr>
                <w:sz w:val="17"/>
                <w:szCs w:val="17"/>
                <w:color w:val="auto"/>
              </w:rPr>
            </w:pPr>
          </w:p>
        </w:tc>
        <w:tc>
          <w:tcPr>
            <w:tcW w:w="2740" w:type="dxa"/>
            <w:vAlign w:val="bottom"/>
          </w:tcPr>
          <w:p>
            <w:pPr>
              <w:jc w:val="center"/>
              <w:spacing w:after="0"/>
              <w:rPr>
                <w:sz w:val="20"/>
                <w:szCs w:val="20"/>
                <w:color w:val="auto"/>
              </w:rPr>
            </w:pPr>
            <w:r>
              <w:rPr>
                <w:rFonts w:ascii="Arial" w:cs="Arial" w:eastAsia="Arial" w:hAnsi="Arial"/>
                <w:sz w:val="16"/>
                <w:szCs w:val="16"/>
                <w:color w:val="auto"/>
                <w:w w:val="89"/>
              </w:rPr>
              <w:t>–</w:t>
            </w:r>
          </w:p>
        </w:tc>
      </w:tr>
    </w:tbl>
    <w:p>
      <w:pPr>
        <w:sectPr>
          <w:pgSz w:w="11900" w:h="16838" w:orient="portrait"/>
          <w:cols w:equalWidth="0" w:num="1">
            <w:col w:w="11440"/>
          </w:cols>
          <w:pgMar w:left="240" w:top="757"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9"/>
          <w:szCs w:val="19"/>
          <w:color w:val="auto"/>
        </w:rPr>
        <w:t>SIGNATURES</w:t>
      </w:r>
    </w:p>
    <w:p>
      <w:pPr>
        <w:spacing w:after="0" w:line="189" w:lineRule="exact"/>
        <w:rPr>
          <w:sz w:val="20"/>
          <w:szCs w:val="20"/>
          <w:color w:val="auto"/>
        </w:rPr>
      </w:pPr>
    </w:p>
    <w:p>
      <w:pPr>
        <w:ind w:firstLine="559"/>
        <w:spacing w:after="0" w:line="264"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HAWKINS, INC.</w:t>
      </w:r>
    </w:p>
    <w:p>
      <w:pPr>
        <w:spacing w:after="0" w:line="302"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HAWKINS, INC.</w:t>
      </w:r>
    </w:p>
    <w:p>
      <w:pPr>
        <w:sectPr>
          <w:pgSz w:w="11900" w:h="16838" w:orient="portrait"/>
          <w:cols w:equalWidth="0" w:num="1">
            <w:col w:w="11440"/>
          </w:cols>
          <w:pgMar w:left="240" w:top="563" w:right="219" w:bottom="1440" w:gutter="0" w:footer="0" w:header="0"/>
        </w:sectPr>
      </w:pPr>
    </w:p>
    <w:p>
      <w:pPr>
        <w:spacing w:after="0" w:line="154"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Date: August 5, 2019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ind w:right="1040"/>
        <w:spacing w:after="0"/>
        <w:rPr>
          <w:sz w:val="20"/>
          <w:szCs w:val="20"/>
          <w:color w:val="auto"/>
        </w:rPr>
      </w:pPr>
      <w:r>
        <w:rPr>
          <w:rFonts w:ascii="Arial" w:cs="Arial" w:eastAsia="Arial" w:hAnsi="Arial"/>
          <w:sz w:val="13"/>
          <w:szCs w:val="13"/>
          <w:color w:val="auto"/>
        </w:rPr>
        <w:t>/s/Richard G. Erstad</w:t>
      </w:r>
    </w:p>
    <w:p>
      <w:pPr>
        <w:spacing w:after="0" w:line="83" w:lineRule="exact"/>
        <w:rPr>
          <w:sz w:val="20"/>
          <w:szCs w:val="20"/>
          <w:color w:val="auto"/>
        </w:rPr>
      </w:pPr>
    </w:p>
    <w:p>
      <w:pPr>
        <w:jc w:val="center"/>
        <w:ind w:right="1040"/>
        <w:spacing w:after="0"/>
        <w:rPr>
          <w:sz w:val="20"/>
          <w:szCs w:val="20"/>
          <w:color w:val="auto"/>
        </w:rPr>
      </w:pPr>
      <w:r>
        <w:rPr>
          <w:rFonts w:ascii="Arial" w:cs="Arial" w:eastAsia="Arial" w:hAnsi="Arial"/>
          <w:sz w:val="14"/>
          <w:szCs w:val="14"/>
          <w:color w:val="auto"/>
        </w:rPr>
        <w:t>Richard G. Erstad</w:t>
      </w:r>
    </w:p>
    <w:p>
      <w:pPr>
        <w:spacing w:after="0" w:line="72" w:lineRule="exact"/>
        <w:rPr>
          <w:sz w:val="20"/>
          <w:szCs w:val="20"/>
          <w:color w:val="auto"/>
        </w:rPr>
      </w:pPr>
    </w:p>
    <w:p>
      <w:pPr>
        <w:sectPr>
          <w:pgSz w:w="11900" w:h="16838" w:orient="portrait"/>
          <w:cols w:equalWidth="0" w:num="3">
            <w:col w:w="6860" w:space="720"/>
            <w:col w:w="840" w:space="720"/>
            <w:col w:w="2300"/>
          </w:cols>
          <w:pgMar w:left="240" w:top="563" w:right="219" w:bottom="1440" w:gutter="0" w:footer="0" w:header="0"/>
          <w:type w:val="continuous"/>
        </w:sectPr>
      </w:pPr>
    </w:p>
    <w:p>
      <w:pPr>
        <w:ind w:left="8040"/>
        <w:spacing w:after="0"/>
        <w:rPr>
          <w:sz w:val="20"/>
          <w:szCs w:val="20"/>
          <w:color w:val="auto"/>
        </w:rPr>
      </w:pPr>
      <w:r>
        <w:rPr>
          <w:rFonts w:ascii="Arial" w:cs="Arial" w:eastAsia="Arial" w:hAnsi="Arial"/>
          <w:sz w:val="13"/>
          <w:szCs w:val="13"/>
          <w:color w:val="auto"/>
        </w:rPr>
        <w:t>Vice President, General Counsel and Secretary</w:t>
      </w:r>
    </w:p>
    <w:sectPr>
      <w:pgSz w:w="11900" w:h="16838" w:orient="portrait"/>
      <w:cols w:equalWidth="0" w:num="1">
        <w:col w:w="11440"/>
      </w:cols>
      <w:pgMar w:left="240" w:top="563" w:right="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2019-11-30T10:29:30Z</dcterms:created>
  <dcterms:modified xsi:type="dcterms:W3CDTF">2019-11-30T10:29:30Z</dcterms:modified>
</cp:coreProperties>
</file>