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40"/>
        <w:spacing w:after="0"/>
        <w:rPr>
          <w:sz w:val="20"/>
          <w:szCs w:val="20"/>
          <w:color w:val="auto"/>
        </w:rPr>
      </w:pPr>
      <w:r>
        <w:rPr>
          <w:rFonts w:ascii="Courier New" w:cs="Courier New" w:eastAsia="Courier New" w:hAnsi="Courier New"/>
          <w:sz w:val="17"/>
          <w:szCs w:val="17"/>
          <w:color w:val="auto"/>
        </w:rPr>
        <w:t>UNITED STATES</w:t>
      </w:r>
    </w:p>
    <w:p>
      <w:pPr>
        <w:spacing w:after="0" w:line="2"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ind w:left="3040"/>
        <w:spacing w:after="0"/>
        <w:tabs>
          <w:tab w:leader="none" w:pos="484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96" w:lineRule="exact"/>
        <w:rPr>
          <w:sz w:val="24"/>
          <w:szCs w:val="24"/>
          <w:color w:val="auto"/>
        </w:rPr>
      </w:pPr>
    </w:p>
    <w:p>
      <w:pPr>
        <w:ind w:left="3740"/>
        <w:spacing w:after="0"/>
        <w:rPr>
          <w:sz w:val="20"/>
          <w:szCs w:val="20"/>
          <w:color w:val="auto"/>
        </w:rPr>
      </w:pPr>
      <w:r>
        <w:rPr>
          <w:rFonts w:ascii="Courier New" w:cs="Courier New" w:eastAsia="Courier New" w:hAnsi="Courier New"/>
          <w:sz w:val="17"/>
          <w:szCs w:val="17"/>
          <w:color w:val="auto"/>
        </w:rPr>
        <w:t>FORM 10-Q</w:t>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4" w:lineRule="exact"/>
        <w:rPr>
          <w:sz w:val="24"/>
          <w:szCs w:val="24"/>
          <w:color w:val="auto"/>
        </w:rPr>
      </w:pPr>
    </w:p>
    <w:p>
      <w:pPr>
        <w:ind w:left="400" w:right="2219" w:hanging="396"/>
        <w:spacing w:after="0" w:line="239" w:lineRule="auto"/>
        <w:tabs>
          <w:tab w:leader="none" w:pos="4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pacing w:after="0" w:line="198" w:lineRule="exact"/>
        <w:rPr>
          <w:sz w:val="24"/>
          <w:szCs w:val="24"/>
          <w:color w:val="auto"/>
        </w:rPr>
      </w:pPr>
    </w:p>
    <w:p>
      <w:pPr>
        <w:ind w:left="1920"/>
        <w:spacing w:after="0"/>
        <w:rPr>
          <w:sz w:val="20"/>
          <w:szCs w:val="20"/>
          <w:color w:val="auto"/>
        </w:rPr>
      </w:pPr>
      <w:r>
        <w:rPr>
          <w:rFonts w:ascii="Courier New" w:cs="Courier New" w:eastAsia="Courier New" w:hAnsi="Courier New"/>
          <w:sz w:val="17"/>
          <w:szCs w:val="17"/>
          <w:color w:val="auto"/>
        </w:rPr>
        <w:t>For the quarterly period ended December 31, 1997</w:t>
      </w:r>
    </w:p>
    <w:p>
      <w:pPr>
        <w:spacing w:after="0" w:line="2" w:lineRule="exact"/>
        <w:rPr>
          <w:sz w:val="24"/>
          <w:szCs w:val="24"/>
          <w:color w:val="auto"/>
        </w:rPr>
      </w:pPr>
    </w:p>
    <w:p>
      <w:pPr>
        <w:ind w:left="506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4140"/>
        <w:spacing w:after="0"/>
        <w:rPr>
          <w:sz w:val="20"/>
          <w:szCs w:val="20"/>
          <w:color w:val="auto"/>
        </w:rPr>
      </w:pPr>
      <w:r>
        <w:rPr>
          <w:rFonts w:ascii="Courier New" w:cs="Courier New" w:eastAsia="Courier New" w:hAnsi="Courier New"/>
          <w:sz w:val="17"/>
          <w:szCs w:val="17"/>
          <w:color w:val="auto"/>
        </w:rPr>
        <w:t>OR</w:t>
      </w:r>
    </w:p>
    <w:p>
      <w:pPr>
        <w:spacing w:after="0" w:line="199" w:lineRule="exact"/>
        <w:rPr>
          <w:sz w:val="24"/>
          <w:szCs w:val="24"/>
          <w:color w:val="auto"/>
        </w:rPr>
      </w:pPr>
    </w:p>
    <w:p>
      <w:pPr>
        <w:ind w:left="400" w:right="3039" w:hanging="396"/>
        <w:spacing w:after="0" w:line="239" w:lineRule="auto"/>
        <w:tabs>
          <w:tab w:leader="none" w:pos="198"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pacing w:after="0" w:line="198"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For the transition period from ______________________to ______________________</w:t>
      </w:r>
    </w:p>
    <w:p>
      <w:pPr>
        <w:spacing w:after="0" w:line="196"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Commission file number 0-7647</w:t>
      </w:r>
    </w:p>
    <w:p>
      <w:pPr>
        <w:spacing w:after="0" w:line="196"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HAWKINS CHEMICAL, INC.</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15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196" w:lineRule="exact"/>
        <w:rPr>
          <w:sz w:val="24"/>
          <w:szCs w:val="24"/>
          <w:color w:val="auto"/>
        </w:rPr>
      </w:pPr>
    </w:p>
    <w:tbl>
      <w:tblPr>
        <w:tblLayout w:type="fixed"/>
        <w:tblInd w:w="500" w:type="dxa"/>
        <w:tblCellMar>
          <w:top w:w="0" w:type="dxa"/>
          <w:left w:w="0" w:type="dxa"/>
          <w:bottom w:w="0" w:type="dxa"/>
          <w:right w:w="0" w:type="dxa"/>
        </w:tblCellMar>
      </w:tblPr>
      <w:tr>
        <w:trPr>
          <w:trHeight w:val="193"/>
        </w:trPr>
        <w:tc>
          <w:tcPr>
            <w:tcW w:w="3340" w:type="dxa"/>
            <w:vAlign w:val="bottom"/>
          </w:tcPr>
          <w:p>
            <w:pPr>
              <w:ind w:left="1020"/>
              <w:spacing w:after="0"/>
              <w:rPr>
                <w:sz w:val="20"/>
                <w:szCs w:val="20"/>
                <w:color w:val="auto"/>
              </w:rPr>
            </w:pPr>
            <w:r>
              <w:rPr>
                <w:rFonts w:ascii="Courier New" w:cs="Courier New" w:eastAsia="Courier New" w:hAnsi="Courier New"/>
                <w:sz w:val="17"/>
                <w:szCs w:val="17"/>
                <w:color w:val="auto"/>
              </w:rPr>
              <w:t>MINNESOTA</w:t>
            </w:r>
          </w:p>
        </w:tc>
        <w:tc>
          <w:tcPr>
            <w:tcW w:w="384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9"/>
              </w:rPr>
              <w:t>41-0771293</w:t>
            </w:r>
          </w:p>
        </w:tc>
      </w:tr>
      <w:tr>
        <w:trPr>
          <w:trHeight w:val="194"/>
        </w:trPr>
        <w:tc>
          <w:tcPr>
            <w:tcW w:w="3340" w:type="dxa"/>
            <w:vAlign w:val="bottom"/>
          </w:tcPr>
          <w:p>
            <w:pPr>
              <w:ind w:left="1020"/>
              <w:spacing w:after="0"/>
              <w:rPr>
                <w:sz w:val="20"/>
                <w:szCs w:val="20"/>
                <w:color w:val="auto"/>
              </w:rPr>
            </w:pPr>
            <w:r>
              <w:rPr>
                <w:rFonts w:ascii="Courier New" w:cs="Courier New" w:eastAsia="Courier New" w:hAnsi="Courier New"/>
                <w:sz w:val="17"/>
                <w:szCs w:val="17"/>
                <w:color w:val="auto"/>
              </w:rPr>
              <w:t>---------</w:t>
            </w:r>
          </w:p>
        </w:tc>
        <w:tc>
          <w:tcPr>
            <w:tcW w:w="384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9"/>
              </w:rPr>
              <w:t>----------</w:t>
            </w:r>
          </w:p>
        </w:tc>
      </w:tr>
      <w:tr>
        <w:trPr>
          <w:trHeight w:val="194"/>
        </w:trPr>
        <w:tc>
          <w:tcPr>
            <w:tcW w:w="3340" w:type="dxa"/>
            <w:vAlign w:val="bottom"/>
          </w:tcPr>
          <w:p>
            <w:pPr>
              <w:spacing w:after="0"/>
              <w:rPr>
                <w:sz w:val="20"/>
                <w:szCs w:val="20"/>
                <w:color w:val="auto"/>
              </w:rPr>
            </w:pPr>
            <w:r>
              <w:rPr>
                <w:rFonts w:ascii="Courier New" w:cs="Courier New" w:eastAsia="Courier New" w:hAnsi="Courier New"/>
                <w:sz w:val="17"/>
                <w:szCs w:val="17"/>
                <w:color w:val="auto"/>
              </w:rPr>
              <w:t>(State or other jurisdiction of</w:t>
            </w:r>
          </w:p>
        </w:tc>
        <w:tc>
          <w:tcPr>
            <w:tcW w:w="384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9"/>
              </w:rPr>
              <w:t>(I.R.S. Employer Identification No.)</w:t>
            </w:r>
          </w:p>
        </w:tc>
      </w:tr>
      <w:tr>
        <w:trPr>
          <w:trHeight w:val="194"/>
        </w:trPr>
        <w:tc>
          <w:tcPr>
            <w:tcW w:w="3340" w:type="dxa"/>
            <w:vAlign w:val="bottom"/>
          </w:tcPr>
          <w:p>
            <w:pPr>
              <w:spacing w:after="0"/>
              <w:rPr>
                <w:sz w:val="20"/>
                <w:szCs w:val="20"/>
                <w:color w:val="auto"/>
              </w:rPr>
            </w:pPr>
            <w:r>
              <w:rPr>
                <w:rFonts w:ascii="Courier New" w:cs="Courier New" w:eastAsia="Courier New" w:hAnsi="Courier New"/>
                <w:sz w:val="17"/>
                <w:szCs w:val="17"/>
                <w:color w:val="auto"/>
              </w:rPr>
              <w:t>incorporation of organization)</w:t>
            </w:r>
          </w:p>
        </w:tc>
        <w:tc>
          <w:tcPr>
            <w:tcW w:w="3840" w:type="dxa"/>
            <w:vAlign w:val="bottom"/>
          </w:tcPr>
          <w:p>
            <w:pPr>
              <w:spacing w:after="0"/>
              <w:rPr>
                <w:sz w:val="16"/>
                <w:szCs w:val="16"/>
                <w:color w:val="auto"/>
              </w:rPr>
            </w:pPr>
          </w:p>
        </w:tc>
      </w:tr>
    </w:tbl>
    <w:p>
      <w:pPr>
        <w:spacing w:after="0" w:line="196" w:lineRule="exact"/>
        <w:rPr>
          <w:sz w:val="24"/>
          <w:szCs w:val="24"/>
          <w:color w:val="auto"/>
        </w:rPr>
      </w:pPr>
    </w:p>
    <w:p>
      <w:pPr>
        <w:ind w:left="1520"/>
        <w:spacing w:after="0"/>
        <w:rPr>
          <w:sz w:val="20"/>
          <w:szCs w:val="20"/>
          <w:color w:val="auto"/>
        </w:rPr>
      </w:pPr>
      <w:r>
        <w:rPr>
          <w:rFonts w:ascii="Courier New" w:cs="Courier New" w:eastAsia="Courier New" w:hAnsi="Courier New"/>
          <w:sz w:val="17"/>
          <w:szCs w:val="17"/>
          <w:color w:val="auto"/>
        </w:rPr>
        <w:t>3100 EAST HENNEPIN AVENUE, MINNEAPOLIS, MINNESOTA 55413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4"/>
          <w:szCs w:val="24"/>
          <w:color w:val="auto"/>
        </w:rPr>
      </w:pPr>
    </w:p>
    <w:p>
      <w:pPr>
        <w:ind w:left="1520"/>
        <w:spacing w:after="0"/>
        <w:tabs>
          <w:tab w:leader="none" w:pos="646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91" w:lineRule="exact"/>
        <w:rPr>
          <w:sz w:val="24"/>
          <w:szCs w:val="24"/>
          <w:color w:val="auto"/>
        </w:rPr>
      </w:pPr>
    </w:p>
    <w:p>
      <w:pPr>
        <w:ind w:left="4260" w:hanging="616"/>
        <w:spacing w:after="0"/>
        <w:tabs>
          <w:tab w:leader="none" w:pos="42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331-6910</w:t>
      </w:r>
    </w:p>
    <w:p>
      <w:pPr>
        <w:spacing w:after="0" w:line="1" w:lineRule="exact"/>
        <w:rPr>
          <w:rFonts w:ascii="Courier New" w:cs="Courier New" w:eastAsia="Courier New" w:hAnsi="Courier New"/>
          <w:sz w:val="17"/>
          <w:szCs w:val="17"/>
          <w:color w:val="auto"/>
        </w:rPr>
      </w:pPr>
    </w:p>
    <w:p>
      <w:pPr>
        <w:ind w:left="3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1820"/>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393" w:lineRule="exact"/>
        <w:rPr>
          <w:sz w:val="24"/>
          <w:szCs w:val="24"/>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8" w:lineRule="exact"/>
        <w:rPr>
          <w:sz w:val="24"/>
          <w:szCs w:val="24"/>
          <w:color w:val="auto"/>
        </w:rPr>
      </w:pPr>
    </w:p>
    <w:p>
      <w:pPr>
        <w:ind w:left="3740"/>
        <w:spacing w:after="0"/>
        <w:tabs>
          <w:tab w:leader="none" w:pos="4440" w:val="left"/>
        </w:tabs>
        <w:rPr>
          <w:sz w:val="20"/>
          <w:szCs w:val="20"/>
          <w:color w:val="auto"/>
        </w:rPr>
      </w:pPr>
      <w:r>
        <w:rPr>
          <w:rFonts w:ascii="Courier New" w:cs="Courier New" w:eastAsia="Courier New" w:hAnsi="Courier New"/>
          <w:sz w:val="17"/>
          <w:szCs w:val="17"/>
          <w:color w:val="auto"/>
        </w:rPr>
        <w:t>YES X</w:t>
      </w:r>
      <w:r>
        <w:rPr>
          <w:sz w:val="20"/>
          <w:szCs w:val="20"/>
          <w:color w:val="auto"/>
        </w:rPr>
        <w:tab/>
      </w:r>
      <w:r>
        <w:rPr>
          <w:rFonts w:ascii="Courier New" w:cs="Courier New" w:eastAsia="Courier New" w:hAnsi="Courier New"/>
          <w:sz w:val="16"/>
          <w:szCs w:val="16"/>
          <w:color w:val="auto"/>
        </w:rPr>
        <w:t>NO</w:t>
      </w:r>
    </w:p>
    <w:p>
      <w:pPr>
        <w:spacing w:after="0" w:line="2" w:lineRule="exact"/>
        <w:rPr>
          <w:sz w:val="24"/>
          <w:szCs w:val="24"/>
          <w:color w:val="auto"/>
        </w:rPr>
      </w:pPr>
    </w:p>
    <w:p>
      <w:pPr>
        <w:ind w:left="4040"/>
        <w:spacing w:after="0"/>
        <w:tabs>
          <w:tab w:leader="none" w:pos="47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199" w:lineRule="exact"/>
        <w:rPr>
          <w:sz w:val="24"/>
          <w:szCs w:val="24"/>
          <w:color w:val="auto"/>
        </w:rPr>
      </w:pPr>
    </w:p>
    <w:p>
      <w:pPr>
        <w:ind w:right="2539"/>
        <w:spacing w:after="0" w:line="239"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the latest practicable date.</w:t>
      </w:r>
    </w:p>
    <w:p>
      <w:pPr>
        <w:sectPr>
          <w:pgSz w:w="11900" w:h="16838" w:orient="portrait"/>
          <w:cols w:equalWidth="0" w:num="1">
            <w:col w:w="10219"/>
          </w:cols>
          <w:pgMar w:left="240" w:top="827" w:right="1440" w:bottom="1440" w:gutter="0" w:footer="0" w:header="0"/>
        </w:sectPr>
      </w:pPr>
    </w:p>
    <w:p>
      <w:pPr>
        <w:spacing w:after="0" w:line="198" w:lineRule="exact"/>
        <w:rPr>
          <w:sz w:val="24"/>
          <w:szCs w:val="24"/>
          <w:color w:val="auto"/>
        </w:rPr>
      </w:pPr>
    </w:p>
    <w:p>
      <w:pPr>
        <w:ind w:left="1920"/>
        <w:spacing w:after="0"/>
        <w:rPr>
          <w:sz w:val="20"/>
          <w:szCs w:val="20"/>
          <w:color w:val="auto"/>
        </w:rPr>
      </w:pPr>
      <w:r>
        <w:rPr>
          <w:rFonts w:ascii="Courier New" w:cs="Courier New" w:eastAsia="Courier New" w:hAnsi="Courier New"/>
          <w:sz w:val="17"/>
          <w:szCs w:val="17"/>
          <w:color w:val="auto"/>
        </w:rPr>
        <w:t>Class</w:t>
      </w:r>
    </w:p>
    <w:p>
      <w:pPr>
        <w:spacing w:after="0" w:line="4"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13"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Common Stock, par value $.05 per share</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February 12, 1998</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ind w:left="1000"/>
        <w:spacing w:after="0"/>
        <w:rPr>
          <w:sz w:val="20"/>
          <w:szCs w:val="20"/>
          <w:color w:val="auto"/>
        </w:rPr>
      </w:pPr>
      <w:r>
        <w:rPr>
          <w:rFonts w:ascii="Courier New" w:cs="Courier New" w:eastAsia="Courier New" w:hAnsi="Courier New"/>
          <w:sz w:val="17"/>
          <w:szCs w:val="17"/>
          <w:color w:val="auto"/>
        </w:rPr>
        <w:t>11,603,895</w:t>
      </w:r>
    </w:p>
    <w:p>
      <w:pPr>
        <w:sectPr>
          <w:pgSz w:w="11900" w:h="16838" w:orient="portrait"/>
          <w:cols w:equalWidth="0" w:num="2">
            <w:col w:w="4360" w:space="200"/>
            <w:col w:w="5659"/>
          </w:cols>
          <w:pgMar w:left="240" w:top="827"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HAWKINS CHEMICAL, INC. AND SUBSIDIARIES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Page No.</w:t>
      </w:r>
    </w:p>
    <w:p>
      <w:pPr>
        <w:spacing w:after="0" w:line="2" w:lineRule="exact"/>
        <w:rPr>
          <w:sz w:val="20"/>
          <w:szCs w:val="20"/>
          <w:color w:val="auto"/>
        </w:rPr>
      </w:pPr>
    </w:p>
    <w:p>
      <w:pPr>
        <w:ind w:left="728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2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6660" w:type="dxa"/>
            <w:vAlign w:val="bottom"/>
          </w:tcPr>
          <w:p>
            <w:pPr>
              <w:ind w:left="100"/>
              <w:spacing w:after="0"/>
              <w:rPr>
                <w:sz w:val="20"/>
                <w:szCs w:val="20"/>
                <w:color w:val="auto"/>
              </w:rPr>
            </w:pPr>
            <w:r>
              <w:rPr>
                <w:rFonts w:ascii="Courier New" w:cs="Courier New" w:eastAsia="Courier New" w:hAnsi="Courier New"/>
                <w:sz w:val="17"/>
                <w:szCs w:val="17"/>
                <w:color w:val="auto"/>
              </w:rPr>
              <w:t>FINANCIAL INFORMATION</w:t>
            </w:r>
          </w:p>
        </w:tc>
        <w:tc>
          <w:tcPr>
            <w:tcW w:w="420" w:type="dxa"/>
            <w:vAlign w:val="bottom"/>
          </w:tcPr>
          <w:p>
            <w:pPr>
              <w:spacing w:after="0"/>
              <w:rPr>
                <w:sz w:val="16"/>
                <w:szCs w:val="16"/>
                <w:color w:val="auto"/>
              </w:rPr>
            </w:pPr>
          </w:p>
        </w:tc>
      </w:tr>
      <w:tr>
        <w:trPr>
          <w:trHeight w:val="389"/>
        </w:trPr>
        <w:tc>
          <w:tcPr>
            <w:tcW w:w="92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6660" w:type="dxa"/>
            <w:vAlign w:val="bottom"/>
          </w:tcPr>
          <w:p>
            <w:pPr>
              <w:ind w:left="100"/>
              <w:spacing w:after="0"/>
              <w:rPr>
                <w:sz w:val="20"/>
                <w:szCs w:val="20"/>
                <w:color w:val="auto"/>
              </w:rPr>
            </w:pPr>
            <w:r>
              <w:rPr>
                <w:rFonts w:ascii="Courier New" w:cs="Courier New" w:eastAsia="Courier New" w:hAnsi="Courier New"/>
                <w:sz w:val="17"/>
                <w:szCs w:val="17"/>
                <w:color w:val="auto"/>
              </w:rPr>
              <w:t>Financial Statements:</w:t>
            </w:r>
          </w:p>
        </w:tc>
        <w:tc>
          <w:tcPr>
            <w:tcW w:w="420" w:type="dxa"/>
            <w:vAlign w:val="bottom"/>
          </w:tcPr>
          <w:p>
            <w:pPr>
              <w:spacing w:after="0"/>
              <w:rPr>
                <w:sz w:val="24"/>
                <w:szCs w:val="24"/>
                <w:color w:val="auto"/>
              </w:rPr>
            </w:pPr>
          </w:p>
        </w:tc>
      </w:tr>
      <w:tr>
        <w:trPr>
          <w:trHeight w:val="389"/>
        </w:trPr>
        <w:tc>
          <w:tcPr>
            <w:tcW w:w="92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Courier New" w:cs="Courier New" w:eastAsia="Courier New" w:hAnsi="Courier New"/>
                <w:sz w:val="17"/>
                <w:szCs w:val="17"/>
                <w:color w:val="auto"/>
              </w:rPr>
              <w:t>Consolidated Condensed Balance Sheets - December 31, 1997 and</w:t>
            </w:r>
          </w:p>
        </w:tc>
        <w:tc>
          <w:tcPr>
            <w:tcW w:w="420" w:type="dxa"/>
            <w:vAlign w:val="bottom"/>
          </w:tcPr>
          <w:p>
            <w:pPr>
              <w:spacing w:after="0"/>
              <w:rPr>
                <w:sz w:val="24"/>
                <w:szCs w:val="24"/>
                <w:color w:val="auto"/>
              </w:rPr>
            </w:pPr>
          </w:p>
        </w:tc>
      </w:tr>
      <w:tr>
        <w:trPr>
          <w:trHeight w:val="194"/>
        </w:trPr>
        <w:tc>
          <w:tcPr>
            <w:tcW w:w="920" w:type="dxa"/>
            <w:vAlign w:val="bottom"/>
          </w:tcPr>
          <w:p>
            <w:pPr>
              <w:spacing w:after="0"/>
              <w:rPr>
                <w:sz w:val="16"/>
                <w:szCs w:val="16"/>
                <w:color w:val="auto"/>
              </w:rPr>
            </w:pPr>
          </w:p>
        </w:tc>
        <w:tc>
          <w:tcPr>
            <w:tcW w:w="6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September 28, 1997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4"/>
        </w:trPr>
        <w:tc>
          <w:tcPr>
            <w:tcW w:w="920" w:type="dxa"/>
            <w:vAlign w:val="bottom"/>
          </w:tcPr>
          <w:p>
            <w:pPr>
              <w:spacing w:after="0"/>
              <w:rPr>
                <w:sz w:val="16"/>
                <w:szCs w:val="16"/>
                <w:color w:val="auto"/>
              </w:rPr>
            </w:pPr>
          </w:p>
        </w:tc>
        <w:tc>
          <w:tcPr>
            <w:tcW w:w="6660" w:type="dxa"/>
            <w:vAlign w:val="bottom"/>
          </w:tcPr>
          <w:p>
            <w:pPr>
              <w:ind w:left="100"/>
              <w:spacing w:after="0"/>
              <w:rPr>
                <w:sz w:val="20"/>
                <w:szCs w:val="20"/>
                <w:color w:val="auto"/>
              </w:rPr>
            </w:pPr>
            <w:r>
              <w:rPr>
                <w:rFonts w:ascii="Courier New" w:cs="Courier New" w:eastAsia="Courier New" w:hAnsi="Courier New"/>
                <w:sz w:val="17"/>
                <w:szCs w:val="17"/>
                <w:color w:val="auto"/>
              </w:rPr>
              <w:t>Consolidated Condensed Statements of Income - Three Months Ended</w:t>
            </w:r>
          </w:p>
        </w:tc>
        <w:tc>
          <w:tcPr>
            <w:tcW w:w="420" w:type="dxa"/>
            <w:vAlign w:val="bottom"/>
          </w:tcPr>
          <w:p>
            <w:pPr>
              <w:spacing w:after="0"/>
              <w:rPr>
                <w:sz w:val="16"/>
                <w:szCs w:val="16"/>
                <w:color w:val="auto"/>
              </w:rPr>
            </w:pPr>
          </w:p>
        </w:tc>
      </w:tr>
      <w:tr>
        <w:trPr>
          <w:trHeight w:val="194"/>
        </w:trPr>
        <w:tc>
          <w:tcPr>
            <w:tcW w:w="920" w:type="dxa"/>
            <w:vAlign w:val="bottom"/>
          </w:tcPr>
          <w:p>
            <w:pPr>
              <w:spacing w:after="0"/>
              <w:rPr>
                <w:sz w:val="16"/>
                <w:szCs w:val="16"/>
                <w:color w:val="auto"/>
              </w:rPr>
            </w:pPr>
          </w:p>
        </w:tc>
        <w:tc>
          <w:tcPr>
            <w:tcW w:w="6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December 31, 1997 and 1996 . . . . . . . . . . . . . . . . . .</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4"/>
        </w:trPr>
        <w:tc>
          <w:tcPr>
            <w:tcW w:w="920" w:type="dxa"/>
            <w:vAlign w:val="bottom"/>
          </w:tcPr>
          <w:p>
            <w:pPr>
              <w:spacing w:after="0"/>
              <w:rPr>
                <w:sz w:val="16"/>
                <w:szCs w:val="16"/>
                <w:color w:val="auto"/>
              </w:rPr>
            </w:pPr>
          </w:p>
        </w:tc>
        <w:tc>
          <w:tcPr>
            <w:tcW w:w="6660" w:type="dxa"/>
            <w:vAlign w:val="bottom"/>
          </w:tcPr>
          <w:p>
            <w:pPr>
              <w:ind w:left="100"/>
              <w:spacing w:after="0"/>
              <w:rPr>
                <w:sz w:val="20"/>
                <w:szCs w:val="20"/>
                <w:color w:val="auto"/>
              </w:rPr>
            </w:pPr>
            <w:r>
              <w:rPr>
                <w:rFonts w:ascii="Courier New" w:cs="Courier New" w:eastAsia="Courier New" w:hAnsi="Courier New"/>
                <w:sz w:val="17"/>
                <w:szCs w:val="17"/>
                <w:color w:val="auto"/>
              </w:rPr>
              <w:t>Consolidated Condensed Statements of Cash Flows - Three Months</w:t>
            </w:r>
          </w:p>
        </w:tc>
        <w:tc>
          <w:tcPr>
            <w:tcW w:w="420" w:type="dxa"/>
            <w:vAlign w:val="bottom"/>
          </w:tcPr>
          <w:p>
            <w:pPr>
              <w:spacing w:after="0"/>
              <w:rPr>
                <w:sz w:val="16"/>
                <w:szCs w:val="16"/>
                <w:color w:val="auto"/>
              </w:rPr>
            </w:pPr>
          </w:p>
        </w:tc>
      </w:tr>
      <w:tr>
        <w:trPr>
          <w:trHeight w:val="194"/>
        </w:trPr>
        <w:tc>
          <w:tcPr>
            <w:tcW w:w="920" w:type="dxa"/>
            <w:vAlign w:val="bottom"/>
          </w:tcPr>
          <w:p>
            <w:pPr>
              <w:spacing w:after="0"/>
              <w:rPr>
                <w:sz w:val="16"/>
                <w:szCs w:val="16"/>
                <w:color w:val="auto"/>
              </w:rPr>
            </w:pPr>
          </w:p>
        </w:tc>
        <w:tc>
          <w:tcPr>
            <w:tcW w:w="6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Ended December 31, 1997 and 1996 . . . . . . . . . . . . . . .</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4"/>
        </w:trPr>
        <w:tc>
          <w:tcPr>
            <w:tcW w:w="920" w:type="dxa"/>
            <w:vAlign w:val="bottom"/>
          </w:tcPr>
          <w:p>
            <w:pPr>
              <w:spacing w:after="0"/>
              <w:rPr>
                <w:sz w:val="16"/>
                <w:szCs w:val="16"/>
                <w:color w:val="auto"/>
              </w:rPr>
            </w:pPr>
          </w:p>
        </w:tc>
        <w:tc>
          <w:tcPr>
            <w:tcW w:w="6660" w:type="dxa"/>
            <w:vAlign w:val="bottom"/>
          </w:tcPr>
          <w:p>
            <w:pPr>
              <w:ind w:left="100"/>
              <w:spacing w:after="0"/>
              <w:rPr>
                <w:sz w:val="20"/>
                <w:szCs w:val="20"/>
                <w:color w:val="auto"/>
              </w:rPr>
            </w:pPr>
            <w:r>
              <w:rPr>
                <w:rFonts w:ascii="Courier New" w:cs="Courier New" w:eastAsia="Courier New" w:hAnsi="Courier New"/>
                <w:sz w:val="17"/>
                <w:szCs w:val="17"/>
                <w:color w:val="auto"/>
              </w:rPr>
              <w:t>Notes to Consolidated Condensed Financial Statements . . . . . .</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6-7</w:t>
            </w:r>
          </w:p>
        </w:tc>
      </w:tr>
      <w:tr>
        <w:trPr>
          <w:trHeight w:val="389"/>
        </w:trPr>
        <w:tc>
          <w:tcPr>
            <w:tcW w:w="92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6660" w:type="dxa"/>
            <w:vAlign w:val="bottom"/>
          </w:tcPr>
          <w:p>
            <w:pPr>
              <w:ind w:left="100"/>
              <w:spacing w:after="0"/>
              <w:rPr>
                <w:sz w:val="20"/>
                <w:szCs w:val="20"/>
                <w:color w:val="auto"/>
              </w:rPr>
            </w:pPr>
            <w:r>
              <w:rPr>
                <w:rFonts w:ascii="Courier New" w:cs="Courier New" w:eastAsia="Courier New" w:hAnsi="Courier New"/>
                <w:sz w:val="17"/>
                <w:szCs w:val="17"/>
                <w:color w:val="auto"/>
              </w:rPr>
              <w:t>Management's Discussion and Analysis of Financial Condition</w:t>
            </w:r>
          </w:p>
        </w:tc>
        <w:tc>
          <w:tcPr>
            <w:tcW w:w="420" w:type="dxa"/>
            <w:vAlign w:val="bottom"/>
          </w:tcPr>
          <w:p>
            <w:pPr>
              <w:spacing w:after="0"/>
              <w:rPr>
                <w:sz w:val="24"/>
                <w:szCs w:val="24"/>
                <w:color w:val="auto"/>
              </w:rPr>
            </w:pPr>
          </w:p>
        </w:tc>
      </w:tr>
      <w:tr>
        <w:trPr>
          <w:trHeight w:val="194"/>
        </w:trPr>
        <w:tc>
          <w:tcPr>
            <w:tcW w:w="920" w:type="dxa"/>
            <w:vAlign w:val="bottom"/>
          </w:tcPr>
          <w:p>
            <w:pPr>
              <w:spacing w:after="0"/>
              <w:rPr>
                <w:sz w:val="16"/>
                <w:szCs w:val="16"/>
                <w:color w:val="auto"/>
              </w:rPr>
            </w:pPr>
          </w:p>
        </w:tc>
        <w:tc>
          <w:tcPr>
            <w:tcW w:w="66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and Results of Operations . . . . . . . . . . . . . . . . . .</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8-9</w:t>
            </w:r>
          </w:p>
        </w:tc>
      </w:tr>
      <w:tr>
        <w:trPr>
          <w:trHeight w:val="389"/>
        </w:trPr>
        <w:tc>
          <w:tcPr>
            <w:tcW w:w="92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6660" w:type="dxa"/>
            <w:vAlign w:val="bottom"/>
          </w:tcPr>
          <w:p>
            <w:pPr>
              <w:ind w:left="100"/>
              <w:spacing w:after="0"/>
              <w:rPr>
                <w:sz w:val="20"/>
                <w:szCs w:val="20"/>
                <w:color w:val="auto"/>
              </w:rPr>
            </w:pPr>
            <w:r>
              <w:rPr>
                <w:rFonts w:ascii="Courier New" w:cs="Courier New" w:eastAsia="Courier New" w:hAnsi="Courier New"/>
                <w:sz w:val="17"/>
                <w:szCs w:val="17"/>
                <w:color w:val="auto"/>
              </w:rPr>
              <w:t>OTHER INFORMATION</w:t>
            </w:r>
          </w:p>
        </w:tc>
        <w:tc>
          <w:tcPr>
            <w:tcW w:w="420" w:type="dxa"/>
            <w:vAlign w:val="bottom"/>
          </w:tcPr>
          <w:p>
            <w:pPr>
              <w:spacing w:after="0"/>
              <w:rPr>
                <w:sz w:val="24"/>
                <w:szCs w:val="24"/>
                <w:color w:val="auto"/>
              </w:rPr>
            </w:pPr>
          </w:p>
        </w:tc>
      </w:tr>
      <w:tr>
        <w:trPr>
          <w:trHeight w:val="389"/>
        </w:trPr>
        <w:tc>
          <w:tcPr>
            <w:tcW w:w="92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6660" w:type="dxa"/>
            <w:vAlign w:val="bottom"/>
          </w:tcPr>
          <w:p>
            <w:pPr>
              <w:ind w:left="100"/>
              <w:spacing w:after="0"/>
              <w:rPr>
                <w:sz w:val="20"/>
                <w:szCs w:val="20"/>
                <w:color w:val="auto"/>
              </w:rPr>
            </w:pPr>
            <w:r>
              <w:rPr>
                <w:rFonts w:ascii="Courier New" w:cs="Courier New" w:eastAsia="Courier New" w:hAnsi="Courier New"/>
                <w:sz w:val="17"/>
                <w:szCs w:val="17"/>
                <w:color w:val="auto"/>
              </w:rPr>
              <w:t>Legal Proceedings.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r>
        <w:trPr>
          <w:trHeight w:val="389"/>
        </w:trPr>
        <w:tc>
          <w:tcPr>
            <w:tcW w:w="920" w:type="dxa"/>
            <w:vAlign w:val="bottom"/>
          </w:tcPr>
          <w:p>
            <w:pPr>
              <w:spacing w:after="0"/>
              <w:rPr>
                <w:sz w:val="20"/>
                <w:szCs w:val="20"/>
                <w:color w:val="auto"/>
              </w:rPr>
            </w:pPr>
            <w:r>
              <w:rPr>
                <w:rFonts w:ascii="Courier New" w:cs="Courier New" w:eastAsia="Courier New" w:hAnsi="Courier New"/>
                <w:sz w:val="17"/>
                <w:szCs w:val="17"/>
                <w:color w:val="auto"/>
              </w:rPr>
              <w:t>Item 6.</w:t>
            </w:r>
          </w:p>
        </w:tc>
        <w:tc>
          <w:tcPr>
            <w:tcW w:w="6660" w:type="dxa"/>
            <w:vAlign w:val="bottom"/>
          </w:tcPr>
          <w:p>
            <w:pPr>
              <w:ind w:left="100"/>
              <w:spacing w:after="0"/>
              <w:rPr>
                <w:sz w:val="20"/>
                <w:szCs w:val="20"/>
                <w:color w:val="auto"/>
              </w:rPr>
            </w:pPr>
            <w:r>
              <w:rPr>
                <w:rFonts w:ascii="Courier New" w:cs="Courier New" w:eastAsia="Courier New" w:hAnsi="Courier New"/>
                <w:sz w:val="17"/>
                <w:szCs w:val="17"/>
                <w:color w:val="auto"/>
              </w:rPr>
              <w:t>Exhibits and Reports on Form 8-K . . . . . . . . . . . . . . . .</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389"/>
        </w:trPr>
        <w:tc>
          <w:tcPr>
            <w:tcW w:w="92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Courier New" w:cs="Courier New" w:eastAsia="Courier New" w:hAnsi="Courier New"/>
                <w:sz w:val="17"/>
                <w:szCs w:val="17"/>
                <w:color w:val="auto"/>
              </w:rPr>
              <w:t>Exhibit Index.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389"/>
        </w:trPr>
        <w:tc>
          <w:tcPr>
            <w:tcW w:w="92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Courier New" w:cs="Courier New" w:eastAsia="Courier New" w:hAnsi="Courier New"/>
                <w:sz w:val="17"/>
                <w:szCs w:val="17"/>
                <w:color w:val="auto"/>
              </w:rPr>
              <w:t>Financial Data Schedule. . . . . . . . . . . . . . . . . . . . .</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778"/>
        </w:trPr>
        <w:tc>
          <w:tcPr>
            <w:tcW w:w="920" w:type="dxa"/>
            <w:vAlign w:val="bottom"/>
          </w:tcPr>
          <w:p>
            <w:pPr>
              <w:spacing w:after="0"/>
              <w:rPr>
                <w:sz w:val="24"/>
                <w:szCs w:val="24"/>
                <w:color w:val="auto"/>
              </w:rPr>
            </w:pPr>
          </w:p>
        </w:tc>
        <w:tc>
          <w:tcPr>
            <w:tcW w:w="6660" w:type="dxa"/>
            <w:vAlign w:val="bottom"/>
          </w:tcPr>
          <w:p>
            <w:pPr>
              <w:ind w:left="3340"/>
              <w:spacing w:after="0"/>
              <w:rPr>
                <w:sz w:val="20"/>
                <w:szCs w:val="20"/>
                <w:color w:val="auto"/>
              </w:rPr>
            </w:pPr>
            <w:r>
              <w:rPr>
                <w:rFonts w:ascii="Courier New" w:cs="Courier New" w:eastAsia="Courier New" w:hAnsi="Courier New"/>
                <w:sz w:val="17"/>
                <w:szCs w:val="17"/>
                <w:color w:val="auto"/>
              </w:rPr>
              <w:t>2</w:t>
            </w:r>
          </w:p>
        </w:tc>
        <w:tc>
          <w:tcPr>
            <w:tcW w:w="420" w:type="dxa"/>
            <w:vAlign w:val="bottom"/>
          </w:tcPr>
          <w:p>
            <w:pPr>
              <w:spacing w:after="0"/>
              <w:rPr>
                <w:sz w:val="24"/>
                <w:szCs w:val="24"/>
                <w:color w:val="auto"/>
              </w:rPr>
            </w:pPr>
          </w:p>
        </w:tc>
      </w:tr>
    </w:tbl>
    <w:p>
      <w:pPr>
        <w:sectPr>
          <w:pgSz w:w="11900" w:h="16838" w:orient="portrait"/>
          <w:cols w:equalWidth="0" w:num="1">
            <w:col w:w="10219"/>
          </w:cols>
          <w:pgMar w:left="240" w:top="697" w:right="1440" w:bottom="1440" w:gutter="0" w:footer="0" w:header="0"/>
        </w:sectPr>
      </w:pPr>
    </w:p>
    <w:bookmarkStart w:id="2" w:name="page3"/>
    <w:bookmarkEnd w:id="2"/>
    <w:p>
      <w:pPr>
        <w:ind w:left="2740"/>
        <w:spacing w:after="0"/>
        <w:tabs>
          <w:tab w:leader="none" w:pos="362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I.</w:t>
      </w:r>
      <w:r>
        <w:rPr>
          <w:sz w:val="20"/>
          <w:szCs w:val="20"/>
          <w:color w:val="auto"/>
        </w:rPr>
        <w:tab/>
      </w:r>
      <w:r>
        <w:rPr>
          <w:rFonts w:ascii="Courier New" w:cs="Courier New" w:eastAsia="Courier New" w:hAnsi="Courier New"/>
          <w:sz w:val="16"/>
          <w:szCs w:val="16"/>
          <w:color w:val="auto"/>
        </w:rPr>
        <w:t>FINANCIAL STATEMENTS</w:t>
      </w:r>
    </w:p>
    <w:p>
      <w:pPr>
        <w:spacing w:after="0" w:line="196"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color w:val="auto"/>
        </w:rPr>
        <w:t>HAWKINS CHEMICAL, INC. AND SUBSIDIARIES</w:t>
      </w:r>
    </w:p>
    <w:p>
      <w:pPr>
        <w:spacing w:after="0" w:line="2"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color w:val="auto"/>
        </w:rPr>
        <w:t>CONSOLIDATED CONDENSED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248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December 31, 1997</w:t>
            </w:r>
          </w:p>
        </w:tc>
        <w:tc>
          <w:tcPr>
            <w:tcW w:w="2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September 28, 1997</w:t>
            </w:r>
          </w:p>
        </w:tc>
      </w:tr>
      <w:tr>
        <w:trPr>
          <w:trHeight w:val="194"/>
        </w:trPr>
        <w:tc>
          <w:tcPr>
            <w:tcW w:w="6220" w:type="dxa"/>
            <w:vAlign w:val="bottom"/>
          </w:tcPr>
          <w:p>
            <w:pPr>
              <w:spacing w:after="0"/>
              <w:rPr>
                <w:sz w:val="16"/>
                <w:szCs w:val="16"/>
                <w:color w:val="auto"/>
              </w:rPr>
            </w:pPr>
          </w:p>
        </w:tc>
        <w:tc>
          <w:tcPr>
            <w:tcW w:w="24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2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220" w:type="dxa"/>
            <w:vAlign w:val="bottom"/>
          </w:tcPr>
          <w:p>
            <w:pPr>
              <w:jc w:val="right"/>
              <w:ind w:right="5416"/>
              <w:spacing w:after="0"/>
              <w:rPr>
                <w:sz w:val="20"/>
                <w:szCs w:val="20"/>
                <w:color w:val="auto"/>
              </w:rPr>
            </w:pPr>
            <w:r>
              <w:rPr>
                <w:rFonts w:ascii="Courier New" w:cs="Courier New" w:eastAsia="Courier New" w:hAnsi="Courier New"/>
                <w:sz w:val="17"/>
                <w:szCs w:val="17"/>
                <w:color w:val="auto"/>
              </w:rPr>
              <w:t>ASSETS</w:t>
            </w:r>
          </w:p>
        </w:tc>
        <w:tc>
          <w:tcPr>
            <w:tcW w:w="460" w:type="dxa"/>
            <w:vAlign w:val="bottom"/>
          </w:tcPr>
          <w:p>
            <w:pPr>
              <w:spacing w:after="0"/>
              <w:rPr>
                <w:sz w:val="16"/>
                <w:szCs w:val="16"/>
                <w:color w:val="auto"/>
              </w:rPr>
            </w:pPr>
          </w:p>
        </w:tc>
        <w:tc>
          <w:tcPr>
            <w:tcW w:w="2020" w:type="dxa"/>
            <w:vAlign w:val="bottom"/>
          </w:tcPr>
          <w:p>
            <w:pPr>
              <w:jc w:val="right"/>
              <w:ind w:right="816"/>
              <w:spacing w:after="0"/>
              <w:rPr>
                <w:sz w:val="20"/>
                <w:szCs w:val="20"/>
                <w:color w:val="auto"/>
              </w:rPr>
            </w:pPr>
            <w:r>
              <w:rPr>
                <w:rFonts w:ascii="Courier New" w:cs="Courier New" w:eastAsia="Courier New" w:hAnsi="Courier New"/>
                <w:sz w:val="17"/>
                <w:szCs w:val="17"/>
                <w:color w:val="auto"/>
                <w:w w:val="97"/>
              </w:rPr>
              <w:t>(Unaudited)</w:t>
            </w:r>
          </w:p>
        </w:tc>
        <w:tc>
          <w:tcPr>
            <w:tcW w:w="2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(Derived from audited</w:t>
            </w:r>
          </w:p>
        </w:tc>
      </w:tr>
      <w:tr>
        <w:trPr>
          <w:trHeight w:val="194"/>
        </w:trPr>
        <w:tc>
          <w:tcPr>
            <w:tcW w:w="6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financial statements)</w:t>
            </w:r>
          </w:p>
        </w:tc>
      </w:tr>
      <w:tr>
        <w:trPr>
          <w:trHeight w:val="389"/>
        </w:trPr>
        <w:tc>
          <w:tcPr>
            <w:tcW w:w="62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Cash and cash equivalents................................</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5,528,662</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8,065,021</w:t>
            </w:r>
          </w:p>
        </w:tc>
      </w:tr>
      <w:tr>
        <w:trPr>
          <w:trHeight w:val="194"/>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Investments available-for-sale...........................</w:t>
            </w:r>
          </w:p>
        </w:tc>
        <w:tc>
          <w:tcPr>
            <w:tcW w:w="460" w:type="dxa"/>
            <w:vAlign w:val="bottom"/>
          </w:tcPr>
          <w:p>
            <w:pPr>
              <w:spacing w:after="0"/>
              <w:rPr>
                <w:sz w:val="16"/>
                <w:szCs w:val="16"/>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w w:val="96"/>
              </w:rPr>
              <w:t>12,122,297</w:t>
            </w:r>
          </w:p>
        </w:tc>
        <w:tc>
          <w:tcPr>
            <w:tcW w:w="15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11,980,078</w:t>
            </w:r>
          </w:p>
        </w:tc>
      </w:tr>
      <w:tr>
        <w:trPr>
          <w:trHeight w:val="194"/>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Trade receivables-net....................................</w:t>
            </w:r>
          </w:p>
        </w:tc>
        <w:tc>
          <w:tcPr>
            <w:tcW w:w="460" w:type="dxa"/>
            <w:vAlign w:val="bottom"/>
          </w:tcPr>
          <w:p>
            <w:pPr>
              <w:spacing w:after="0"/>
              <w:rPr>
                <w:sz w:val="16"/>
                <w:szCs w:val="16"/>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w w:val="96"/>
              </w:rPr>
              <w:t>10,537,104</w:t>
            </w:r>
          </w:p>
        </w:tc>
        <w:tc>
          <w:tcPr>
            <w:tcW w:w="15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11,117,991</w:t>
            </w:r>
          </w:p>
        </w:tc>
      </w:tr>
      <w:tr>
        <w:trPr>
          <w:trHeight w:val="194"/>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Notes receivable.........................................</w:t>
            </w:r>
          </w:p>
        </w:tc>
        <w:tc>
          <w:tcPr>
            <w:tcW w:w="460" w:type="dxa"/>
            <w:vAlign w:val="bottom"/>
          </w:tcPr>
          <w:p>
            <w:pPr>
              <w:spacing w:after="0"/>
              <w:rPr>
                <w:sz w:val="16"/>
                <w:szCs w:val="16"/>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222,948</w:t>
            </w:r>
          </w:p>
        </w:tc>
        <w:tc>
          <w:tcPr>
            <w:tcW w:w="15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222,946</w:t>
            </w:r>
          </w:p>
        </w:tc>
      </w:tr>
      <w:tr>
        <w:trPr>
          <w:trHeight w:val="194"/>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Inventories..............................................</w:t>
            </w:r>
          </w:p>
        </w:tc>
        <w:tc>
          <w:tcPr>
            <w:tcW w:w="460" w:type="dxa"/>
            <w:vAlign w:val="bottom"/>
          </w:tcPr>
          <w:p>
            <w:pPr>
              <w:spacing w:after="0"/>
              <w:rPr>
                <w:sz w:val="16"/>
                <w:szCs w:val="16"/>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8,205,886</w:t>
            </w:r>
          </w:p>
        </w:tc>
        <w:tc>
          <w:tcPr>
            <w:tcW w:w="15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8,580,705</w:t>
            </w:r>
          </w:p>
        </w:tc>
      </w:tr>
      <w:tr>
        <w:trPr>
          <w:trHeight w:val="194"/>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Other current assets.....................................</w:t>
            </w:r>
          </w:p>
        </w:tc>
        <w:tc>
          <w:tcPr>
            <w:tcW w:w="460" w:type="dxa"/>
            <w:vAlign w:val="bottom"/>
          </w:tcPr>
          <w:p>
            <w:pPr>
              <w:spacing w:after="0"/>
              <w:rPr>
                <w:sz w:val="16"/>
                <w:szCs w:val="16"/>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2,338,712</w:t>
            </w:r>
          </w:p>
        </w:tc>
        <w:tc>
          <w:tcPr>
            <w:tcW w:w="15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1,912,325</w:t>
            </w:r>
          </w:p>
        </w:tc>
      </w:tr>
      <w:tr>
        <w:trPr>
          <w:trHeight w:val="194"/>
        </w:trPr>
        <w:tc>
          <w:tcPr>
            <w:tcW w:w="6220" w:type="dxa"/>
            <w:vAlign w:val="bottom"/>
          </w:tcPr>
          <w:p>
            <w:pPr>
              <w:spacing w:after="0"/>
              <w:rPr>
                <w:sz w:val="16"/>
                <w:szCs w:val="16"/>
                <w:color w:val="auto"/>
              </w:rPr>
            </w:pPr>
          </w:p>
        </w:tc>
        <w:tc>
          <w:tcPr>
            <w:tcW w:w="2480" w:type="dxa"/>
            <w:vAlign w:val="bottom"/>
            <w:gridSpan w:val="2"/>
          </w:tcPr>
          <w:p>
            <w:pPr>
              <w:jc w:val="right"/>
              <w:ind w:right="936"/>
              <w:spacing w:after="0"/>
              <w:rPr>
                <w:sz w:val="20"/>
                <w:szCs w:val="20"/>
                <w:color w:val="auto"/>
              </w:rPr>
            </w:pPr>
            <w:r>
              <w:rPr>
                <w:rFonts w:ascii="Courier New" w:cs="Courier New" w:eastAsia="Courier New" w:hAnsi="Courier New"/>
                <w:sz w:val="17"/>
                <w:szCs w:val="17"/>
                <w:color w:val="auto"/>
              </w:rPr>
              <w:t>------------</w:t>
            </w:r>
          </w:p>
        </w:tc>
        <w:tc>
          <w:tcPr>
            <w:tcW w:w="2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Total current assets.................................</w:t>
            </w:r>
          </w:p>
        </w:tc>
        <w:tc>
          <w:tcPr>
            <w:tcW w:w="460" w:type="dxa"/>
            <w:vAlign w:val="bottom"/>
          </w:tcPr>
          <w:p>
            <w:pPr>
              <w:spacing w:after="0"/>
              <w:rPr>
                <w:sz w:val="24"/>
                <w:szCs w:val="24"/>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w w:val="96"/>
              </w:rPr>
              <w:t>38,955,609</w:t>
            </w:r>
          </w:p>
        </w:tc>
        <w:tc>
          <w:tcPr>
            <w:tcW w:w="1560" w:type="dxa"/>
            <w:vAlign w:val="bottom"/>
          </w:tcPr>
          <w:p>
            <w:pPr>
              <w:spacing w:after="0"/>
              <w:rPr>
                <w:sz w:val="24"/>
                <w:szCs w:val="24"/>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41,879,066</w:t>
            </w:r>
          </w:p>
        </w:tc>
      </w:tr>
      <w:tr>
        <w:trPr>
          <w:trHeight w:val="389"/>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9"/>
              </w:rPr>
              <w:t>Property, plant and equipment-net..........................</w:t>
            </w:r>
          </w:p>
        </w:tc>
        <w:tc>
          <w:tcPr>
            <w:tcW w:w="460" w:type="dxa"/>
            <w:vAlign w:val="bottom"/>
          </w:tcPr>
          <w:p>
            <w:pPr>
              <w:spacing w:after="0"/>
              <w:rPr>
                <w:sz w:val="24"/>
                <w:szCs w:val="24"/>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w w:val="96"/>
              </w:rPr>
              <w:t>16,753,747</w:t>
            </w:r>
          </w:p>
        </w:tc>
        <w:tc>
          <w:tcPr>
            <w:tcW w:w="1560" w:type="dxa"/>
            <w:vAlign w:val="bottom"/>
          </w:tcPr>
          <w:p>
            <w:pPr>
              <w:spacing w:after="0"/>
              <w:rPr>
                <w:sz w:val="24"/>
                <w:szCs w:val="24"/>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15,487,545</w:t>
            </w:r>
          </w:p>
        </w:tc>
      </w:tr>
      <w:tr>
        <w:trPr>
          <w:trHeight w:val="194"/>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9"/>
              </w:rPr>
              <w:t>Notes receivable-non current...............................</w:t>
            </w:r>
          </w:p>
        </w:tc>
        <w:tc>
          <w:tcPr>
            <w:tcW w:w="460" w:type="dxa"/>
            <w:vAlign w:val="bottom"/>
          </w:tcPr>
          <w:p>
            <w:pPr>
              <w:spacing w:after="0"/>
              <w:rPr>
                <w:sz w:val="16"/>
                <w:szCs w:val="16"/>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3,611,942</w:t>
            </w:r>
          </w:p>
        </w:tc>
        <w:tc>
          <w:tcPr>
            <w:tcW w:w="15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3,639,712</w:t>
            </w:r>
          </w:p>
        </w:tc>
      </w:tr>
      <w:tr>
        <w:trPr>
          <w:trHeight w:val="194"/>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9"/>
              </w:rPr>
              <w:t>Other assets...............................................</w:t>
            </w:r>
          </w:p>
        </w:tc>
        <w:tc>
          <w:tcPr>
            <w:tcW w:w="460" w:type="dxa"/>
            <w:vAlign w:val="bottom"/>
          </w:tcPr>
          <w:p>
            <w:pPr>
              <w:spacing w:after="0"/>
              <w:rPr>
                <w:sz w:val="16"/>
                <w:szCs w:val="16"/>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2,642,185</w:t>
            </w:r>
          </w:p>
        </w:tc>
        <w:tc>
          <w:tcPr>
            <w:tcW w:w="15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2,646,293</w:t>
            </w:r>
          </w:p>
        </w:tc>
      </w:tr>
      <w:tr>
        <w:trPr>
          <w:trHeight w:val="194"/>
        </w:trPr>
        <w:tc>
          <w:tcPr>
            <w:tcW w:w="6220" w:type="dxa"/>
            <w:vAlign w:val="bottom"/>
          </w:tcPr>
          <w:p>
            <w:pPr>
              <w:spacing w:after="0"/>
              <w:rPr>
                <w:sz w:val="16"/>
                <w:szCs w:val="16"/>
                <w:color w:val="auto"/>
              </w:rPr>
            </w:pPr>
          </w:p>
        </w:tc>
        <w:tc>
          <w:tcPr>
            <w:tcW w:w="2480" w:type="dxa"/>
            <w:vAlign w:val="bottom"/>
            <w:gridSpan w:val="2"/>
          </w:tcPr>
          <w:p>
            <w:pPr>
              <w:jc w:val="right"/>
              <w:ind w:right="936"/>
              <w:spacing w:after="0"/>
              <w:rPr>
                <w:sz w:val="20"/>
                <w:szCs w:val="20"/>
                <w:color w:val="auto"/>
              </w:rPr>
            </w:pPr>
            <w:r>
              <w:rPr>
                <w:rFonts w:ascii="Courier New" w:cs="Courier New" w:eastAsia="Courier New" w:hAnsi="Courier New"/>
                <w:sz w:val="17"/>
                <w:szCs w:val="17"/>
                <w:color w:val="auto"/>
              </w:rPr>
              <w:t>------------</w:t>
            </w:r>
          </w:p>
        </w:tc>
        <w:tc>
          <w:tcPr>
            <w:tcW w:w="2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220" w:type="dxa"/>
            <w:vAlign w:val="bottom"/>
          </w:tcPr>
          <w:p>
            <w:pPr>
              <w:jc w:val="right"/>
              <w:ind w:right="5416"/>
              <w:spacing w:after="0"/>
              <w:rPr>
                <w:sz w:val="20"/>
                <w:szCs w:val="20"/>
                <w:color w:val="auto"/>
              </w:rPr>
            </w:pPr>
            <w:r>
              <w:rPr>
                <w:rFonts w:ascii="Courier New" w:cs="Courier New" w:eastAsia="Courier New" w:hAnsi="Courier New"/>
                <w:sz w:val="17"/>
                <w:szCs w:val="17"/>
                <w:color w:val="auto"/>
              </w:rPr>
              <w:t>Total</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w w:val="96"/>
              </w:rPr>
              <w:t>61,963,483</w:t>
            </w:r>
          </w:p>
        </w:tc>
        <w:tc>
          <w:tcPr>
            <w:tcW w:w="2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$ 63,652,616</w:t>
            </w:r>
          </w:p>
        </w:tc>
      </w:tr>
      <w:tr>
        <w:trPr>
          <w:trHeight w:val="194"/>
        </w:trPr>
        <w:tc>
          <w:tcPr>
            <w:tcW w:w="6220" w:type="dxa"/>
            <w:vAlign w:val="bottom"/>
          </w:tcPr>
          <w:p>
            <w:pPr>
              <w:spacing w:after="0"/>
              <w:rPr>
                <w:sz w:val="16"/>
                <w:szCs w:val="16"/>
                <w:color w:val="auto"/>
              </w:rPr>
            </w:pPr>
          </w:p>
        </w:tc>
        <w:tc>
          <w:tcPr>
            <w:tcW w:w="2480" w:type="dxa"/>
            <w:vAlign w:val="bottom"/>
            <w:gridSpan w:val="2"/>
          </w:tcPr>
          <w:p>
            <w:pPr>
              <w:jc w:val="right"/>
              <w:ind w:right="936"/>
              <w:spacing w:after="0"/>
              <w:rPr>
                <w:sz w:val="20"/>
                <w:szCs w:val="20"/>
                <w:color w:val="auto"/>
              </w:rPr>
            </w:pPr>
            <w:r>
              <w:rPr>
                <w:rFonts w:ascii="Courier New" w:cs="Courier New" w:eastAsia="Courier New" w:hAnsi="Courier New"/>
                <w:sz w:val="17"/>
                <w:szCs w:val="17"/>
                <w:color w:val="auto"/>
              </w:rPr>
              <w:t>------------</w:t>
            </w:r>
          </w:p>
        </w:tc>
        <w:tc>
          <w:tcPr>
            <w:tcW w:w="2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220" w:type="dxa"/>
            <w:vAlign w:val="bottom"/>
          </w:tcPr>
          <w:p>
            <w:pPr>
              <w:spacing w:after="0"/>
              <w:rPr>
                <w:sz w:val="16"/>
                <w:szCs w:val="16"/>
                <w:color w:val="auto"/>
              </w:rPr>
            </w:pPr>
          </w:p>
        </w:tc>
        <w:tc>
          <w:tcPr>
            <w:tcW w:w="2480" w:type="dxa"/>
            <w:vAlign w:val="bottom"/>
            <w:gridSpan w:val="2"/>
          </w:tcPr>
          <w:p>
            <w:pPr>
              <w:jc w:val="right"/>
              <w:ind w:right="936"/>
              <w:spacing w:after="0"/>
              <w:rPr>
                <w:sz w:val="20"/>
                <w:szCs w:val="20"/>
                <w:color w:val="auto"/>
              </w:rPr>
            </w:pPr>
            <w:r>
              <w:rPr>
                <w:rFonts w:ascii="Courier New" w:cs="Courier New" w:eastAsia="Courier New" w:hAnsi="Courier New"/>
                <w:sz w:val="17"/>
                <w:szCs w:val="17"/>
                <w:color w:val="auto"/>
              </w:rPr>
              <w:t>------------</w:t>
            </w:r>
          </w:p>
        </w:tc>
        <w:tc>
          <w:tcPr>
            <w:tcW w:w="2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22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9"/>
        </w:trPr>
        <w:tc>
          <w:tcPr>
            <w:tcW w:w="62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Accounts payable.........................................</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4,304,547</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5,729,584</w:t>
            </w:r>
          </w:p>
        </w:tc>
      </w:tr>
      <w:tr>
        <w:trPr>
          <w:trHeight w:val="194"/>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Current portion of long-term debt........................</w:t>
            </w:r>
          </w:p>
        </w:tc>
        <w:tc>
          <w:tcPr>
            <w:tcW w:w="460" w:type="dxa"/>
            <w:vAlign w:val="bottom"/>
          </w:tcPr>
          <w:p>
            <w:pPr>
              <w:spacing w:after="0"/>
              <w:rPr>
                <w:sz w:val="16"/>
                <w:szCs w:val="16"/>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89,123</w:t>
            </w:r>
          </w:p>
        </w:tc>
        <w:tc>
          <w:tcPr>
            <w:tcW w:w="15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59,928</w:t>
            </w:r>
          </w:p>
        </w:tc>
      </w:tr>
      <w:tr>
        <w:trPr>
          <w:trHeight w:val="194"/>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Dividends payable........................................</w:t>
            </w:r>
          </w:p>
        </w:tc>
        <w:tc>
          <w:tcPr>
            <w:tcW w:w="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1,044,351</w:t>
            </w:r>
          </w:p>
        </w:tc>
      </w:tr>
      <w:tr>
        <w:trPr>
          <w:trHeight w:val="194"/>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Other current liabilities................................</w:t>
            </w:r>
          </w:p>
        </w:tc>
        <w:tc>
          <w:tcPr>
            <w:tcW w:w="460" w:type="dxa"/>
            <w:vAlign w:val="bottom"/>
          </w:tcPr>
          <w:p>
            <w:pPr>
              <w:spacing w:after="0"/>
              <w:rPr>
                <w:sz w:val="16"/>
                <w:szCs w:val="16"/>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5,324,181</w:t>
            </w:r>
          </w:p>
        </w:tc>
        <w:tc>
          <w:tcPr>
            <w:tcW w:w="15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6,381,454</w:t>
            </w:r>
          </w:p>
        </w:tc>
      </w:tr>
      <w:tr>
        <w:trPr>
          <w:trHeight w:val="194"/>
        </w:trPr>
        <w:tc>
          <w:tcPr>
            <w:tcW w:w="6220" w:type="dxa"/>
            <w:vAlign w:val="bottom"/>
          </w:tcPr>
          <w:p>
            <w:pPr>
              <w:spacing w:after="0"/>
              <w:rPr>
                <w:sz w:val="16"/>
                <w:szCs w:val="16"/>
                <w:color w:val="auto"/>
              </w:rPr>
            </w:pPr>
          </w:p>
        </w:tc>
        <w:tc>
          <w:tcPr>
            <w:tcW w:w="2480" w:type="dxa"/>
            <w:vAlign w:val="bottom"/>
            <w:gridSpan w:val="2"/>
          </w:tcPr>
          <w:p>
            <w:pPr>
              <w:jc w:val="right"/>
              <w:ind w:right="936"/>
              <w:spacing w:after="0"/>
              <w:rPr>
                <w:sz w:val="20"/>
                <w:szCs w:val="20"/>
                <w:color w:val="auto"/>
              </w:rPr>
            </w:pPr>
            <w:r>
              <w:rPr>
                <w:rFonts w:ascii="Courier New" w:cs="Courier New" w:eastAsia="Courier New" w:hAnsi="Courier New"/>
                <w:sz w:val="17"/>
                <w:szCs w:val="17"/>
                <w:color w:val="auto"/>
              </w:rPr>
              <w:t>------------</w:t>
            </w:r>
          </w:p>
        </w:tc>
        <w:tc>
          <w:tcPr>
            <w:tcW w:w="2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Total current liabilities............................</w:t>
            </w:r>
          </w:p>
        </w:tc>
        <w:tc>
          <w:tcPr>
            <w:tcW w:w="460" w:type="dxa"/>
            <w:vAlign w:val="bottom"/>
          </w:tcPr>
          <w:p>
            <w:pPr>
              <w:spacing w:after="0"/>
              <w:rPr>
                <w:sz w:val="24"/>
                <w:szCs w:val="24"/>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9,717,851</w:t>
            </w:r>
          </w:p>
        </w:tc>
        <w:tc>
          <w:tcPr>
            <w:tcW w:w="1560" w:type="dxa"/>
            <w:vAlign w:val="bottom"/>
          </w:tcPr>
          <w:p>
            <w:pPr>
              <w:spacing w:after="0"/>
              <w:rPr>
                <w:sz w:val="24"/>
                <w:szCs w:val="24"/>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13,215,317</w:t>
            </w:r>
          </w:p>
        </w:tc>
      </w:tr>
      <w:tr>
        <w:trPr>
          <w:trHeight w:val="194"/>
        </w:trPr>
        <w:tc>
          <w:tcPr>
            <w:tcW w:w="6220" w:type="dxa"/>
            <w:vAlign w:val="bottom"/>
          </w:tcPr>
          <w:p>
            <w:pPr>
              <w:spacing w:after="0"/>
              <w:rPr>
                <w:sz w:val="16"/>
                <w:szCs w:val="16"/>
                <w:color w:val="auto"/>
              </w:rPr>
            </w:pPr>
          </w:p>
        </w:tc>
        <w:tc>
          <w:tcPr>
            <w:tcW w:w="2480" w:type="dxa"/>
            <w:vAlign w:val="bottom"/>
            <w:gridSpan w:val="2"/>
          </w:tcPr>
          <w:p>
            <w:pPr>
              <w:jc w:val="right"/>
              <w:ind w:right="936"/>
              <w:spacing w:after="0"/>
              <w:rPr>
                <w:sz w:val="20"/>
                <w:szCs w:val="20"/>
                <w:color w:val="auto"/>
              </w:rPr>
            </w:pPr>
            <w:r>
              <w:rPr>
                <w:rFonts w:ascii="Courier New" w:cs="Courier New" w:eastAsia="Courier New" w:hAnsi="Courier New"/>
                <w:sz w:val="17"/>
                <w:szCs w:val="17"/>
                <w:color w:val="auto"/>
              </w:rPr>
              <w:t>------------</w:t>
            </w:r>
          </w:p>
        </w:tc>
        <w:tc>
          <w:tcPr>
            <w:tcW w:w="2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9"/>
              </w:rPr>
              <w:t>Long-term debt.............................................</w:t>
            </w:r>
          </w:p>
        </w:tc>
        <w:tc>
          <w:tcPr>
            <w:tcW w:w="460" w:type="dxa"/>
            <w:vAlign w:val="bottom"/>
          </w:tcPr>
          <w:p>
            <w:pPr>
              <w:spacing w:after="0"/>
              <w:rPr>
                <w:sz w:val="24"/>
                <w:szCs w:val="24"/>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423,402</w:t>
            </w:r>
          </w:p>
        </w:tc>
        <w:tc>
          <w:tcPr>
            <w:tcW w:w="1560" w:type="dxa"/>
            <w:vAlign w:val="bottom"/>
          </w:tcPr>
          <w:p>
            <w:pPr>
              <w:spacing w:after="0"/>
              <w:rPr>
                <w:sz w:val="24"/>
                <w:szCs w:val="24"/>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512,525</w:t>
            </w:r>
          </w:p>
        </w:tc>
      </w:tr>
      <w:tr>
        <w:trPr>
          <w:trHeight w:val="194"/>
        </w:trPr>
        <w:tc>
          <w:tcPr>
            <w:tcW w:w="6220" w:type="dxa"/>
            <w:vAlign w:val="bottom"/>
          </w:tcPr>
          <w:p>
            <w:pPr>
              <w:spacing w:after="0"/>
              <w:rPr>
                <w:sz w:val="16"/>
                <w:szCs w:val="16"/>
                <w:color w:val="auto"/>
              </w:rPr>
            </w:pPr>
          </w:p>
        </w:tc>
        <w:tc>
          <w:tcPr>
            <w:tcW w:w="2480" w:type="dxa"/>
            <w:vAlign w:val="bottom"/>
            <w:gridSpan w:val="2"/>
          </w:tcPr>
          <w:p>
            <w:pPr>
              <w:jc w:val="right"/>
              <w:ind w:right="936"/>
              <w:spacing w:after="0"/>
              <w:rPr>
                <w:sz w:val="20"/>
                <w:szCs w:val="20"/>
                <w:color w:val="auto"/>
              </w:rPr>
            </w:pPr>
            <w:r>
              <w:rPr>
                <w:rFonts w:ascii="Courier New" w:cs="Courier New" w:eastAsia="Courier New" w:hAnsi="Courier New"/>
                <w:sz w:val="17"/>
                <w:szCs w:val="17"/>
                <w:color w:val="auto"/>
              </w:rPr>
              <w:t>------------</w:t>
            </w:r>
          </w:p>
        </w:tc>
        <w:tc>
          <w:tcPr>
            <w:tcW w:w="2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9"/>
              </w:rPr>
              <w:t>Deferred income taxes......................................</w:t>
            </w:r>
          </w:p>
        </w:tc>
        <w:tc>
          <w:tcPr>
            <w:tcW w:w="460" w:type="dxa"/>
            <w:vAlign w:val="bottom"/>
          </w:tcPr>
          <w:p>
            <w:pPr>
              <w:spacing w:after="0"/>
              <w:rPr>
                <w:sz w:val="24"/>
                <w:szCs w:val="24"/>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983,000</w:t>
            </w:r>
          </w:p>
        </w:tc>
        <w:tc>
          <w:tcPr>
            <w:tcW w:w="1560" w:type="dxa"/>
            <w:vAlign w:val="bottom"/>
          </w:tcPr>
          <w:p>
            <w:pPr>
              <w:spacing w:after="0"/>
              <w:rPr>
                <w:sz w:val="24"/>
                <w:szCs w:val="24"/>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983,000</w:t>
            </w:r>
          </w:p>
        </w:tc>
      </w:tr>
      <w:tr>
        <w:trPr>
          <w:trHeight w:val="194"/>
        </w:trPr>
        <w:tc>
          <w:tcPr>
            <w:tcW w:w="6220" w:type="dxa"/>
            <w:vAlign w:val="bottom"/>
          </w:tcPr>
          <w:p>
            <w:pPr>
              <w:spacing w:after="0"/>
              <w:rPr>
                <w:sz w:val="16"/>
                <w:szCs w:val="16"/>
                <w:color w:val="auto"/>
              </w:rPr>
            </w:pPr>
          </w:p>
        </w:tc>
        <w:tc>
          <w:tcPr>
            <w:tcW w:w="2480" w:type="dxa"/>
            <w:vAlign w:val="bottom"/>
            <w:gridSpan w:val="2"/>
          </w:tcPr>
          <w:p>
            <w:pPr>
              <w:jc w:val="right"/>
              <w:ind w:right="936"/>
              <w:spacing w:after="0"/>
              <w:rPr>
                <w:sz w:val="20"/>
                <w:szCs w:val="20"/>
                <w:color w:val="auto"/>
              </w:rPr>
            </w:pPr>
            <w:r>
              <w:rPr>
                <w:rFonts w:ascii="Courier New" w:cs="Courier New" w:eastAsia="Courier New" w:hAnsi="Courier New"/>
                <w:sz w:val="17"/>
                <w:szCs w:val="17"/>
                <w:color w:val="auto"/>
              </w:rPr>
              <w:t>------------</w:t>
            </w:r>
          </w:p>
        </w:tc>
        <w:tc>
          <w:tcPr>
            <w:tcW w:w="2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9"/>
              </w:rPr>
              <w:t>Commitments and contingencies..............................</w:t>
            </w: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6220" w:type="dxa"/>
            <w:vAlign w:val="bottom"/>
          </w:tcPr>
          <w:p>
            <w:pPr>
              <w:spacing w:after="0"/>
              <w:rPr>
                <w:sz w:val="16"/>
                <w:szCs w:val="16"/>
                <w:color w:val="auto"/>
              </w:rPr>
            </w:pPr>
          </w:p>
        </w:tc>
        <w:tc>
          <w:tcPr>
            <w:tcW w:w="2480" w:type="dxa"/>
            <w:vAlign w:val="bottom"/>
            <w:gridSpan w:val="2"/>
          </w:tcPr>
          <w:p>
            <w:pPr>
              <w:jc w:val="right"/>
              <w:ind w:right="936"/>
              <w:spacing w:after="0"/>
              <w:rPr>
                <w:sz w:val="20"/>
                <w:szCs w:val="20"/>
                <w:color w:val="auto"/>
              </w:rPr>
            </w:pPr>
            <w:r>
              <w:rPr>
                <w:rFonts w:ascii="Courier New" w:cs="Courier New" w:eastAsia="Courier New" w:hAnsi="Courier New"/>
                <w:sz w:val="17"/>
                <w:szCs w:val="17"/>
                <w:color w:val="auto"/>
              </w:rPr>
              <w:t>------------</w:t>
            </w:r>
          </w:p>
        </w:tc>
        <w:tc>
          <w:tcPr>
            <w:tcW w:w="2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22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6220" w:type="dxa"/>
            <w:vAlign w:val="bottom"/>
          </w:tcPr>
          <w:p>
            <w:pPr>
              <w:jc w:val="right"/>
              <w:ind w:right="1276"/>
              <w:spacing w:after="0"/>
              <w:rPr>
                <w:sz w:val="20"/>
                <w:szCs w:val="20"/>
                <w:color w:val="auto"/>
              </w:rPr>
            </w:pPr>
            <w:r>
              <w:rPr>
                <w:rFonts w:ascii="Courier New" w:cs="Courier New" w:eastAsia="Courier New" w:hAnsi="Courier New"/>
                <w:sz w:val="17"/>
                <w:szCs w:val="17"/>
                <w:color w:val="auto"/>
              </w:rPr>
              <w:t>Common stock, par value $.05 per share; issued</w:t>
            </w:r>
          </w:p>
        </w:tc>
        <w:tc>
          <w:tcPr>
            <w:tcW w:w="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and outstanding, 11,603,895 shares at both dates.......</w:t>
            </w:r>
          </w:p>
        </w:tc>
        <w:tc>
          <w:tcPr>
            <w:tcW w:w="460" w:type="dxa"/>
            <w:vAlign w:val="bottom"/>
          </w:tcPr>
          <w:p>
            <w:pPr>
              <w:spacing w:after="0"/>
              <w:rPr>
                <w:sz w:val="16"/>
                <w:szCs w:val="16"/>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580,195</w:t>
            </w:r>
          </w:p>
        </w:tc>
        <w:tc>
          <w:tcPr>
            <w:tcW w:w="15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580,195</w:t>
            </w:r>
          </w:p>
        </w:tc>
      </w:tr>
      <w:tr>
        <w:trPr>
          <w:trHeight w:val="194"/>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Additional paid-in capital...............................</w:t>
            </w:r>
          </w:p>
        </w:tc>
        <w:tc>
          <w:tcPr>
            <w:tcW w:w="460" w:type="dxa"/>
            <w:vAlign w:val="bottom"/>
          </w:tcPr>
          <w:p>
            <w:pPr>
              <w:spacing w:after="0"/>
              <w:rPr>
                <w:sz w:val="16"/>
                <w:szCs w:val="16"/>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w w:val="96"/>
              </w:rPr>
              <w:t>42,517,455</w:t>
            </w:r>
          </w:p>
        </w:tc>
        <w:tc>
          <w:tcPr>
            <w:tcW w:w="15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42,517,455</w:t>
            </w:r>
          </w:p>
        </w:tc>
      </w:tr>
      <w:tr>
        <w:trPr>
          <w:trHeight w:val="194"/>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Retained earnings........................................</w:t>
            </w:r>
          </w:p>
        </w:tc>
        <w:tc>
          <w:tcPr>
            <w:tcW w:w="460" w:type="dxa"/>
            <w:vAlign w:val="bottom"/>
          </w:tcPr>
          <w:p>
            <w:pPr>
              <w:spacing w:after="0"/>
              <w:rPr>
                <w:sz w:val="16"/>
                <w:szCs w:val="16"/>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7,741,580</w:t>
            </w:r>
          </w:p>
        </w:tc>
        <w:tc>
          <w:tcPr>
            <w:tcW w:w="156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5,844,124</w:t>
            </w:r>
          </w:p>
        </w:tc>
      </w:tr>
      <w:tr>
        <w:trPr>
          <w:trHeight w:val="194"/>
        </w:trPr>
        <w:tc>
          <w:tcPr>
            <w:tcW w:w="6220" w:type="dxa"/>
            <w:vAlign w:val="bottom"/>
          </w:tcPr>
          <w:p>
            <w:pPr>
              <w:spacing w:after="0"/>
              <w:rPr>
                <w:sz w:val="16"/>
                <w:szCs w:val="16"/>
                <w:color w:val="auto"/>
              </w:rPr>
            </w:pPr>
          </w:p>
        </w:tc>
        <w:tc>
          <w:tcPr>
            <w:tcW w:w="2480" w:type="dxa"/>
            <w:vAlign w:val="bottom"/>
            <w:gridSpan w:val="2"/>
          </w:tcPr>
          <w:p>
            <w:pPr>
              <w:jc w:val="right"/>
              <w:ind w:right="936"/>
              <w:spacing w:after="0"/>
              <w:rPr>
                <w:sz w:val="20"/>
                <w:szCs w:val="20"/>
                <w:color w:val="auto"/>
              </w:rPr>
            </w:pPr>
            <w:r>
              <w:rPr>
                <w:rFonts w:ascii="Courier New" w:cs="Courier New" w:eastAsia="Courier New" w:hAnsi="Courier New"/>
                <w:sz w:val="17"/>
                <w:szCs w:val="17"/>
                <w:color w:val="auto"/>
              </w:rPr>
              <w:t>------------</w:t>
            </w:r>
          </w:p>
        </w:tc>
        <w:tc>
          <w:tcPr>
            <w:tcW w:w="2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2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Total shareholders' equity...........................</w:t>
            </w:r>
          </w:p>
        </w:tc>
        <w:tc>
          <w:tcPr>
            <w:tcW w:w="460" w:type="dxa"/>
            <w:vAlign w:val="bottom"/>
          </w:tcPr>
          <w:p>
            <w:pPr>
              <w:spacing w:after="0"/>
              <w:rPr>
                <w:sz w:val="24"/>
                <w:szCs w:val="24"/>
                <w:color w:val="auto"/>
              </w:rPr>
            </w:pP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w w:val="96"/>
              </w:rPr>
              <w:t>50,839,230</w:t>
            </w:r>
          </w:p>
        </w:tc>
        <w:tc>
          <w:tcPr>
            <w:tcW w:w="1560" w:type="dxa"/>
            <w:vAlign w:val="bottom"/>
          </w:tcPr>
          <w:p>
            <w:pPr>
              <w:spacing w:after="0"/>
              <w:rPr>
                <w:sz w:val="24"/>
                <w:szCs w:val="24"/>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48,941,774</w:t>
            </w:r>
          </w:p>
        </w:tc>
      </w:tr>
      <w:tr>
        <w:trPr>
          <w:trHeight w:val="194"/>
        </w:trPr>
        <w:tc>
          <w:tcPr>
            <w:tcW w:w="6220" w:type="dxa"/>
            <w:vAlign w:val="bottom"/>
          </w:tcPr>
          <w:p>
            <w:pPr>
              <w:spacing w:after="0"/>
              <w:rPr>
                <w:sz w:val="16"/>
                <w:szCs w:val="16"/>
                <w:color w:val="auto"/>
              </w:rPr>
            </w:pPr>
          </w:p>
        </w:tc>
        <w:tc>
          <w:tcPr>
            <w:tcW w:w="2480" w:type="dxa"/>
            <w:vAlign w:val="bottom"/>
            <w:gridSpan w:val="2"/>
          </w:tcPr>
          <w:p>
            <w:pPr>
              <w:jc w:val="right"/>
              <w:ind w:right="936"/>
              <w:spacing w:after="0"/>
              <w:rPr>
                <w:sz w:val="20"/>
                <w:szCs w:val="20"/>
                <w:color w:val="auto"/>
              </w:rPr>
            </w:pPr>
            <w:r>
              <w:rPr>
                <w:rFonts w:ascii="Courier New" w:cs="Courier New" w:eastAsia="Courier New" w:hAnsi="Courier New"/>
                <w:sz w:val="17"/>
                <w:szCs w:val="17"/>
                <w:color w:val="auto"/>
              </w:rPr>
              <w:t>------------</w:t>
            </w:r>
          </w:p>
        </w:tc>
        <w:tc>
          <w:tcPr>
            <w:tcW w:w="2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220" w:type="dxa"/>
            <w:vAlign w:val="bottom"/>
          </w:tcPr>
          <w:p>
            <w:pPr>
              <w:jc w:val="right"/>
              <w:ind w:right="5016"/>
              <w:spacing w:after="0"/>
              <w:rPr>
                <w:sz w:val="20"/>
                <w:szCs w:val="20"/>
                <w:color w:val="auto"/>
              </w:rPr>
            </w:pPr>
            <w:r>
              <w:rPr>
                <w:rFonts w:ascii="Courier New" w:cs="Courier New" w:eastAsia="Courier New" w:hAnsi="Courier New"/>
                <w:sz w:val="17"/>
                <w:szCs w:val="17"/>
                <w:color w:val="auto"/>
              </w:rPr>
              <w:t>Total</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936"/>
              <w:spacing w:after="0"/>
              <w:rPr>
                <w:sz w:val="20"/>
                <w:szCs w:val="20"/>
                <w:color w:val="auto"/>
              </w:rPr>
            </w:pPr>
            <w:r>
              <w:rPr>
                <w:rFonts w:ascii="Courier New" w:cs="Courier New" w:eastAsia="Courier New" w:hAnsi="Courier New"/>
                <w:sz w:val="17"/>
                <w:szCs w:val="17"/>
                <w:color w:val="auto"/>
                <w:w w:val="96"/>
              </w:rPr>
              <w:t>61,963,483</w:t>
            </w:r>
          </w:p>
        </w:tc>
        <w:tc>
          <w:tcPr>
            <w:tcW w:w="2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$ 63,652,616</w:t>
            </w:r>
          </w:p>
        </w:tc>
      </w:tr>
      <w:tr>
        <w:trPr>
          <w:trHeight w:val="194"/>
        </w:trPr>
        <w:tc>
          <w:tcPr>
            <w:tcW w:w="6220" w:type="dxa"/>
            <w:vAlign w:val="bottom"/>
          </w:tcPr>
          <w:p>
            <w:pPr>
              <w:spacing w:after="0"/>
              <w:rPr>
                <w:sz w:val="16"/>
                <w:szCs w:val="16"/>
                <w:color w:val="auto"/>
              </w:rPr>
            </w:pPr>
          </w:p>
        </w:tc>
        <w:tc>
          <w:tcPr>
            <w:tcW w:w="2480" w:type="dxa"/>
            <w:vAlign w:val="bottom"/>
            <w:gridSpan w:val="2"/>
          </w:tcPr>
          <w:p>
            <w:pPr>
              <w:jc w:val="right"/>
              <w:ind w:right="936"/>
              <w:spacing w:after="0"/>
              <w:rPr>
                <w:sz w:val="20"/>
                <w:szCs w:val="20"/>
                <w:color w:val="auto"/>
              </w:rPr>
            </w:pPr>
            <w:r>
              <w:rPr>
                <w:rFonts w:ascii="Courier New" w:cs="Courier New" w:eastAsia="Courier New" w:hAnsi="Courier New"/>
                <w:sz w:val="17"/>
                <w:szCs w:val="17"/>
                <w:color w:val="auto"/>
              </w:rPr>
              <w:t>------------</w:t>
            </w:r>
          </w:p>
        </w:tc>
        <w:tc>
          <w:tcPr>
            <w:tcW w:w="2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220" w:type="dxa"/>
            <w:vAlign w:val="bottom"/>
          </w:tcPr>
          <w:p>
            <w:pPr>
              <w:spacing w:after="0"/>
              <w:rPr>
                <w:sz w:val="16"/>
                <w:szCs w:val="16"/>
                <w:color w:val="auto"/>
              </w:rPr>
            </w:pPr>
          </w:p>
        </w:tc>
        <w:tc>
          <w:tcPr>
            <w:tcW w:w="2480" w:type="dxa"/>
            <w:vAlign w:val="bottom"/>
            <w:gridSpan w:val="2"/>
          </w:tcPr>
          <w:p>
            <w:pPr>
              <w:jc w:val="right"/>
              <w:ind w:right="936"/>
              <w:spacing w:after="0"/>
              <w:rPr>
                <w:sz w:val="20"/>
                <w:szCs w:val="20"/>
                <w:color w:val="auto"/>
              </w:rPr>
            </w:pPr>
            <w:r>
              <w:rPr>
                <w:rFonts w:ascii="Courier New" w:cs="Courier New" w:eastAsia="Courier New" w:hAnsi="Courier New"/>
                <w:sz w:val="17"/>
                <w:szCs w:val="17"/>
                <w:color w:val="auto"/>
              </w:rPr>
              <w:t>------------</w:t>
            </w:r>
          </w:p>
        </w:tc>
        <w:tc>
          <w:tcPr>
            <w:tcW w:w="2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See accompanying Notes to Consolidated Condensed Financial Statements.</w:t>
      </w:r>
    </w:p>
    <w:p>
      <w:pPr>
        <w:spacing w:after="0" w:line="391"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520"/>
          </w:cols>
          <w:pgMar w:left="240" w:top="697" w:right="139" w:bottom="606" w:gutter="0" w:footer="0" w:header="0"/>
        </w:sectPr>
      </w:pPr>
    </w:p>
    <w:bookmarkStart w:id="3" w:name="page4"/>
    <w:bookmarkEnd w:id="3"/>
    <w:p>
      <w:pPr>
        <w:jc w:val="center"/>
        <w:ind w:right="1720"/>
        <w:spacing w:after="0"/>
        <w:rPr>
          <w:sz w:val="20"/>
          <w:szCs w:val="20"/>
          <w:color w:val="auto"/>
        </w:rPr>
      </w:pPr>
      <w:r>
        <w:rPr>
          <w:rFonts w:ascii="Courier New" w:cs="Courier New" w:eastAsia="Courier New" w:hAnsi="Courier New"/>
          <w:sz w:val="17"/>
          <w:szCs w:val="17"/>
          <w:color w:val="auto"/>
        </w:rPr>
        <w:t>HAWKINS CHEMICAL, INC. AND SUBSIDIARIES</w:t>
      </w:r>
    </w:p>
    <w:p>
      <w:pPr>
        <w:spacing w:after="0" w:line="2" w:lineRule="exact"/>
        <w:rPr>
          <w:sz w:val="20"/>
          <w:szCs w:val="20"/>
          <w:color w:val="auto"/>
        </w:rPr>
      </w:pPr>
    </w:p>
    <w:p>
      <w:pPr>
        <w:jc w:val="center"/>
        <w:ind w:right="1720"/>
        <w:spacing w:after="0"/>
        <w:rPr>
          <w:sz w:val="20"/>
          <w:szCs w:val="20"/>
          <w:color w:val="auto"/>
        </w:rPr>
      </w:pPr>
      <w:r>
        <w:rPr>
          <w:rFonts w:ascii="Courier New" w:cs="Courier New" w:eastAsia="Courier New" w:hAnsi="Courier New"/>
          <w:sz w:val="17"/>
          <w:szCs w:val="17"/>
          <w:color w:val="auto"/>
        </w:rPr>
        <w:t>CONSOLIDATED CONDENSED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80" w:type="dxa"/>
            <w:vAlign w:val="bottom"/>
          </w:tcPr>
          <w:p>
            <w:pPr>
              <w:spacing w:after="0"/>
              <w:rPr>
                <w:sz w:val="16"/>
                <w:szCs w:val="16"/>
                <w:color w:val="auto"/>
              </w:rPr>
            </w:pPr>
          </w:p>
        </w:tc>
        <w:tc>
          <w:tcPr>
            <w:tcW w:w="3940" w:type="dxa"/>
            <w:vAlign w:val="bottom"/>
            <w:gridSpan w:val="2"/>
          </w:tcPr>
          <w:p>
            <w:pPr>
              <w:jc w:val="right"/>
              <w:ind w:right="1036"/>
              <w:spacing w:after="0"/>
              <w:rPr>
                <w:sz w:val="20"/>
                <w:szCs w:val="20"/>
                <w:color w:val="auto"/>
              </w:rPr>
            </w:pPr>
            <w:r>
              <w:rPr>
                <w:rFonts w:ascii="Courier New" w:cs="Courier New" w:eastAsia="Courier New" w:hAnsi="Courier New"/>
                <w:sz w:val="17"/>
                <w:szCs w:val="17"/>
                <w:color w:val="auto"/>
              </w:rPr>
              <w:t>(Unaudited)</w:t>
            </w:r>
          </w:p>
        </w:tc>
      </w:tr>
      <w:tr>
        <w:trPr>
          <w:trHeight w:val="194"/>
        </w:trPr>
        <w:tc>
          <w:tcPr>
            <w:tcW w:w="6180" w:type="dxa"/>
            <w:vAlign w:val="bottom"/>
          </w:tcPr>
          <w:p>
            <w:pPr>
              <w:spacing w:after="0"/>
              <w:rPr>
                <w:sz w:val="16"/>
                <w:szCs w:val="16"/>
                <w:color w:val="auto"/>
              </w:rPr>
            </w:pPr>
          </w:p>
        </w:tc>
        <w:tc>
          <w:tcPr>
            <w:tcW w:w="3940" w:type="dxa"/>
            <w:vAlign w:val="bottom"/>
            <w:gridSpan w:val="2"/>
          </w:tcPr>
          <w:p>
            <w:pPr>
              <w:jc w:val="right"/>
              <w:ind w:right="636"/>
              <w:spacing w:after="0"/>
              <w:rPr>
                <w:sz w:val="20"/>
                <w:szCs w:val="20"/>
                <w:color w:val="auto"/>
              </w:rPr>
            </w:pPr>
            <w:r>
              <w:rPr>
                <w:rFonts w:ascii="Courier New" w:cs="Courier New" w:eastAsia="Courier New" w:hAnsi="Courier New"/>
                <w:sz w:val="17"/>
                <w:szCs w:val="17"/>
                <w:color w:val="auto"/>
              </w:rPr>
              <w:t>Three Months Ended</w:t>
            </w:r>
          </w:p>
        </w:tc>
      </w:tr>
      <w:tr>
        <w:trPr>
          <w:trHeight w:val="194"/>
        </w:trPr>
        <w:tc>
          <w:tcPr>
            <w:tcW w:w="6180" w:type="dxa"/>
            <w:vAlign w:val="bottom"/>
          </w:tcPr>
          <w:p>
            <w:pPr>
              <w:spacing w:after="0"/>
              <w:rPr>
                <w:sz w:val="16"/>
                <w:szCs w:val="16"/>
                <w:color w:val="auto"/>
              </w:rPr>
            </w:pPr>
          </w:p>
        </w:tc>
        <w:tc>
          <w:tcPr>
            <w:tcW w:w="3940" w:type="dxa"/>
            <w:vAlign w:val="bottom"/>
            <w:gridSpan w:val="2"/>
          </w:tcPr>
          <w:p>
            <w:pPr>
              <w:jc w:val="right"/>
              <w:ind w:right="1036"/>
              <w:spacing w:after="0"/>
              <w:rPr>
                <w:sz w:val="20"/>
                <w:szCs w:val="20"/>
                <w:color w:val="auto"/>
              </w:rPr>
            </w:pPr>
            <w:r>
              <w:rPr>
                <w:rFonts w:ascii="Courier New" w:cs="Courier New" w:eastAsia="Courier New" w:hAnsi="Courier New"/>
                <w:sz w:val="17"/>
                <w:szCs w:val="17"/>
                <w:color w:val="auto"/>
              </w:rPr>
              <w:t>December 31</w:t>
            </w:r>
          </w:p>
        </w:tc>
      </w:tr>
      <w:tr>
        <w:trPr>
          <w:trHeight w:val="194"/>
        </w:trPr>
        <w:tc>
          <w:tcPr>
            <w:tcW w:w="6180" w:type="dxa"/>
            <w:vAlign w:val="bottom"/>
          </w:tcPr>
          <w:p>
            <w:pPr>
              <w:spacing w:after="0"/>
              <w:rPr>
                <w:sz w:val="16"/>
                <w:szCs w:val="16"/>
                <w:color w:val="auto"/>
              </w:rPr>
            </w:pPr>
          </w:p>
        </w:tc>
        <w:tc>
          <w:tcPr>
            <w:tcW w:w="242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1997</w:t>
            </w:r>
          </w:p>
        </w:tc>
        <w:tc>
          <w:tcPr>
            <w:tcW w:w="15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1996</w:t>
            </w:r>
          </w:p>
        </w:tc>
      </w:tr>
      <w:tr>
        <w:trPr>
          <w:trHeight w:val="194"/>
        </w:trPr>
        <w:tc>
          <w:tcPr>
            <w:tcW w:w="6180" w:type="dxa"/>
            <w:vAlign w:val="bottom"/>
          </w:tcPr>
          <w:p>
            <w:pPr>
              <w:spacing w:after="0"/>
              <w:rPr>
                <w:sz w:val="16"/>
                <w:szCs w:val="16"/>
                <w:color w:val="auto"/>
              </w:rPr>
            </w:pPr>
          </w:p>
        </w:tc>
        <w:tc>
          <w:tcPr>
            <w:tcW w:w="242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8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$22,666,870</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$19,936,058</w:t>
            </w:r>
          </w:p>
        </w:tc>
      </w:tr>
      <w:tr>
        <w:trPr>
          <w:trHeight w:val="194"/>
        </w:trPr>
        <w:tc>
          <w:tcPr>
            <w:tcW w:w="6180" w:type="dxa"/>
            <w:vAlign w:val="bottom"/>
          </w:tcPr>
          <w:p>
            <w:pPr>
              <w:spacing w:after="0"/>
              <w:rPr>
                <w:sz w:val="16"/>
                <w:szCs w:val="16"/>
                <w:color w:val="auto"/>
              </w:rPr>
            </w:pP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8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2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4"/>
        </w:trPr>
        <w:tc>
          <w:tcPr>
            <w:tcW w:w="6180" w:type="dxa"/>
            <w:vAlign w:val="bottom"/>
          </w:tcPr>
          <w:p>
            <w:pPr>
              <w:ind w:left="300"/>
              <w:spacing w:after="0"/>
              <w:rPr>
                <w:sz w:val="20"/>
                <w:szCs w:val="20"/>
                <w:color w:val="auto"/>
              </w:rPr>
            </w:pPr>
            <w:r>
              <w:rPr>
                <w:rFonts w:ascii="Courier New" w:cs="Courier New" w:eastAsia="Courier New" w:hAnsi="Courier New"/>
                <w:sz w:val="17"/>
                <w:szCs w:val="17"/>
                <w:color w:val="auto"/>
              </w:rPr>
              <w:t>Cost of sales</w:t>
            </w: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17,551,158</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15,771,082</w:t>
            </w:r>
          </w:p>
        </w:tc>
      </w:tr>
      <w:tr>
        <w:trPr>
          <w:trHeight w:val="194"/>
        </w:trPr>
        <w:tc>
          <w:tcPr>
            <w:tcW w:w="6180" w:type="dxa"/>
            <w:vAlign w:val="bottom"/>
          </w:tcPr>
          <w:p>
            <w:pPr>
              <w:ind w:left="300"/>
              <w:spacing w:after="0"/>
              <w:rPr>
                <w:sz w:val="20"/>
                <w:szCs w:val="20"/>
                <w:color w:val="auto"/>
              </w:rPr>
            </w:pPr>
            <w:r>
              <w:rPr>
                <w:rFonts w:ascii="Courier New" w:cs="Courier New" w:eastAsia="Courier New" w:hAnsi="Courier New"/>
                <w:sz w:val="17"/>
                <w:szCs w:val="17"/>
                <w:color w:val="auto"/>
              </w:rPr>
              <w:t>Selling, general and administrative</w:t>
            </w: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2,354,073</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2,112,200</w:t>
            </w:r>
          </w:p>
        </w:tc>
      </w:tr>
      <w:tr>
        <w:trPr>
          <w:trHeight w:val="194"/>
        </w:trPr>
        <w:tc>
          <w:tcPr>
            <w:tcW w:w="6180" w:type="dxa"/>
            <w:vAlign w:val="bottom"/>
          </w:tcPr>
          <w:p>
            <w:pPr>
              <w:spacing w:after="0"/>
              <w:rPr>
                <w:sz w:val="16"/>
                <w:szCs w:val="16"/>
                <w:color w:val="auto"/>
              </w:rPr>
            </w:pP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80" w:type="dxa"/>
            <w:vAlign w:val="bottom"/>
          </w:tcPr>
          <w:p>
            <w:pPr>
              <w:spacing w:after="0"/>
              <w:rPr>
                <w:sz w:val="20"/>
                <w:szCs w:val="20"/>
                <w:color w:val="auto"/>
              </w:rPr>
            </w:pPr>
            <w:r>
              <w:rPr>
                <w:rFonts w:ascii="Courier New" w:cs="Courier New" w:eastAsia="Courier New" w:hAnsi="Courier New"/>
                <w:sz w:val="17"/>
                <w:szCs w:val="17"/>
                <w:color w:val="auto"/>
              </w:rPr>
              <w:t>Total costs and expenses</w:t>
            </w: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19,905,231</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17,883,282</w:t>
            </w:r>
          </w:p>
        </w:tc>
      </w:tr>
      <w:tr>
        <w:trPr>
          <w:trHeight w:val="194"/>
        </w:trPr>
        <w:tc>
          <w:tcPr>
            <w:tcW w:w="6180" w:type="dxa"/>
            <w:vAlign w:val="bottom"/>
          </w:tcPr>
          <w:p>
            <w:pPr>
              <w:spacing w:after="0"/>
              <w:rPr>
                <w:sz w:val="16"/>
                <w:szCs w:val="16"/>
                <w:color w:val="auto"/>
              </w:rPr>
            </w:pP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8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2,761,639</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2,052,776</w:t>
            </w:r>
          </w:p>
        </w:tc>
      </w:tr>
      <w:tr>
        <w:trPr>
          <w:trHeight w:val="194"/>
        </w:trPr>
        <w:tc>
          <w:tcPr>
            <w:tcW w:w="6180" w:type="dxa"/>
            <w:vAlign w:val="bottom"/>
          </w:tcPr>
          <w:p>
            <w:pPr>
              <w:spacing w:after="0"/>
              <w:rPr>
                <w:sz w:val="16"/>
                <w:szCs w:val="16"/>
                <w:color w:val="auto"/>
              </w:rPr>
            </w:pP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80" w:type="dxa"/>
            <w:vAlign w:val="bottom"/>
          </w:tcPr>
          <w:p>
            <w:pPr>
              <w:spacing w:after="0"/>
              <w:rPr>
                <w:sz w:val="20"/>
                <w:szCs w:val="20"/>
                <w:color w:val="auto"/>
              </w:rPr>
            </w:pPr>
            <w:r>
              <w:rPr>
                <w:rFonts w:ascii="Courier New" w:cs="Courier New" w:eastAsia="Courier New" w:hAnsi="Courier New"/>
                <w:sz w:val="17"/>
                <w:szCs w:val="17"/>
                <w:color w:val="auto"/>
              </w:rPr>
              <w:t>Other income (deductions):</w:t>
            </w:r>
          </w:p>
        </w:tc>
        <w:tc>
          <w:tcPr>
            <w:tcW w:w="2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4"/>
        </w:trPr>
        <w:tc>
          <w:tcPr>
            <w:tcW w:w="6180" w:type="dxa"/>
            <w:vAlign w:val="bottom"/>
          </w:tcPr>
          <w:p>
            <w:pPr>
              <w:ind w:left="300"/>
              <w:spacing w:after="0"/>
              <w:rPr>
                <w:sz w:val="20"/>
                <w:szCs w:val="20"/>
                <w:color w:val="auto"/>
              </w:rPr>
            </w:pPr>
            <w:r>
              <w:rPr>
                <w:rFonts w:ascii="Courier New" w:cs="Courier New" w:eastAsia="Courier New" w:hAnsi="Courier New"/>
                <w:sz w:val="17"/>
                <w:szCs w:val="17"/>
                <w:color w:val="auto"/>
              </w:rPr>
              <w:t>Interest income</w:t>
            </w: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355,438</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262,181</w:t>
            </w:r>
          </w:p>
        </w:tc>
      </w:tr>
      <w:tr>
        <w:trPr>
          <w:trHeight w:val="194"/>
        </w:trPr>
        <w:tc>
          <w:tcPr>
            <w:tcW w:w="6180" w:type="dxa"/>
            <w:vAlign w:val="bottom"/>
          </w:tcPr>
          <w:p>
            <w:pPr>
              <w:ind w:left="300"/>
              <w:spacing w:after="0"/>
              <w:rPr>
                <w:sz w:val="20"/>
                <w:szCs w:val="20"/>
                <w:color w:val="auto"/>
              </w:rPr>
            </w:pPr>
            <w:r>
              <w:rPr>
                <w:rFonts w:ascii="Courier New" w:cs="Courier New" w:eastAsia="Courier New" w:hAnsi="Courier New"/>
                <w:sz w:val="17"/>
                <w:szCs w:val="17"/>
                <w:color w:val="auto"/>
              </w:rPr>
              <w:t>Interest expense</w:t>
            </w:r>
          </w:p>
        </w:tc>
        <w:tc>
          <w:tcPr>
            <w:tcW w:w="2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(10,793)</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(11,843)</w:t>
            </w:r>
          </w:p>
        </w:tc>
      </w:tr>
      <w:tr>
        <w:trPr>
          <w:trHeight w:val="194"/>
        </w:trPr>
        <w:tc>
          <w:tcPr>
            <w:tcW w:w="6180" w:type="dxa"/>
            <w:vAlign w:val="bottom"/>
          </w:tcPr>
          <w:p>
            <w:pPr>
              <w:ind w:left="300"/>
              <w:spacing w:after="0"/>
              <w:rPr>
                <w:sz w:val="20"/>
                <w:szCs w:val="20"/>
                <w:color w:val="auto"/>
              </w:rPr>
            </w:pPr>
            <w:r>
              <w:rPr>
                <w:rFonts w:ascii="Courier New" w:cs="Courier New" w:eastAsia="Courier New" w:hAnsi="Courier New"/>
                <w:sz w:val="17"/>
                <w:szCs w:val="17"/>
                <w:color w:val="auto"/>
              </w:rPr>
              <w:t>Miscellaneous</w:t>
            </w: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19,672</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82,888</w:t>
            </w:r>
          </w:p>
        </w:tc>
      </w:tr>
      <w:tr>
        <w:trPr>
          <w:trHeight w:val="194"/>
        </w:trPr>
        <w:tc>
          <w:tcPr>
            <w:tcW w:w="6180" w:type="dxa"/>
            <w:vAlign w:val="bottom"/>
          </w:tcPr>
          <w:p>
            <w:pPr>
              <w:spacing w:after="0"/>
              <w:rPr>
                <w:sz w:val="16"/>
                <w:szCs w:val="16"/>
                <w:color w:val="auto"/>
              </w:rPr>
            </w:pP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80" w:type="dxa"/>
            <w:vAlign w:val="bottom"/>
          </w:tcPr>
          <w:p>
            <w:pPr>
              <w:spacing w:after="0"/>
              <w:rPr>
                <w:sz w:val="20"/>
                <w:szCs w:val="20"/>
                <w:color w:val="auto"/>
              </w:rPr>
            </w:pPr>
            <w:r>
              <w:rPr>
                <w:rFonts w:ascii="Courier New" w:cs="Courier New" w:eastAsia="Courier New" w:hAnsi="Courier New"/>
                <w:sz w:val="17"/>
                <w:szCs w:val="17"/>
                <w:color w:val="auto"/>
              </w:rPr>
              <w:t>Total other income (deductions)</w:t>
            </w: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364,317</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333,226</w:t>
            </w:r>
          </w:p>
        </w:tc>
      </w:tr>
      <w:tr>
        <w:trPr>
          <w:trHeight w:val="194"/>
        </w:trPr>
        <w:tc>
          <w:tcPr>
            <w:tcW w:w="6180" w:type="dxa"/>
            <w:vAlign w:val="bottom"/>
          </w:tcPr>
          <w:p>
            <w:pPr>
              <w:spacing w:after="0"/>
              <w:rPr>
                <w:sz w:val="16"/>
                <w:szCs w:val="16"/>
                <w:color w:val="auto"/>
              </w:rPr>
            </w:pP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8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3,125,956</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2,386,002</w:t>
            </w:r>
          </w:p>
        </w:tc>
      </w:tr>
      <w:tr>
        <w:trPr>
          <w:trHeight w:val="389"/>
        </w:trPr>
        <w:tc>
          <w:tcPr>
            <w:tcW w:w="618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1,228,500</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930,500</w:t>
            </w:r>
          </w:p>
        </w:tc>
      </w:tr>
      <w:tr>
        <w:trPr>
          <w:trHeight w:val="194"/>
        </w:trPr>
        <w:tc>
          <w:tcPr>
            <w:tcW w:w="6180" w:type="dxa"/>
            <w:vAlign w:val="bottom"/>
          </w:tcPr>
          <w:p>
            <w:pPr>
              <w:spacing w:after="0"/>
              <w:rPr>
                <w:sz w:val="16"/>
                <w:szCs w:val="16"/>
                <w:color w:val="auto"/>
              </w:rPr>
            </w:pP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$ 1,897,456</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$ 1,455,502</w:t>
            </w:r>
          </w:p>
        </w:tc>
      </w:tr>
      <w:tr>
        <w:trPr>
          <w:trHeight w:val="194"/>
        </w:trPr>
        <w:tc>
          <w:tcPr>
            <w:tcW w:w="6180" w:type="dxa"/>
            <w:vAlign w:val="bottom"/>
          </w:tcPr>
          <w:p>
            <w:pPr>
              <w:spacing w:after="0"/>
              <w:rPr>
                <w:sz w:val="16"/>
                <w:szCs w:val="16"/>
                <w:color w:val="auto"/>
              </w:rPr>
            </w:pP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80" w:type="dxa"/>
            <w:vAlign w:val="bottom"/>
          </w:tcPr>
          <w:p>
            <w:pPr>
              <w:spacing w:after="0"/>
              <w:rPr>
                <w:sz w:val="16"/>
                <w:szCs w:val="16"/>
                <w:color w:val="auto"/>
              </w:rPr>
            </w:pP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8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shares outstanding</w:t>
            </w: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11,603,895</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11,603,895</w:t>
            </w:r>
          </w:p>
        </w:tc>
      </w:tr>
      <w:tr>
        <w:trPr>
          <w:trHeight w:val="194"/>
        </w:trPr>
        <w:tc>
          <w:tcPr>
            <w:tcW w:w="6180" w:type="dxa"/>
            <w:vAlign w:val="bottom"/>
          </w:tcPr>
          <w:p>
            <w:pPr>
              <w:spacing w:after="0"/>
              <w:rPr>
                <w:sz w:val="16"/>
                <w:szCs w:val="16"/>
                <w:color w:val="auto"/>
              </w:rPr>
            </w:pP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80" w:type="dxa"/>
            <w:vAlign w:val="bottom"/>
          </w:tcPr>
          <w:p>
            <w:pPr>
              <w:spacing w:after="0"/>
              <w:rPr>
                <w:sz w:val="16"/>
                <w:szCs w:val="16"/>
                <w:color w:val="auto"/>
              </w:rPr>
            </w:pP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80" w:type="dxa"/>
            <w:vAlign w:val="bottom"/>
          </w:tcPr>
          <w:p>
            <w:pPr>
              <w:spacing w:after="0"/>
              <w:rPr>
                <w:sz w:val="20"/>
                <w:szCs w:val="20"/>
                <w:color w:val="auto"/>
              </w:rPr>
            </w:pPr>
            <w:r>
              <w:rPr>
                <w:rFonts w:ascii="Courier New" w:cs="Courier New" w:eastAsia="Courier New" w:hAnsi="Courier New"/>
                <w:sz w:val="17"/>
                <w:szCs w:val="17"/>
                <w:color w:val="auto"/>
              </w:rPr>
              <w:t>Earnings per common share - basic and diluted</w:t>
            </w: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$0.16</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$0.13</w:t>
            </w:r>
          </w:p>
        </w:tc>
      </w:tr>
      <w:tr>
        <w:trPr>
          <w:trHeight w:val="194"/>
        </w:trPr>
        <w:tc>
          <w:tcPr>
            <w:tcW w:w="6180" w:type="dxa"/>
            <w:vAlign w:val="bottom"/>
          </w:tcPr>
          <w:p>
            <w:pPr>
              <w:spacing w:after="0"/>
              <w:rPr>
                <w:sz w:val="16"/>
                <w:szCs w:val="16"/>
                <w:color w:val="auto"/>
              </w:rPr>
            </w:pP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80" w:type="dxa"/>
            <w:vAlign w:val="bottom"/>
          </w:tcPr>
          <w:p>
            <w:pPr>
              <w:spacing w:after="0"/>
              <w:rPr>
                <w:sz w:val="16"/>
                <w:szCs w:val="16"/>
                <w:color w:val="auto"/>
              </w:rPr>
            </w:pPr>
          </w:p>
        </w:tc>
        <w:tc>
          <w:tcPr>
            <w:tcW w:w="24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See accompanying Notes to Consolidated Condensed Financial Statements.</w:t>
      </w:r>
    </w:p>
    <w:p>
      <w:pPr>
        <w:spacing w:after="0" w:line="391"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120"/>
          </w:cols>
          <w:pgMar w:left="340" w:top="697" w:right="1439" w:bottom="1440" w:gutter="0" w:footer="0" w:header="0"/>
        </w:sectPr>
      </w:pPr>
    </w:p>
    <w:bookmarkStart w:id="4" w:name="page5"/>
    <w:bookmarkEnd w:id="4"/>
    <w:p>
      <w:pPr>
        <w:jc w:val="center"/>
        <w:ind w:right="1719"/>
        <w:spacing w:after="0"/>
        <w:rPr>
          <w:sz w:val="20"/>
          <w:szCs w:val="20"/>
          <w:color w:val="auto"/>
        </w:rPr>
      </w:pPr>
      <w:r>
        <w:rPr>
          <w:rFonts w:ascii="Courier New" w:cs="Courier New" w:eastAsia="Courier New" w:hAnsi="Courier New"/>
          <w:sz w:val="17"/>
          <w:szCs w:val="17"/>
          <w:color w:val="auto"/>
        </w:rPr>
        <w:t>HAWKINS CHEMICAL, INC. AND SUBSIDIARIES</w:t>
      </w:r>
    </w:p>
    <w:p>
      <w:pPr>
        <w:spacing w:after="0" w:line="2"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CONSOLIDATED 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(Unaudited)</w:t>
            </w:r>
          </w:p>
        </w:tc>
        <w:tc>
          <w:tcPr>
            <w:tcW w:w="1120" w:type="dxa"/>
            <w:vAlign w:val="bottom"/>
          </w:tcPr>
          <w:p>
            <w:pPr>
              <w:spacing w:after="0"/>
              <w:rPr>
                <w:sz w:val="16"/>
                <w:szCs w:val="16"/>
                <w:color w:val="auto"/>
              </w:rPr>
            </w:pPr>
          </w:p>
        </w:tc>
      </w:tr>
      <w:tr>
        <w:trPr>
          <w:trHeight w:val="194"/>
        </w:trPr>
        <w:tc>
          <w:tcPr>
            <w:tcW w:w="6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4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w w:val="98"/>
              </w:rPr>
              <w:t>THREE MONTHS ENDED DECEMBER 31</w:t>
            </w:r>
          </w:p>
        </w:tc>
      </w:tr>
      <w:tr>
        <w:trPr>
          <w:trHeight w:val="194"/>
        </w:trPr>
        <w:tc>
          <w:tcPr>
            <w:tcW w:w="6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4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6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1997</w:t>
            </w:r>
          </w:p>
        </w:tc>
        <w:tc>
          <w:tcPr>
            <w:tcW w:w="660" w:type="dxa"/>
            <w:vAlign w:val="bottom"/>
          </w:tcPr>
          <w:p>
            <w:pPr>
              <w:spacing w:after="0"/>
              <w:rPr>
                <w:sz w:val="24"/>
                <w:szCs w:val="24"/>
                <w:color w:val="auto"/>
              </w:rPr>
            </w:pPr>
          </w:p>
        </w:tc>
        <w:tc>
          <w:tcPr>
            <w:tcW w:w="1120" w:type="dxa"/>
            <w:vAlign w:val="bottom"/>
          </w:tcPr>
          <w:p>
            <w:pPr>
              <w:jc w:val="right"/>
              <w:ind w:right="636"/>
              <w:spacing w:after="0"/>
              <w:rPr>
                <w:sz w:val="20"/>
                <w:szCs w:val="20"/>
                <w:color w:val="auto"/>
              </w:rPr>
            </w:pPr>
            <w:r>
              <w:rPr>
                <w:rFonts w:ascii="Courier New" w:cs="Courier New" w:eastAsia="Courier New" w:hAnsi="Courier New"/>
                <w:sz w:val="17"/>
                <w:szCs w:val="17"/>
                <w:color w:val="auto"/>
                <w:w w:val="93"/>
              </w:rPr>
              <w:t>1996</w:t>
            </w:r>
          </w:p>
        </w:tc>
      </w:tr>
      <w:tr>
        <w:trPr>
          <w:trHeight w:val="194"/>
        </w:trPr>
        <w:tc>
          <w:tcPr>
            <w:tcW w:w="6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6"/>
                <w:szCs w:val="16"/>
                <w:color w:val="auto"/>
              </w:rPr>
            </w:pPr>
          </w:p>
        </w:tc>
        <w:tc>
          <w:tcPr>
            <w:tcW w:w="1120" w:type="dxa"/>
            <w:vAlign w:val="bottom"/>
          </w:tcPr>
          <w:p>
            <w:pPr>
              <w:jc w:val="right"/>
              <w:ind w:right="636"/>
              <w:spacing w:after="0"/>
              <w:rPr>
                <w:sz w:val="20"/>
                <w:szCs w:val="20"/>
                <w:color w:val="auto"/>
              </w:rPr>
            </w:pPr>
            <w:r>
              <w:rPr>
                <w:rFonts w:ascii="Courier New" w:cs="Courier New" w:eastAsia="Courier New" w:hAnsi="Courier New"/>
                <w:sz w:val="17"/>
                <w:szCs w:val="17"/>
                <w:color w:val="auto"/>
                <w:w w:val="93"/>
              </w:rPr>
              <w:t>----</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4"/>
        </w:trPr>
        <w:tc>
          <w:tcPr>
            <w:tcW w:w="61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Net income............................................</w:t>
            </w: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1,897,456</w:t>
            </w: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1,455,502</w:t>
            </w:r>
          </w:p>
        </w:tc>
      </w:tr>
      <w:tr>
        <w:trPr>
          <w:trHeight w:val="194"/>
        </w:trPr>
        <w:tc>
          <w:tcPr>
            <w:tcW w:w="61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Depreciation and amortization.........................</w:t>
            </w:r>
          </w:p>
        </w:tc>
        <w:tc>
          <w:tcPr>
            <w:tcW w:w="660" w:type="dxa"/>
            <w:vAlign w:val="bottom"/>
          </w:tcPr>
          <w:p>
            <w:pPr>
              <w:spacing w:after="0"/>
              <w:rPr>
                <w:sz w:val="16"/>
                <w:szCs w:val="16"/>
                <w:color w:val="auto"/>
              </w:rPr>
            </w:pPr>
          </w:p>
        </w:tc>
        <w:tc>
          <w:tcPr>
            <w:tcW w:w="14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407,739</w:t>
            </w:r>
          </w:p>
        </w:tc>
        <w:tc>
          <w:tcPr>
            <w:tcW w:w="66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384,600</w:t>
            </w:r>
          </w:p>
        </w:tc>
      </w:tr>
      <w:tr>
        <w:trPr>
          <w:trHeight w:val="194"/>
        </w:trPr>
        <w:tc>
          <w:tcPr>
            <w:tcW w:w="61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Deferred income taxes.................................</w:t>
            </w:r>
          </w:p>
        </w:tc>
        <w:tc>
          <w:tcPr>
            <w:tcW w:w="660" w:type="dxa"/>
            <w:vAlign w:val="bottom"/>
          </w:tcPr>
          <w:p>
            <w:pPr>
              <w:spacing w:after="0"/>
              <w:rPr>
                <w:sz w:val="16"/>
                <w:szCs w:val="16"/>
                <w:color w:val="auto"/>
              </w:rPr>
            </w:pPr>
          </w:p>
        </w:tc>
        <w:tc>
          <w:tcPr>
            <w:tcW w:w="14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40,000</w:t>
            </w:r>
          </w:p>
        </w:tc>
        <w:tc>
          <w:tcPr>
            <w:tcW w:w="66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16,500</w:t>
            </w:r>
          </w:p>
        </w:tc>
      </w:tr>
      <w:tr>
        <w:trPr>
          <w:trHeight w:val="194"/>
        </w:trPr>
        <w:tc>
          <w:tcPr>
            <w:tcW w:w="61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Other.................................................</w:t>
            </w:r>
          </w:p>
        </w:tc>
        <w:tc>
          <w:tcPr>
            <w:tcW w:w="660" w:type="dxa"/>
            <w:vAlign w:val="bottom"/>
          </w:tcPr>
          <w:p>
            <w:pPr>
              <w:spacing w:after="0"/>
              <w:rPr>
                <w:sz w:val="16"/>
                <w:szCs w:val="16"/>
                <w:color w:val="auto"/>
              </w:rPr>
            </w:pPr>
          </w:p>
        </w:tc>
        <w:tc>
          <w:tcPr>
            <w:tcW w:w="14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(11,666)</w:t>
            </w:r>
          </w:p>
        </w:tc>
        <w:tc>
          <w:tcPr>
            <w:tcW w:w="6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(19,821)</w:t>
            </w:r>
          </w:p>
        </w:tc>
      </w:tr>
      <w:tr>
        <w:trPr>
          <w:trHeight w:val="194"/>
        </w:trPr>
        <w:tc>
          <w:tcPr>
            <w:tcW w:w="61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Changes in certain current assets and liabilities.....</w:t>
            </w:r>
          </w:p>
        </w:tc>
        <w:tc>
          <w:tcPr>
            <w:tcW w:w="660" w:type="dxa"/>
            <w:vAlign w:val="bottom"/>
          </w:tcPr>
          <w:p>
            <w:pPr>
              <w:spacing w:after="0"/>
              <w:rPr>
                <w:sz w:val="16"/>
                <w:szCs w:val="16"/>
                <w:color w:val="auto"/>
              </w:rPr>
            </w:pPr>
          </w:p>
        </w:tc>
        <w:tc>
          <w:tcPr>
            <w:tcW w:w="14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7"/>
              </w:rPr>
              <w:t>(1,992,991)</w:t>
            </w:r>
          </w:p>
        </w:tc>
        <w:tc>
          <w:tcPr>
            <w:tcW w:w="6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w w:val="97"/>
              </w:rPr>
              <w:t>(1,929,169)</w:t>
            </w:r>
          </w:p>
        </w:tc>
      </w:tr>
      <w:tr>
        <w:trPr>
          <w:trHeight w:val="194"/>
        </w:trPr>
        <w:tc>
          <w:tcPr>
            <w:tcW w:w="6120" w:type="dxa"/>
            <w:vAlign w:val="bottom"/>
          </w:tcPr>
          <w:p>
            <w:pPr>
              <w:spacing w:after="0"/>
              <w:rPr>
                <w:sz w:val="16"/>
                <w:szCs w:val="16"/>
                <w:color w:val="auto"/>
              </w:rPr>
            </w:pPr>
          </w:p>
        </w:tc>
        <w:tc>
          <w:tcPr>
            <w:tcW w:w="212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Net cash provided by (used in) operating activities</w:t>
            </w:r>
          </w:p>
        </w:tc>
        <w:tc>
          <w:tcPr>
            <w:tcW w:w="660" w:type="dxa"/>
            <w:vAlign w:val="bottom"/>
          </w:tcPr>
          <w:p>
            <w:pPr>
              <w:spacing w:after="0"/>
              <w:rPr>
                <w:sz w:val="16"/>
                <w:szCs w:val="16"/>
                <w:color w:val="auto"/>
              </w:rPr>
            </w:pPr>
          </w:p>
        </w:tc>
        <w:tc>
          <w:tcPr>
            <w:tcW w:w="14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340,538</w:t>
            </w:r>
          </w:p>
        </w:tc>
        <w:tc>
          <w:tcPr>
            <w:tcW w:w="6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(92,388)</w:t>
            </w:r>
          </w:p>
        </w:tc>
      </w:tr>
      <w:tr>
        <w:trPr>
          <w:trHeight w:val="194"/>
        </w:trPr>
        <w:tc>
          <w:tcPr>
            <w:tcW w:w="6120" w:type="dxa"/>
            <w:vAlign w:val="bottom"/>
          </w:tcPr>
          <w:p>
            <w:pPr>
              <w:spacing w:after="0"/>
              <w:rPr>
                <w:sz w:val="16"/>
                <w:szCs w:val="16"/>
                <w:color w:val="auto"/>
              </w:rPr>
            </w:pPr>
          </w:p>
        </w:tc>
        <w:tc>
          <w:tcPr>
            <w:tcW w:w="212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4"/>
        </w:trPr>
        <w:tc>
          <w:tcPr>
            <w:tcW w:w="61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Additions to property, plant and equipment............</w:t>
            </w:r>
          </w:p>
        </w:tc>
        <w:tc>
          <w:tcPr>
            <w:tcW w:w="660" w:type="dxa"/>
            <w:vAlign w:val="bottom"/>
          </w:tcPr>
          <w:p>
            <w:pPr>
              <w:spacing w:after="0"/>
              <w:rPr>
                <w:sz w:val="16"/>
                <w:szCs w:val="16"/>
                <w:color w:val="auto"/>
              </w:rPr>
            </w:pPr>
          </w:p>
        </w:tc>
        <w:tc>
          <w:tcPr>
            <w:tcW w:w="14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7"/>
              </w:rPr>
              <w:t>(1,658,167)</w:t>
            </w:r>
          </w:p>
        </w:tc>
        <w:tc>
          <w:tcPr>
            <w:tcW w:w="6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(531,574)</w:t>
            </w:r>
          </w:p>
        </w:tc>
      </w:tr>
      <w:tr>
        <w:trPr>
          <w:trHeight w:val="194"/>
        </w:trPr>
        <w:tc>
          <w:tcPr>
            <w:tcW w:w="61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Purchases of investments..............................</w:t>
            </w:r>
          </w:p>
        </w:tc>
        <w:tc>
          <w:tcPr>
            <w:tcW w:w="660" w:type="dxa"/>
            <w:vAlign w:val="bottom"/>
          </w:tcPr>
          <w:p>
            <w:pPr>
              <w:spacing w:after="0"/>
              <w:rPr>
                <w:sz w:val="16"/>
                <w:szCs w:val="16"/>
                <w:color w:val="auto"/>
              </w:rPr>
            </w:pPr>
          </w:p>
        </w:tc>
        <w:tc>
          <w:tcPr>
            <w:tcW w:w="14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(142,219)</w:t>
            </w:r>
          </w:p>
        </w:tc>
        <w:tc>
          <w:tcPr>
            <w:tcW w:w="6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(119,474)</w:t>
            </w:r>
          </w:p>
        </w:tc>
      </w:tr>
      <w:tr>
        <w:trPr>
          <w:trHeight w:val="194"/>
        </w:trPr>
        <w:tc>
          <w:tcPr>
            <w:tcW w:w="61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Payments received on notes receivable.................</w:t>
            </w:r>
          </w:p>
        </w:tc>
        <w:tc>
          <w:tcPr>
            <w:tcW w:w="660" w:type="dxa"/>
            <w:vAlign w:val="bottom"/>
          </w:tcPr>
          <w:p>
            <w:pPr>
              <w:spacing w:after="0"/>
              <w:rPr>
                <w:sz w:val="16"/>
                <w:szCs w:val="16"/>
                <w:color w:val="auto"/>
              </w:rPr>
            </w:pPr>
          </w:p>
        </w:tc>
        <w:tc>
          <w:tcPr>
            <w:tcW w:w="14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27,768</w:t>
            </w:r>
          </w:p>
        </w:tc>
        <w:tc>
          <w:tcPr>
            <w:tcW w:w="66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20,948</w:t>
            </w:r>
          </w:p>
        </w:tc>
      </w:tr>
      <w:tr>
        <w:trPr>
          <w:trHeight w:val="194"/>
        </w:trPr>
        <w:tc>
          <w:tcPr>
            <w:tcW w:w="6120" w:type="dxa"/>
            <w:vAlign w:val="bottom"/>
          </w:tcPr>
          <w:p>
            <w:pPr>
              <w:spacing w:after="0"/>
              <w:rPr>
                <w:sz w:val="16"/>
                <w:szCs w:val="16"/>
                <w:color w:val="auto"/>
              </w:rPr>
            </w:pPr>
          </w:p>
        </w:tc>
        <w:tc>
          <w:tcPr>
            <w:tcW w:w="212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jc w:val="right"/>
              <w:ind w:right="1676"/>
              <w:spacing w:after="0"/>
              <w:rPr>
                <w:sz w:val="20"/>
                <w:szCs w:val="20"/>
                <w:color w:val="auto"/>
              </w:rPr>
            </w:pPr>
            <w:r>
              <w:rPr>
                <w:rFonts w:ascii="Courier New" w:cs="Courier New" w:eastAsia="Courier New" w:hAnsi="Courier New"/>
                <w:sz w:val="17"/>
                <w:szCs w:val="17"/>
                <w:color w:val="auto"/>
              </w:rPr>
              <w:t>Net cash used in investing activities</w:t>
            </w:r>
          </w:p>
        </w:tc>
        <w:tc>
          <w:tcPr>
            <w:tcW w:w="660" w:type="dxa"/>
            <w:vAlign w:val="bottom"/>
          </w:tcPr>
          <w:p>
            <w:pPr>
              <w:spacing w:after="0"/>
              <w:rPr>
                <w:sz w:val="16"/>
                <w:szCs w:val="16"/>
                <w:color w:val="auto"/>
              </w:rPr>
            </w:pPr>
          </w:p>
        </w:tc>
        <w:tc>
          <w:tcPr>
            <w:tcW w:w="14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7"/>
              </w:rPr>
              <w:t>(1,772,618)</w:t>
            </w:r>
          </w:p>
        </w:tc>
        <w:tc>
          <w:tcPr>
            <w:tcW w:w="6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(630,100)</w:t>
            </w:r>
          </w:p>
        </w:tc>
      </w:tr>
      <w:tr>
        <w:trPr>
          <w:trHeight w:val="194"/>
        </w:trPr>
        <w:tc>
          <w:tcPr>
            <w:tcW w:w="6120" w:type="dxa"/>
            <w:vAlign w:val="bottom"/>
          </w:tcPr>
          <w:p>
            <w:pPr>
              <w:spacing w:after="0"/>
              <w:rPr>
                <w:sz w:val="16"/>
                <w:szCs w:val="16"/>
                <w:color w:val="auto"/>
              </w:rPr>
            </w:pPr>
          </w:p>
        </w:tc>
        <w:tc>
          <w:tcPr>
            <w:tcW w:w="212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4"/>
        </w:trPr>
        <w:tc>
          <w:tcPr>
            <w:tcW w:w="61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Cash dividends paid...................................</w:t>
            </w:r>
          </w:p>
        </w:tc>
        <w:tc>
          <w:tcPr>
            <w:tcW w:w="660" w:type="dxa"/>
            <w:vAlign w:val="bottom"/>
          </w:tcPr>
          <w:p>
            <w:pPr>
              <w:spacing w:after="0"/>
              <w:rPr>
                <w:sz w:val="16"/>
                <w:szCs w:val="16"/>
                <w:color w:val="auto"/>
              </w:rPr>
            </w:pPr>
          </w:p>
        </w:tc>
        <w:tc>
          <w:tcPr>
            <w:tcW w:w="14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7"/>
              </w:rPr>
              <w:t>(1,044,351)</w:t>
            </w:r>
          </w:p>
        </w:tc>
        <w:tc>
          <w:tcPr>
            <w:tcW w:w="6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(884,135)</w:t>
            </w:r>
          </w:p>
        </w:tc>
      </w:tr>
      <w:tr>
        <w:trPr>
          <w:trHeight w:val="194"/>
        </w:trPr>
        <w:tc>
          <w:tcPr>
            <w:tcW w:w="61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Debt repayment........................................</w:t>
            </w:r>
          </w:p>
        </w:tc>
        <w:tc>
          <w:tcPr>
            <w:tcW w:w="660" w:type="dxa"/>
            <w:vAlign w:val="bottom"/>
          </w:tcPr>
          <w:p>
            <w:pPr>
              <w:spacing w:after="0"/>
              <w:rPr>
                <w:sz w:val="16"/>
                <w:szCs w:val="16"/>
                <w:color w:val="auto"/>
              </w:rPr>
            </w:pPr>
          </w:p>
        </w:tc>
        <w:tc>
          <w:tcPr>
            <w:tcW w:w="14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(59,928)</w:t>
            </w:r>
          </w:p>
        </w:tc>
        <w:tc>
          <w:tcPr>
            <w:tcW w:w="6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(56,008)</w:t>
            </w:r>
          </w:p>
        </w:tc>
      </w:tr>
      <w:tr>
        <w:trPr>
          <w:trHeight w:val="194"/>
        </w:trPr>
        <w:tc>
          <w:tcPr>
            <w:tcW w:w="6120" w:type="dxa"/>
            <w:vAlign w:val="bottom"/>
          </w:tcPr>
          <w:p>
            <w:pPr>
              <w:spacing w:after="0"/>
              <w:rPr>
                <w:sz w:val="16"/>
                <w:szCs w:val="16"/>
                <w:color w:val="auto"/>
              </w:rPr>
            </w:pPr>
          </w:p>
        </w:tc>
        <w:tc>
          <w:tcPr>
            <w:tcW w:w="212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jc w:val="right"/>
              <w:ind w:right="1676"/>
              <w:spacing w:after="0"/>
              <w:rPr>
                <w:sz w:val="20"/>
                <w:szCs w:val="20"/>
                <w:color w:val="auto"/>
              </w:rPr>
            </w:pPr>
            <w:r>
              <w:rPr>
                <w:rFonts w:ascii="Courier New" w:cs="Courier New" w:eastAsia="Courier New" w:hAnsi="Courier New"/>
                <w:sz w:val="17"/>
                <w:szCs w:val="17"/>
                <w:color w:val="auto"/>
              </w:rPr>
              <w:t>Net cash used in financing activities</w:t>
            </w:r>
          </w:p>
        </w:tc>
        <w:tc>
          <w:tcPr>
            <w:tcW w:w="660" w:type="dxa"/>
            <w:vAlign w:val="bottom"/>
          </w:tcPr>
          <w:p>
            <w:pPr>
              <w:spacing w:after="0"/>
              <w:rPr>
                <w:sz w:val="16"/>
                <w:szCs w:val="16"/>
                <w:color w:val="auto"/>
              </w:rPr>
            </w:pPr>
          </w:p>
        </w:tc>
        <w:tc>
          <w:tcPr>
            <w:tcW w:w="14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7"/>
              </w:rPr>
              <w:t>(1,104,279)</w:t>
            </w:r>
          </w:p>
        </w:tc>
        <w:tc>
          <w:tcPr>
            <w:tcW w:w="6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(940,143)</w:t>
            </w:r>
          </w:p>
        </w:tc>
      </w:tr>
      <w:tr>
        <w:trPr>
          <w:trHeight w:val="194"/>
        </w:trPr>
        <w:tc>
          <w:tcPr>
            <w:tcW w:w="6120" w:type="dxa"/>
            <w:vAlign w:val="bottom"/>
          </w:tcPr>
          <w:p>
            <w:pPr>
              <w:spacing w:after="0"/>
              <w:rPr>
                <w:sz w:val="16"/>
                <w:szCs w:val="16"/>
                <w:color w:val="auto"/>
              </w:rPr>
            </w:pPr>
          </w:p>
        </w:tc>
        <w:tc>
          <w:tcPr>
            <w:tcW w:w="212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DECREASE IN CASH AND CASH EQUIVALENTS</w:t>
            </w:r>
          </w:p>
        </w:tc>
        <w:tc>
          <w:tcPr>
            <w:tcW w:w="660" w:type="dxa"/>
            <w:vAlign w:val="bottom"/>
          </w:tcPr>
          <w:p>
            <w:pPr>
              <w:spacing w:after="0"/>
              <w:rPr>
                <w:sz w:val="24"/>
                <w:szCs w:val="24"/>
                <w:color w:val="auto"/>
              </w:rPr>
            </w:pPr>
          </w:p>
        </w:tc>
        <w:tc>
          <w:tcPr>
            <w:tcW w:w="14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7"/>
              </w:rPr>
              <w:t>(2,536,359)</w:t>
            </w:r>
          </w:p>
        </w:tc>
        <w:tc>
          <w:tcPr>
            <w:tcW w:w="6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w w:val="97"/>
              </w:rPr>
              <w:t>(1,662,631)</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CASH AND CASH EQUIVALENTS, BEGINNING OF YEAR</w:t>
            </w:r>
          </w:p>
        </w:tc>
        <w:tc>
          <w:tcPr>
            <w:tcW w:w="660" w:type="dxa"/>
            <w:vAlign w:val="bottom"/>
          </w:tcPr>
          <w:p>
            <w:pPr>
              <w:spacing w:after="0"/>
              <w:rPr>
                <w:sz w:val="24"/>
                <w:szCs w:val="24"/>
                <w:color w:val="auto"/>
              </w:rPr>
            </w:pPr>
          </w:p>
        </w:tc>
        <w:tc>
          <w:tcPr>
            <w:tcW w:w="14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8,065,021</w:t>
            </w:r>
          </w:p>
        </w:tc>
        <w:tc>
          <w:tcPr>
            <w:tcW w:w="660" w:type="dxa"/>
            <w:vAlign w:val="bottom"/>
          </w:tcPr>
          <w:p>
            <w:pPr>
              <w:spacing w:after="0"/>
              <w:rPr>
                <w:sz w:val="24"/>
                <w:szCs w:val="24"/>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8,932,125</w:t>
            </w:r>
          </w:p>
        </w:tc>
      </w:tr>
      <w:tr>
        <w:trPr>
          <w:trHeight w:val="194"/>
        </w:trPr>
        <w:tc>
          <w:tcPr>
            <w:tcW w:w="6120" w:type="dxa"/>
            <w:vAlign w:val="bottom"/>
          </w:tcPr>
          <w:p>
            <w:pPr>
              <w:spacing w:after="0"/>
              <w:rPr>
                <w:sz w:val="16"/>
                <w:szCs w:val="16"/>
                <w:color w:val="auto"/>
              </w:rPr>
            </w:pPr>
          </w:p>
        </w:tc>
        <w:tc>
          <w:tcPr>
            <w:tcW w:w="212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CASH AND CASH EQUIVALENTS, END OF PERIOD</w:t>
            </w: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5,528,662</w:t>
            </w: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7,269,494</w:t>
            </w:r>
          </w:p>
        </w:tc>
      </w:tr>
      <w:tr>
        <w:trPr>
          <w:trHeight w:val="194"/>
        </w:trPr>
        <w:tc>
          <w:tcPr>
            <w:tcW w:w="6120" w:type="dxa"/>
            <w:vAlign w:val="bottom"/>
          </w:tcPr>
          <w:p>
            <w:pPr>
              <w:spacing w:after="0"/>
              <w:rPr>
                <w:sz w:val="16"/>
                <w:szCs w:val="16"/>
                <w:color w:val="auto"/>
              </w:rPr>
            </w:pPr>
          </w:p>
        </w:tc>
        <w:tc>
          <w:tcPr>
            <w:tcW w:w="212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spacing w:after="0"/>
              <w:rPr>
                <w:sz w:val="16"/>
                <w:szCs w:val="16"/>
                <w:color w:val="auto"/>
              </w:rPr>
            </w:pPr>
          </w:p>
        </w:tc>
        <w:tc>
          <w:tcPr>
            <w:tcW w:w="212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SUPPLEMENTAL DISCLOSURES OF CASH FLOW</w:t>
            </w: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4"/>
        </w:trPr>
        <w:tc>
          <w:tcPr>
            <w:tcW w:w="6120" w:type="dxa"/>
            <w:vAlign w:val="bottom"/>
          </w:tcPr>
          <w:p>
            <w:pPr>
              <w:jc w:val="right"/>
              <w:ind w:right="4416"/>
              <w:spacing w:after="0"/>
              <w:rPr>
                <w:sz w:val="20"/>
                <w:szCs w:val="20"/>
                <w:color w:val="auto"/>
              </w:rPr>
            </w:pPr>
            <w:r>
              <w:rPr>
                <w:rFonts w:ascii="Courier New" w:cs="Courier New" w:eastAsia="Courier New" w:hAnsi="Courier New"/>
                <w:sz w:val="17"/>
                <w:szCs w:val="17"/>
                <w:color w:val="auto"/>
              </w:rPr>
              <w:t>INFORMATION:</w:t>
            </w:r>
          </w:p>
        </w:tc>
        <w:tc>
          <w:tcPr>
            <w:tcW w:w="6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9"/>
        </w:trPr>
        <w:tc>
          <w:tcPr>
            <w:tcW w:w="61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Cash paid for interest...............................</w:t>
            </w: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42,975</w:t>
            </w: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46,895</w:t>
            </w:r>
          </w:p>
        </w:tc>
      </w:tr>
      <w:tr>
        <w:trPr>
          <w:trHeight w:val="194"/>
        </w:trPr>
        <w:tc>
          <w:tcPr>
            <w:tcW w:w="6120" w:type="dxa"/>
            <w:vAlign w:val="bottom"/>
          </w:tcPr>
          <w:p>
            <w:pPr>
              <w:spacing w:after="0"/>
              <w:rPr>
                <w:sz w:val="16"/>
                <w:szCs w:val="16"/>
                <w:color w:val="auto"/>
              </w:rPr>
            </w:pPr>
          </w:p>
        </w:tc>
        <w:tc>
          <w:tcPr>
            <w:tcW w:w="212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spacing w:after="0"/>
              <w:rPr>
                <w:sz w:val="16"/>
                <w:szCs w:val="16"/>
                <w:color w:val="auto"/>
              </w:rPr>
            </w:pPr>
          </w:p>
        </w:tc>
        <w:tc>
          <w:tcPr>
            <w:tcW w:w="212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Cash paid for income taxes...........................</w:t>
            </w: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645,000</w:t>
            </w: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195,500</w:t>
            </w:r>
          </w:p>
        </w:tc>
      </w:tr>
      <w:tr>
        <w:trPr>
          <w:trHeight w:val="194"/>
        </w:trPr>
        <w:tc>
          <w:tcPr>
            <w:tcW w:w="6120" w:type="dxa"/>
            <w:vAlign w:val="bottom"/>
          </w:tcPr>
          <w:p>
            <w:pPr>
              <w:spacing w:after="0"/>
              <w:rPr>
                <w:sz w:val="16"/>
                <w:szCs w:val="16"/>
                <w:color w:val="auto"/>
              </w:rPr>
            </w:pPr>
          </w:p>
        </w:tc>
        <w:tc>
          <w:tcPr>
            <w:tcW w:w="212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spacing w:after="0"/>
              <w:rPr>
                <w:sz w:val="16"/>
                <w:szCs w:val="16"/>
                <w:color w:val="auto"/>
              </w:rPr>
            </w:pPr>
          </w:p>
        </w:tc>
        <w:tc>
          <w:tcPr>
            <w:tcW w:w="212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See accompanying Notes to Consolidated Condensed Financial Statements.</w:t>
      </w:r>
    </w:p>
    <w:p>
      <w:pPr>
        <w:spacing w:after="0" w:line="391"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119"/>
          </w:cols>
          <w:pgMar w:left="340" w:top="697" w:right="1440" w:bottom="1440" w:gutter="0" w:footer="0" w:header="0"/>
        </w:sectPr>
      </w:pPr>
    </w:p>
    <w:bookmarkStart w:id="5" w:name="page6"/>
    <w:bookmarkEnd w:id="5"/>
    <w:p>
      <w:pPr>
        <w:ind w:left="2316"/>
        <w:spacing w:after="0"/>
        <w:rPr>
          <w:sz w:val="20"/>
          <w:szCs w:val="20"/>
          <w:color w:val="auto"/>
        </w:rPr>
      </w:pPr>
      <w:r>
        <w:rPr>
          <w:rFonts w:ascii="Courier New" w:cs="Courier New" w:eastAsia="Courier New" w:hAnsi="Courier New"/>
          <w:sz w:val="17"/>
          <w:szCs w:val="17"/>
          <w:color w:val="auto"/>
        </w:rPr>
        <w:t>HAWKINS CHEMICAL, INC. AND SUBSIDIARIES</w:t>
      </w:r>
    </w:p>
    <w:p>
      <w:pPr>
        <w:spacing w:after="0" w:line="2" w:lineRule="exact"/>
        <w:rPr>
          <w:sz w:val="20"/>
          <w:szCs w:val="20"/>
          <w:color w:val="auto"/>
        </w:rPr>
      </w:pPr>
    </w:p>
    <w:p>
      <w:pPr>
        <w:ind w:left="1716"/>
        <w:spacing w:after="0"/>
        <w:rPr>
          <w:sz w:val="20"/>
          <w:szCs w:val="20"/>
          <w:color w:val="auto"/>
        </w:rPr>
      </w:pPr>
      <w:r>
        <w:rPr>
          <w:rFonts w:ascii="Courier New" w:cs="Courier New" w:eastAsia="Courier New" w:hAnsi="Courier New"/>
          <w:sz w:val="17"/>
          <w:szCs w:val="17"/>
          <w:color w:val="auto"/>
        </w:rPr>
        <w:t>NOTES TO CONSOLIDATED CONDENSED FINANCIAL STATEMENTS</w:t>
      </w:r>
    </w:p>
    <w:p>
      <w:pPr>
        <w:spacing w:after="0" w:line="393" w:lineRule="exact"/>
        <w:rPr>
          <w:sz w:val="20"/>
          <w:szCs w:val="20"/>
          <w:color w:val="auto"/>
        </w:rPr>
      </w:pPr>
    </w:p>
    <w:p>
      <w:pPr>
        <w:ind w:left="496" w:right="2119" w:hanging="496"/>
        <w:spacing w:after="0" w:line="242" w:lineRule="auto"/>
        <w:tabs>
          <w:tab w:leader="none" w:pos="49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September 28, 1997, previously filed with the Commission. In the opinion of management, the accompanying unaudited consolidated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97" w:lineRule="exact"/>
        <w:rPr>
          <w:rFonts w:ascii="Courier New" w:cs="Courier New" w:eastAsia="Courier New" w:hAnsi="Courier New"/>
          <w:sz w:val="17"/>
          <w:szCs w:val="17"/>
          <w:color w:val="auto"/>
        </w:rPr>
      </w:pPr>
    </w:p>
    <w:p>
      <w:pPr>
        <w:ind w:left="496" w:right="21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December 15, 1997, the Company adopted Statement of Financial Accounting Standards No. 128, "Earnings Per Share," (SFAS No. 128). Earnings per common share presented for the three months ended December 31, 1996 have been restated for the adoption of SFAS No. 128. The effect of adopting SFAS No. 128 at December 15, 1997, on earnings per common share for the three months ended December 31, 1996 was not material.</w:t>
      </w:r>
    </w:p>
    <w:p>
      <w:pPr>
        <w:spacing w:after="0" w:line="200" w:lineRule="exact"/>
        <w:rPr>
          <w:rFonts w:ascii="Courier New" w:cs="Courier New" w:eastAsia="Courier New" w:hAnsi="Courier New"/>
          <w:sz w:val="17"/>
          <w:szCs w:val="17"/>
          <w:color w:val="auto"/>
        </w:rPr>
      </w:pPr>
    </w:p>
    <w:p>
      <w:pPr>
        <w:ind w:left="496" w:right="21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other accounting policies followed by the Company are set forth in Note 1 to the Company's financial statements in the 1997 Hawkins Chemical, Inc. Annual Report which is incorporated by reference to Form 10-K filed with the Commission on December 29, 1997.</w:t>
      </w:r>
    </w:p>
    <w:p>
      <w:pPr>
        <w:spacing w:after="0" w:line="198" w:lineRule="exact"/>
        <w:rPr>
          <w:rFonts w:ascii="Courier New" w:cs="Courier New" w:eastAsia="Courier New" w:hAnsi="Courier New"/>
          <w:sz w:val="17"/>
          <w:szCs w:val="17"/>
          <w:color w:val="auto"/>
        </w:rPr>
      </w:pPr>
    </w:p>
    <w:p>
      <w:pPr>
        <w:ind w:left="496" w:right="2439" w:hanging="496"/>
        <w:spacing w:after="0"/>
        <w:tabs>
          <w:tab w:leader="none" w:pos="49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operations for the period ended December 31, 1997 are not necessarily indicative of the results that may be expected for the full year.</w:t>
      </w:r>
    </w:p>
    <w:p>
      <w:pPr>
        <w:spacing w:after="0" w:line="200" w:lineRule="exact"/>
        <w:rPr>
          <w:rFonts w:ascii="Courier New" w:cs="Courier New" w:eastAsia="Courier New" w:hAnsi="Courier New"/>
          <w:sz w:val="17"/>
          <w:szCs w:val="17"/>
          <w:color w:val="auto"/>
        </w:rPr>
      </w:pPr>
    </w:p>
    <w:p>
      <w:pPr>
        <w:ind w:left="496" w:right="2319" w:hanging="496"/>
        <w:spacing w:after="0" w:line="260" w:lineRule="auto"/>
        <w:tabs>
          <w:tab w:leader="none" w:pos="49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principally valued by the LIFO method, are less than current cost by approximately $595,000 at December 31, 1997. Inventory consists principally of finished goods. Inventory quantities fluctuate during the year. No material amounts of interim liquidation of inventory quantities have occurred that are not expected to be replaced by year-end.</w:t>
      </w:r>
    </w:p>
    <w:p>
      <w:pPr>
        <w:spacing w:after="0" w:line="184" w:lineRule="exact"/>
        <w:rPr>
          <w:rFonts w:ascii="Courier New" w:cs="Courier New" w:eastAsia="Courier New" w:hAnsi="Courier New"/>
          <w:sz w:val="16"/>
          <w:szCs w:val="16"/>
          <w:color w:val="auto"/>
        </w:rPr>
      </w:pPr>
    </w:p>
    <w:p>
      <w:pPr>
        <w:ind w:left="496" w:right="2319" w:hanging="496"/>
        <w:spacing w:after="0" w:line="241" w:lineRule="auto"/>
        <w:tabs>
          <w:tab w:leader="none" w:pos="49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common share are based upon the weighted average number of shares outstanding after giving retroactive effect to a 5% stock dividend declared February 12, 1997 to shareholders of record at the close of business on March 28, 1997. Cash dividends in the amount of $1,044,351 were paid on October 10, 1997.</w:t>
      </w:r>
    </w:p>
    <w:p>
      <w:pPr>
        <w:spacing w:after="0" w:line="199" w:lineRule="exact"/>
        <w:rPr>
          <w:rFonts w:ascii="Courier New" w:cs="Courier New" w:eastAsia="Courier New" w:hAnsi="Courier New"/>
          <w:sz w:val="17"/>
          <w:szCs w:val="17"/>
          <w:color w:val="auto"/>
        </w:rPr>
      </w:pPr>
    </w:p>
    <w:p>
      <w:pPr>
        <w:ind w:left="496" w:right="2119" w:hanging="496"/>
        <w:spacing w:after="0"/>
        <w:tabs>
          <w:tab w:leader="none" w:pos="49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May 29, 1997, the Company sold the inventory and operations of The Lynde Company, a wholly owned subsidiary that specialized in swimming pool chemicals, effective March 1, 1997. For the three-months ended</w:t>
      </w:r>
    </w:p>
    <w:p>
      <w:pPr>
        <w:spacing w:after="0" w:line="5" w:lineRule="exact"/>
        <w:rPr>
          <w:rFonts w:ascii="Courier New" w:cs="Courier New" w:eastAsia="Courier New" w:hAnsi="Courier New"/>
          <w:sz w:val="17"/>
          <w:szCs w:val="17"/>
          <w:color w:val="auto"/>
        </w:rPr>
      </w:pPr>
    </w:p>
    <w:p>
      <w:pPr>
        <w:ind w:left="496" w:right="323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December 31, 1996, Lynde had revenues of $447,000 and a net loss of $13,000.</w:t>
      </w:r>
    </w:p>
    <w:p>
      <w:pPr>
        <w:spacing w:after="0" w:line="199" w:lineRule="exact"/>
        <w:rPr>
          <w:rFonts w:ascii="Courier New" w:cs="Courier New" w:eastAsia="Courier New" w:hAnsi="Courier New"/>
          <w:sz w:val="17"/>
          <w:szCs w:val="17"/>
          <w:color w:val="auto"/>
        </w:rPr>
      </w:pPr>
    </w:p>
    <w:p>
      <w:pPr>
        <w:ind w:left="496" w:right="2119" w:hanging="496"/>
        <w:spacing w:after="0" w:line="242" w:lineRule="auto"/>
        <w:tabs>
          <w:tab w:leader="none" w:pos="49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1995, the Company had a fire in the office/warehouse of The Lynde Company, a former wholly owned subsidiary. Through December 31, 1997, the Company has expensed approximately $2,550,000 ($29,000 in the three months ended December 31, 1997) to cover estimated settlement costs incurred by the Company in connection with a lawsuit filed against the Company as a result of the fire. As of December 31, 1997, the Company has paid approximately $1,670,000 in settlement and legal costs relating to the fire and, based upon the settlement agreement, expects to incur additional legal and settlement costs. In February 1998, following approval of the settlement of the court, the Company paid legal and settlement costs of approximately $880,000. The Company will incur additional future obligations relating to the settlement of this lawsuit pursuant to a matrix and plan of distribution which is a part of the settlement. The Company is not able to estimate the magnitude of this potential exposure at this time. Management of the Company believes the final disposition</w:t>
      </w:r>
    </w:p>
    <w:p>
      <w:pPr>
        <w:spacing w:after="0" w:line="1" w:lineRule="exact"/>
        <w:rPr>
          <w:rFonts w:ascii="Courier New" w:cs="Courier New" w:eastAsia="Courier New" w:hAnsi="Courier New"/>
          <w:sz w:val="17"/>
          <w:szCs w:val="17"/>
          <w:color w:val="auto"/>
        </w:rPr>
      </w:pPr>
    </w:p>
    <w:p>
      <w:pPr>
        <w:ind w:left="49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this</w:t>
      </w:r>
    </w:p>
    <w:p>
      <w:pPr>
        <w:spacing w:after="0" w:line="391" w:lineRule="exact"/>
        <w:rPr>
          <w:sz w:val="20"/>
          <w:szCs w:val="20"/>
          <w:color w:val="auto"/>
        </w:rPr>
      </w:pPr>
    </w:p>
    <w:p>
      <w:pPr>
        <w:ind w:left="4256"/>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5"/>
          </w:cols>
          <w:pgMar w:left="244" w:top="697" w:right="1440" w:bottom="1440" w:gutter="0" w:footer="0" w:header="0"/>
        </w:sectPr>
      </w:pPr>
    </w:p>
    <w:bookmarkStart w:id="6" w:name="page7"/>
    <w:bookmarkEnd w:id="6"/>
    <w:p>
      <w:pPr>
        <w:ind w:right="2319"/>
        <w:spacing w:after="0" w:line="241" w:lineRule="auto"/>
        <w:rPr>
          <w:sz w:val="20"/>
          <w:szCs w:val="20"/>
          <w:color w:val="auto"/>
        </w:rPr>
      </w:pPr>
      <w:r>
        <w:rPr>
          <w:rFonts w:ascii="Courier New" w:cs="Courier New" w:eastAsia="Courier New" w:hAnsi="Courier New"/>
          <w:sz w:val="17"/>
          <w:szCs w:val="17"/>
          <w:color w:val="auto"/>
        </w:rPr>
        <w:t>matter will not have a material adverse effect on the Company's financial position, results of operations, or cash flows. Based on two favorable lower court rulings, management believes that all or a portion of the settlement costs incurred to date related to the Lynde fire may be recoverable from the Company's insurers. The Company's insurers have appealed the lower courts' decisions to the Eighth Circuit Court of Appeals. It is not possible, therefore, to determine at this time what recovery, if any, may be obtained by the Company and no amount has been recorded at December 31, 1997.</w:t>
      </w:r>
    </w:p>
    <w:p>
      <w:pPr>
        <w:spacing w:after="0" w:line="396"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719"/>
          </w:cols>
          <w:pgMar w:left="740" w:top="699" w:right="1440" w:bottom="1440" w:gutter="0" w:footer="0" w:header="0"/>
        </w:sectPr>
      </w:pPr>
    </w:p>
    <w:bookmarkStart w:id="7" w:name="page8"/>
    <w:bookmarkEnd w:id="7"/>
    <w:p>
      <w:pPr>
        <w:spacing w:after="0"/>
        <w:tabs>
          <w:tab w:leader="none" w:pos="100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MANAGEMENT'S DISCUSSION AND ANALYSIS OF</w:t>
      </w:r>
    </w:p>
    <w:p>
      <w:pPr>
        <w:spacing w:after="0" w:line="2"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9"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Net sales increased $2,730,812, or 13.7%, in the first quarter of this fiscal year as compared to the same quarter a year ago. Approximately half of this increase is due to increased sales of pharmaceutical chemicals, food grade products and high purity electroplating products. The remaining increase was due to general volume increases throughout the Company.</w:t>
      </w:r>
    </w:p>
    <w:p>
      <w:pPr>
        <w:spacing w:after="0" w:line="200" w:lineRule="exact"/>
        <w:rPr>
          <w:sz w:val="20"/>
          <w:szCs w:val="20"/>
          <w:color w:val="auto"/>
        </w:rPr>
      </w:pPr>
    </w:p>
    <w:p>
      <w:pPr>
        <w:ind w:right="2219"/>
        <w:spacing w:after="0"/>
        <w:rPr>
          <w:sz w:val="20"/>
          <w:szCs w:val="20"/>
          <w:color w:val="auto"/>
        </w:rPr>
      </w:pPr>
      <w:r>
        <w:rPr>
          <w:rFonts w:ascii="Courier New" w:cs="Courier New" w:eastAsia="Courier New" w:hAnsi="Courier New"/>
          <w:sz w:val="17"/>
          <w:szCs w:val="17"/>
          <w:color w:val="auto"/>
        </w:rPr>
        <w:t>The gross margin, as a percentage of net sales, for the first quarter of fiscal 1998 was 22.6% compared to 20.9% for the same quarter one year ago. This increase was mainly due to increased volumes in most product lines.</w:t>
      </w:r>
    </w:p>
    <w:p>
      <w:pPr>
        <w:spacing w:after="0" w:line="6"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Management expects the gross margin to stabilize in future periods. Historically, gross margins have flucuated in the first quarter of our fiscal year due to the mix of products sold, as the first quarter volumes are generally the weakest of the four quarters. The Company has generally been able to, and expects to continue to, adjust its selling prices as the cost of materials and other expenses change, thereby maintaining relatively stable gross margins.</w:t>
      </w:r>
    </w:p>
    <w:p>
      <w:pPr>
        <w:spacing w:after="0" w:line="202"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Selling, general and administrative expenses, as a percentage of net sales, for the first quarter of fiscal 1998 were 10.4% compared to 10.6% for the same quarter one year ago. Most of the expenses in this category are fixed, with the remaining expenses fluctuating only slightly with net sales.</w:t>
      </w:r>
    </w:p>
    <w:p>
      <w:pPr>
        <w:spacing w:after="0" w:line="199" w:lineRule="exact"/>
        <w:rPr>
          <w:sz w:val="20"/>
          <w:szCs w:val="20"/>
          <w:color w:val="auto"/>
        </w:rPr>
      </w:pPr>
    </w:p>
    <w:p>
      <w:pPr>
        <w:ind w:right="2319"/>
        <w:spacing w:after="0"/>
        <w:rPr>
          <w:sz w:val="20"/>
          <w:szCs w:val="20"/>
          <w:color w:val="auto"/>
        </w:rPr>
      </w:pPr>
      <w:r>
        <w:rPr>
          <w:rFonts w:ascii="Courier New" w:cs="Courier New" w:eastAsia="Courier New" w:hAnsi="Courier New"/>
          <w:sz w:val="17"/>
          <w:szCs w:val="17"/>
          <w:color w:val="auto"/>
        </w:rPr>
        <w:t>Income from operations increased $708,863, or 34.5%, in the first quarter of fiscal 1998, compared to fiscal 1997. This increase is primarily attributable to the increases in net sales and gross profit.</w:t>
      </w:r>
    </w:p>
    <w:p>
      <w:pPr>
        <w:spacing w:after="0" w:line="200"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Interest income increased $93,257, or 35.6%, for the quarter ended December 31, 1997 compared to the same quarter one year ago. This increase is due to an increase in the amount of cash available for investments, to a higher rate of return earned on cash equivalents and investments and to interest earned on the notes receivable relating to the sale of The Lynde Company in March of 1997. Interest expense decreased slightly due to the decline in long-term debt. Other miscellaneous income (deductions) decreased as compared to the previous year due to a gain on the sale of a parcel of real estate last year.</w:t>
      </w: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For the first quarter ended December 31, 1997, cash provided by operations was $340,538 compared to cash used in operations of $92,388 for the same period one year ago. This increase was due mainly to the increase in net income, which was partially offset by decreases in certain current asset and liability accounts discussed below. During the three months ended December 31, 1997, the Company invested $1,658,167 in property and equipment additions and added $142,219 to investments. The increase in capital expenditures this year as compared to the same quarter last year is due mainly to the installation of a truck washing system for the Company's food grade product operations.</w:t>
      </w:r>
    </w:p>
    <w:p>
      <w:pPr>
        <w:spacing w:after="0" w:line="204"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Accounts receivable, inventories, accounts payable and other current liabilities decreased during the first three months of fiscal 1998. Decreases in these accounts is typical for the first quarter of our fiscal year. Other current assets increased due to payments of prepaid expenses that will be charged to the remaining quarters of this fiscal year. The Company did not issue any securities during the quarter ended December 31, 1997.</w:t>
      </w:r>
    </w:p>
    <w:p>
      <w:pPr>
        <w:spacing w:after="0" w:line="201" w:lineRule="exact"/>
        <w:rPr>
          <w:sz w:val="20"/>
          <w:szCs w:val="20"/>
          <w:color w:val="auto"/>
        </w:rPr>
      </w:pPr>
    </w:p>
    <w:p>
      <w:pPr>
        <w:ind w:right="2219"/>
        <w:spacing w:after="0" w:line="261" w:lineRule="auto"/>
        <w:rPr>
          <w:sz w:val="20"/>
          <w:szCs w:val="20"/>
          <w:color w:val="auto"/>
        </w:rPr>
      </w:pPr>
      <w:r>
        <w:rPr>
          <w:rFonts w:ascii="Courier New" w:cs="Courier New" w:eastAsia="Courier New" w:hAnsi="Courier New"/>
          <w:sz w:val="16"/>
          <w:szCs w:val="16"/>
          <w:color w:val="auto"/>
        </w:rPr>
        <w:t>Cash flows from operations, coupled with the Company's strong cash position, puts the Company in a position to fund both short and long-term working capital and capital investment needs with internally generated funds. Management does not, therefore, anticipate the need to engage in significant financing</w:t>
      </w:r>
    </w:p>
    <w:p>
      <w:pPr>
        <w:spacing w:after="0" w:line="37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97" w:right="1440" w:bottom="1440" w:gutter="0" w:footer="0" w:header="0"/>
        </w:sectPr>
      </w:pPr>
    </w:p>
    <w:bookmarkStart w:id="8" w:name="page9"/>
    <w:bookmarkEnd w:id="8"/>
    <w:p>
      <w:pPr>
        <w:ind w:right="2319"/>
        <w:spacing w:after="0" w:line="241" w:lineRule="auto"/>
        <w:rPr>
          <w:sz w:val="20"/>
          <w:szCs w:val="20"/>
          <w:color w:val="auto"/>
        </w:rPr>
      </w:pPr>
      <w:r>
        <w:rPr>
          <w:rFonts w:ascii="Courier New" w:cs="Courier New" w:eastAsia="Courier New" w:hAnsi="Courier New"/>
          <w:sz w:val="17"/>
          <w:szCs w:val="17"/>
          <w:color w:val="auto"/>
        </w:rPr>
        <w:t>activities in either the short or long-term. If the need to obtain additional capital does arise, however, management is confident that the Company's total debt to capital ratio puts it in a position to issue either debt or equity securities on favorable terms.</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consist of short-term certificates of deposit and investments consist of relatively low-risk investment and annuity contracts with highly rated, stable insurance companies, and marketable securities consisting of investment grade municipal securities. These securities are carried at cost, which approximates fair value. All cash equivalents are highly liquid and are available upon demand. There are some penalties associated with the early liquidation of the Company's investment in annuity contracts.</w:t>
      </w:r>
    </w:p>
    <w:p>
      <w:pPr>
        <w:spacing w:after="0" w:line="198" w:lineRule="exact"/>
        <w:rPr>
          <w:sz w:val="20"/>
          <w:szCs w:val="20"/>
          <w:color w:val="auto"/>
        </w:rPr>
      </w:pPr>
    </w:p>
    <w:p>
      <w:pPr>
        <w:ind w:right="2219"/>
        <w:spacing w:after="0" w:line="261" w:lineRule="auto"/>
        <w:rPr>
          <w:sz w:val="20"/>
          <w:szCs w:val="20"/>
          <w:color w:val="auto"/>
        </w:rPr>
      </w:pPr>
      <w:r>
        <w:rPr>
          <w:rFonts w:ascii="Courier New" w:cs="Courier New" w:eastAsia="Courier New" w:hAnsi="Courier New"/>
          <w:sz w:val="16"/>
          <w:szCs w:val="16"/>
          <w:color w:val="auto"/>
        </w:rPr>
        <w:t>Other than as discussed above, management is not aware of any matters that have materially affected the first three months of fiscal 1998, or are expected to materially affect future periods, nor is management aware of other matters not affecting this period that are expected to materially affect future periods.</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FORWARD-LOOKING STATEMENTS</w:t>
      </w:r>
    </w:p>
    <w:p>
      <w:pPr>
        <w:spacing w:after="0" w:line="199" w:lineRule="exact"/>
        <w:rPr>
          <w:sz w:val="20"/>
          <w:szCs w:val="20"/>
          <w:color w:val="auto"/>
        </w:rPr>
      </w:pPr>
    </w:p>
    <w:p>
      <w:pPr>
        <w:ind w:right="2219"/>
        <w:spacing w:after="0" w:line="257" w:lineRule="auto"/>
        <w:rPr>
          <w:sz w:val="20"/>
          <w:szCs w:val="20"/>
          <w:color w:val="auto"/>
        </w:rPr>
      </w:pPr>
      <w:r>
        <w:rPr>
          <w:rFonts w:ascii="Courier New" w:cs="Courier New" w:eastAsia="Courier New" w:hAnsi="Courier New"/>
          <w:sz w:val="16"/>
          <w:szCs w:val="16"/>
          <w:color w:val="auto"/>
        </w:rPr>
        <w:t>THE INFORMATION CONTAINED IN THIS FORM 10-Q INCLUDES FORWARD-LOOKING STATEMENTS AS DEFINED IN SECTION 21E OF THE SECURITIES EXCHANGE ACT OF 1934, AS AMENDED. THESE FORWARD-LOOKING STATEMENTS INVOLVE A NUMBER OF RISKS AND UNCERTAINTIES, INCLUDING DEMAND FROM MAJOR CUSTOMERS, COMPETITION, CHANGES IN PRODUCT OR CUSTOMER MIX OR REVENUES, CHANGES IN PRODUCT COSTS AND OPERATING EXPENSES, ULTIMATE EXPENSES INCURRED IN CONNECTION WITH RECENTLY SETTLED LITIGATION AND OTHER FACTORS DISCLOSED THROUGHOUT THIS REPORT. THE ACTUAL RESULTS THAT THE COMPANY ACHIEVES MAY DIFFER MATERIALLY FROM ANY FORWARD-LOOKING STATEMENTS</w:t>
      </w:r>
    </w:p>
    <w:p>
      <w:pPr>
        <w:spacing w:after="0" w:line="3"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AND FUTURE RESULTS OF OPERATION.</w:t>
      </w:r>
    </w:p>
    <w:p>
      <w:pPr>
        <w:spacing w:after="0" w:line="395"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99" w:right="1440" w:bottom="1440" w:gutter="0" w:footer="0" w:header="0"/>
        </w:sectPr>
      </w:pPr>
    </w:p>
    <w:bookmarkStart w:id="9" w:name="page10"/>
    <w:bookmarkEnd w:id="9"/>
    <w:p>
      <w:pPr>
        <w:ind w:left="2840"/>
        <w:spacing w:after="0"/>
        <w:tabs>
          <w:tab w:leader="none" w:pos="3820" w:val="left"/>
        </w:tabs>
        <w:rPr>
          <w:sz w:val="20"/>
          <w:szCs w:val="20"/>
          <w:color w:val="auto"/>
        </w:rPr>
      </w:pPr>
      <w:r>
        <w:rPr>
          <w:rFonts w:ascii="Courier New" w:cs="Courier New" w:eastAsia="Courier New" w:hAnsi="Courier New"/>
          <w:sz w:val="17"/>
          <w:szCs w:val="17"/>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199" w:lineRule="exact"/>
        <w:rPr>
          <w:sz w:val="20"/>
          <w:szCs w:val="20"/>
          <w:color w:val="auto"/>
        </w:rPr>
      </w:pPr>
    </w:p>
    <w:p>
      <w:pPr>
        <w:ind w:right="2639"/>
        <w:spacing w:after="0" w:line="241" w:lineRule="auto"/>
        <w:rPr>
          <w:sz w:val="20"/>
          <w:szCs w:val="20"/>
          <w:color w:val="auto"/>
        </w:rPr>
      </w:pPr>
      <w:r>
        <w:rPr>
          <w:rFonts w:ascii="Courier New" w:cs="Courier New" w:eastAsia="Courier New" w:hAnsi="Courier New"/>
          <w:sz w:val="17"/>
          <w:szCs w:val="17"/>
          <w:color w:val="auto"/>
        </w:rPr>
        <w:t>As of the date of this filing, neither the Registrant nor any of its subsidiaries were involved in any pending legal proceedings to which the Registrant or its subsidiaries was a party or of which any property of the Registrant or its subsidiaries were the subject other than ordinary routine litigation incidental to their business, except as follows:</w:t>
      </w:r>
    </w:p>
    <w:p>
      <w:pPr>
        <w:spacing w:after="0" w:line="200" w:lineRule="exact"/>
        <w:rPr>
          <w:sz w:val="20"/>
          <w:szCs w:val="20"/>
          <w:color w:val="auto"/>
        </w:rPr>
      </w:pPr>
    </w:p>
    <w:p>
      <w:pPr>
        <w:ind w:left="500" w:right="2639"/>
        <w:spacing w:after="0" w:line="241" w:lineRule="auto"/>
        <w:rPr>
          <w:sz w:val="20"/>
          <w:szCs w:val="20"/>
          <w:color w:val="auto"/>
        </w:rPr>
      </w:pPr>
      <w:r>
        <w:rPr>
          <w:rFonts w:ascii="Courier New" w:cs="Courier New" w:eastAsia="Courier New" w:hAnsi="Courier New"/>
          <w:sz w:val="17"/>
          <w:szCs w:val="17"/>
          <w:color w:val="auto"/>
        </w:rPr>
        <w:t>LYNDE COMPANY WAREHOUSE FIRE. On March 1, 1995, the Company and its former subsidiary, The Lynde Company, were named as defendants in an action entitled DONNA M. COOKSEY, ET AL. V. HAWKINS CHEMICAL, INC. AND THE LYNDE COMPANY ("COOKSEY"). This action was certified as a partial class action in 1997. The Registrant has entered into a class settlement agreement with the class, pursuant to which the Registrant has agreed to pay certain costs and expenses of the class, as well as certain compensation to the class pursuant to a Matrix and Plan of Distribution which form a part of the settlement agreement.</w:t>
      </w:r>
    </w:p>
    <w:p>
      <w:pPr>
        <w:spacing w:after="0" w:line="204" w:lineRule="exact"/>
        <w:rPr>
          <w:sz w:val="20"/>
          <w:szCs w:val="20"/>
          <w:color w:val="auto"/>
        </w:rPr>
      </w:pPr>
    </w:p>
    <w:p>
      <w:pPr>
        <w:ind w:left="500" w:right="2739"/>
        <w:spacing w:after="0" w:line="241" w:lineRule="auto"/>
        <w:rPr>
          <w:sz w:val="20"/>
          <w:szCs w:val="20"/>
          <w:color w:val="auto"/>
        </w:rPr>
      </w:pPr>
      <w:r>
        <w:rPr>
          <w:rFonts w:ascii="Courier New" w:cs="Courier New" w:eastAsia="Courier New" w:hAnsi="Courier New"/>
          <w:sz w:val="17"/>
          <w:szCs w:val="17"/>
          <w:color w:val="auto"/>
        </w:rPr>
        <w:t>The district court approved the settlement on January 30, 1998. Pursuant to the settlement, in early February 1998 the Company paid $850,000 to attorneys for the class, and $5,000 to each of the four class representatives. It is not possible at this time to quantify the probable additional settlement costs which may be payable by the Registrant pursuant to the Matrix and Plan of Distribution which form a part of the settlement agreement. The Registrant reasonably expects, however, that such settlement costs will be estimable by the end of 1998.</w:t>
      </w:r>
    </w:p>
    <w:p>
      <w:pPr>
        <w:spacing w:after="0" w:line="3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7" w:right="1440" w:bottom="1440" w:gutter="0" w:footer="0" w:header="0"/>
        </w:sectPr>
      </w:pPr>
    </w:p>
    <w:bookmarkStart w:id="10" w:name="page11"/>
    <w:bookmarkEnd w:id="10"/>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6" w:lineRule="exact"/>
        <w:rPr>
          <w:sz w:val="20"/>
          <w:szCs w:val="20"/>
          <w:color w:val="auto"/>
        </w:rPr>
      </w:pPr>
    </w:p>
    <w:p>
      <w:pPr>
        <w:ind w:left="500" w:hanging="496"/>
        <w:spacing w:after="0"/>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4" w:lineRule="exact"/>
        <w:rPr>
          <w:rFonts w:ascii="Courier New" w:cs="Courier New" w:eastAsia="Courier New" w:hAnsi="Courier New"/>
          <w:sz w:val="17"/>
          <w:szCs w:val="17"/>
          <w:color w:val="auto"/>
        </w:rPr>
      </w:pPr>
    </w:p>
    <w:p>
      <w:pPr>
        <w:ind w:left="500" w:right="2119"/>
        <w:spacing w:after="0" w:line="26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following exhibits are included with this Quarterly Report on Form 10-Q (or incorporated by reference) as required by Item 601 of Regulation S-K.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20" w:type="dxa"/>
            <w:vAlign w:val="bottom"/>
          </w:tcPr>
          <w:p>
            <w:pPr>
              <w:jc w:val="center"/>
              <w:ind w:right="416"/>
              <w:spacing w:after="0"/>
              <w:rPr>
                <w:sz w:val="20"/>
                <w:szCs w:val="20"/>
                <w:color w:val="auto"/>
              </w:rPr>
            </w:pPr>
            <w:r>
              <w:rPr>
                <w:rFonts w:ascii="Courier New" w:cs="Courier New" w:eastAsia="Courier New" w:hAnsi="Courier New"/>
                <w:sz w:val="17"/>
                <w:szCs w:val="17"/>
                <w:color w:val="auto"/>
                <w:w w:val="99"/>
              </w:rPr>
              <w:t>Exhibit No.</w:t>
            </w:r>
          </w:p>
        </w:tc>
        <w:tc>
          <w:tcPr>
            <w:tcW w:w="6180" w:type="dxa"/>
            <w:vAlign w:val="bottom"/>
          </w:tcPr>
          <w:p>
            <w:pPr>
              <w:ind w:left="2120"/>
              <w:spacing w:after="0"/>
              <w:rPr>
                <w:sz w:val="20"/>
                <w:szCs w:val="20"/>
                <w:color w:val="auto"/>
              </w:rPr>
            </w:pPr>
            <w:r>
              <w:rPr>
                <w:rFonts w:ascii="Courier New" w:cs="Courier New" w:eastAsia="Courier New" w:hAnsi="Courier New"/>
                <w:sz w:val="17"/>
                <w:szCs w:val="17"/>
                <w:color w:val="auto"/>
              </w:rPr>
              <w:t>Description of Exhibit</w:t>
            </w:r>
          </w:p>
        </w:tc>
      </w:tr>
      <w:tr>
        <w:trPr>
          <w:trHeight w:val="194"/>
        </w:trPr>
        <w:tc>
          <w:tcPr>
            <w:tcW w:w="18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 -------------</w:t>
            </w:r>
          </w:p>
        </w:tc>
        <w:tc>
          <w:tcPr>
            <w:tcW w:w="6180" w:type="dxa"/>
            <w:vAlign w:val="bottom"/>
          </w:tcPr>
          <w:p>
            <w:pPr>
              <w:ind w:left="500"/>
              <w:spacing w:after="0"/>
              <w:rPr>
                <w:sz w:val="20"/>
                <w:szCs w:val="20"/>
                <w:color w:val="auto"/>
              </w:rPr>
            </w:pPr>
            <w:r>
              <w:rPr>
                <w:rFonts w:ascii="Courier New" w:cs="Courier New" w:eastAsia="Courier New" w:hAnsi="Courier New"/>
                <w:sz w:val="17"/>
                <w:szCs w:val="17"/>
                <w:color w:val="auto"/>
                <w:w w:val="99"/>
              </w:rPr>
              <w:t>--------------------------------------------------------</w:t>
            </w:r>
          </w:p>
        </w:tc>
      </w:tr>
      <w:tr>
        <w:trPr>
          <w:trHeight w:val="389"/>
        </w:trPr>
        <w:tc>
          <w:tcPr>
            <w:tcW w:w="1820" w:type="dxa"/>
            <w:vAlign w:val="bottom"/>
          </w:tcPr>
          <w:p>
            <w:pPr>
              <w:jc w:val="center"/>
              <w:ind w:right="416"/>
              <w:spacing w:after="0"/>
              <w:rPr>
                <w:sz w:val="20"/>
                <w:szCs w:val="20"/>
                <w:color w:val="auto"/>
              </w:rPr>
            </w:pPr>
            <w:r>
              <w:rPr>
                <w:rFonts w:ascii="Courier New" w:cs="Courier New" w:eastAsia="Courier New" w:hAnsi="Courier New"/>
                <w:sz w:val="17"/>
                <w:szCs w:val="17"/>
                <w:color w:val="auto"/>
              </w:rPr>
              <w:t>3.1</w:t>
            </w:r>
          </w:p>
        </w:tc>
        <w:tc>
          <w:tcPr>
            <w:tcW w:w="6180" w:type="dxa"/>
            <w:vAlign w:val="bottom"/>
          </w:tcPr>
          <w:p>
            <w:pPr>
              <w:ind w:left="300"/>
              <w:spacing w:after="0"/>
              <w:rPr>
                <w:sz w:val="20"/>
                <w:szCs w:val="20"/>
                <w:color w:val="auto"/>
              </w:rPr>
            </w:pPr>
            <w:r>
              <w:rPr>
                <w:rFonts w:ascii="Courier New" w:cs="Courier New" w:eastAsia="Courier New" w:hAnsi="Courier New"/>
                <w:sz w:val="17"/>
                <w:szCs w:val="17"/>
                <w:color w:val="auto"/>
              </w:rPr>
              <w:t>Amended and Second Restated Articles of Incorporation as</w:t>
            </w:r>
          </w:p>
        </w:tc>
      </w:tr>
      <w:tr>
        <w:trPr>
          <w:trHeight w:val="194"/>
        </w:trPr>
        <w:tc>
          <w:tcPr>
            <w:tcW w:w="1820" w:type="dxa"/>
            <w:vAlign w:val="bottom"/>
          </w:tcPr>
          <w:p>
            <w:pPr>
              <w:spacing w:after="0"/>
              <w:rPr>
                <w:sz w:val="16"/>
                <w:szCs w:val="16"/>
                <w:color w:val="auto"/>
              </w:rPr>
            </w:pPr>
          </w:p>
        </w:tc>
        <w:tc>
          <w:tcPr>
            <w:tcW w:w="6180" w:type="dxa"/>
            <w:vAlign w:val="bottom"/>
          </w:tcPr>
          <w:p>
            <w:pPr>
              <w:ind w:left="300"/>
              <w:spacing w:after="0"/>
              <w:rPr>
                <w:sz w:val="20"/>
                <w:szCs w:val="20"/>
                <w:color w:val="auto"/>
              </w:rPr>
            </w:pPr>
            <w:r>
              <w:rPr>
                <w:rFonts w:ascii="Courier New" w:cs="Courier New" w:eastAsia="Courier New" w:hAnsi="Courier New"/>
                <w:sz w:val="17"/>
                <w:szCs w:val="17"/>
                <w:color w:val="auto"/>
              </w:rPr>
              <w:t>amended through February 28, 1989 (Incorporated by</w:t>
            </w:r>
          </w:p>
        </w:tc>
      </w:tr>
      <w:tr>
        <w:trPr>
          <w:trHeight w:val="194"/>
        </w:trPr>
        <w:tc>
          <w:tcPr>
            <w:tcW w:w="1820" w:type="dxa"/>
            <w:vAlign w:val="bottom"/>
          </w:tcPr>
          <w:p>
            <w:pPr>
              <w:spacing w:after="0"/>
              <w:rPr>
                <w:sz w:val="16"/>
                <w:szCs w:val="16"/>
                <w:color w:val="auto"/>
              </w:rPr>
            </w:pPr>
          </w:p>
        </w:tc>
        <w:tc>
          <w:tcPr>
            <w:tcW w:w="6180" w:type="dxa"/>
            <w:vAlign w:val="bottom"/>
          </w:tcPr>
          <w:p>
            <w:pPr>
              <w:ind w:left="300"/>
              <w:spacing w:after="0"/>
              <w:rPr>
                <w:sz w:val="20"/>
                <w:szCs w:val="20"/>
                <w:color w:val="auto"/>
              </w:rPr>
            </w:pPr>
            <w:r>
              <w:rPr>
                <w:rFonts w:ascii="Courier New" w:cs="Courier New" w:eastAsia="Courier New" w:hAnsi="Courier New"/>
                <w:sz w:val="17"/>
                <w:szCs w:val="17"/>
                <w:color w:val="auto"/>
              </w:rPr>
              <w:t>reference to Exhibit 3D to the Registrant's Quarterly</w:t>
            </w:r>
          </w:p>
        </w:tc>
      </w:tr>
      <w:tr>
        <w:trPr>
          <w:trHeight w:val="194"/>
        </w:trPr>
        <w:tc>
          <w:tcPr>
            <w:tcW w:w="1820" w:type="dxa"/>
            <w:vAlign w:val="bottom"/>
          </w:tcPr>
          <w:p>
            <w:pPr>
              <w:spacing w:after="0"/>
              <w:rPr>
                <w:sz w:val="16"/>
                <w:szCs w:val="16"/>
                <w:color w:val="auto"/>
              </w:rPr>
            </w:pPr>
          </w:p>
        </w:tc>
        <w:tc>
          <w:tcPr>
            <w:tcW w:w="6180" w:type="dxa"/>
            <w:vAlign w:val="bottom"/>
          </w:tcPr>
          <w:p>
            <w:pPr>
              <w:ind w:left="300"/>
              <w:spacing w:after="0"/>
              <w:rPr>
                <w:sz w:val="20"/>
                <w:szCs w:val="20"/>
                <w:color w:val="auto"/>
              </w:rPr>
            </w:pPr>
            <w:r>
              <w:rPr>
                <w:rFonts w:ascii="Courier New" w:cs="Courier New" w:eastAsia="Courier New" w:hAnsi="Courier New"/>
                <w:sz w:val="17"/>
                <w:szCs w:val="17"/>
                <w:color w:val="auto"/>
                <w:w w:val="99"/>
              </w:rPr>
              <w:t>Report on Form 10-Q for the quarter ended March 31, 1989).</w:t>
            </w:r>
          </w:p>
        </w:tc>
      </w:tr>
      <w:tr>
        <w:trPr>
          <w:trHeight w:val="389"/>
        </w:trPr>
        <w:tc>
          <w:tcPr>
            <w:tcW w:w="1820" w:type="dxa"/>
            <w:vAlign w:val="bottom"/>
          </w:tcPr>
          <w:p>
            <w:pPr>
              <w:jc w:val="center"/>
              <w:ind w:right="416"/>
              <w:spacing w:after="0"/>
              <w:rPr>
                <w:sz w:val="20"/>
                <w:szCs w:val="20"/>
                <w:color w:val="auto"/>
              </w:rPr>
            </w:pPr>
            <w:r>
              <w:rPr>
                <w:rFonts w:ascii="Courier New" w:cs="Courier New" w:eastAsia="Courier New" w:hAnsi="Courier New"/>
                <w:sz w:val="17"/>
                <w:szCs w:val="17"/>
                <w:color w:val="auto"/>
              </w:rPr>
              <w:t>3.2</w:t>
            </w:r>
          </w:p>
        </w:tc>
        <w:tc>
          <w:tcPr>
            <w:tcW w:w="6180" w:type="dxa"/>
            <w:vAlign w:val="bottom"/>
          </w:tcPr>
          <w:p>
            <w:pPr>
              <w:ind w:left="300"/>
              <w:spacing w:after="0"/>
              <w:rPr>
                <w:sz w:val="20"/>
                <w:szCs w:val="20"/>
                <w:color w:val="auto"/>
              </w:rPr>
            </w:pPr>
            <w:r>
              <w:rPr>
                <w:rFonts w:ascii="Courier New" w:cs="Courier New" w:eastAsia="Courier New" w:hAnsi="Courier New"/>
                <w:sz w:val="17"/>
                <w:szCs w:val="17"/>
                <w:color w:val="auto"/>
              </w:rPr>
              <w:t>Second Amended and Superseding By-Laws as amended through</w:t>
            </w:r>
          </w:p>
        </w:tc>
      </w:tr>
      <w:tr>
        <w:trPr>
          <w:trHeight w:val="194"/>
        </w:trPr>
        <w:tc>
          <w:tcPr>
            <w:tcW w:w="1820" w:type="dxa"/>
            <w:vAlign w:val="bottom"/>
          </w:tcPr>
          <w:p>
            <w:pPr>
              <w:spacing w:after="0"/>
              <w:rPr>
                <w:sz w:val="16"/>
                <w:szCs w:val="16"/>
                <w:color w:val="auto"/>
              </w:rPr>
            </w:pPr>
          </w:p>
        </w:tc>
        <w:tc>
          <w:tcPr>
            <w:tcW w:w="6180" w:type="dxa"/>
            <w:vAlign w:val="bottom"/>
          </w:tcPr>
          <w:p>
            <w:pPr>
              <w:ind w:left="300"/>
              <w:spacing w:after="0"/>
              <w:rPr>
                <w:sz w:val="20"/>
                <w:szCs w:val="20"/>
                <w:color w:val="auto"/>
              </w:rPr>
            </w:pPr>
            <w:r>
              <w:rPr>
                <w:rFonts w:ascii="Courier New" w:cs="Courier New" w:eastAsia="Courier New" w:hAnsi="Courier New"/>
                <w:sz w:val="17"/>
                <w:szCs w:val="17"/>
                <w:color w:val="auto"/>
              </w:rPr>
              <w:t>February 15, 1995 (incorporated by reference to Exhibit</w:t>
            </w:r>
          </w:p>
        </w:tc>
      </w:tr>
      <w:tr>
        <w:trPr>
          <w:trHeight w:val="194"/>
        </w:trPr>
        <w:tc>
          <w:tcPr>
            <w:tcW w:w="1820" w:type="dxa"/>
            <w:vAlign w:val="bottom"/>
          </w:tcPr>
          <w:p>
            <w:pPr>
              <w:spacing w:after="0"/>
              <w:rPr>
                <w:sz w:val="16"/>
                <w:szCs w:val="16"/>
                <w:color w:val="auto"/>
              </w:rPr>
            </w:pPr>
          </w:p>
        </w:tc>
        <w:tc>
          <w:tcPr>
            <w:tcW w:w="6180" w:type="dxa"/>
            <w:vAlign w:val="bottom"/>
          </w:tcPr>
          <w:p>
            <w:pPr>
              <w:ind w:left="300"/>
              <w:spacing w:after="0"/>
              <w:rPr>
                <w:sz w:val="20"/>
                <w:szCs w:val="20"/>
                <w:color w:val="auto"/>
              </w:rPr>
            </w:pPr>
            <w:r>
              <w:rPr>
                <w:rFonts w:ascii="Courier New" w:cs="Courier New" w:eastAsia="Courier New" w:hAnsi="Courier New"/>
                <w:sz w:val="17"/>
                <w:szCs w:val="17"/>
                <w:color w:val="auto"/>
                <w:w w:val="99"/>
              </w:rPr>
              <w:t>3.2 to the Registrant's Annual Report on Form 10-K for the</w:t>
            </w:r>
          </w:p>
        </w:tc>
      </w:tr>
      <w:tr>
        <w:trPr>
          <w:trHeight w:val="194"/>
        </w:trPr>
        <w:tc>
          <w:tcPr>
            <w:tcW w:w="1820" w:type="dxa"/>
            <w:vAlign w:val="bottom"/>
          </w:tcPr>
          <w:p>
            <w:pPr>
              <w:spacing w:after="0"/>
              <w:rPr>
                <w:sz w:val="16"/>
                <w:szCs w:val="16"/>
                <w:color w:val="auto"/>
              </w:rPr>
            </w:pPr>
          </w:p>
        </w:tc>
        <w:tc>
          <w:tcPr>
            <w:tcW w:w="6180" w:type="dxa"/>
            <w:vAlign w:val="bottom"/>
          </w:tcPr>
          <w:p>
            <w:pPr>
              <w:ind w:left="300"/>
              <w:spacing w:after="0"/>
              <w:rPr>
                <w:sz w:val="20"/>
                <w:szCs w:val="20"/>
                <w:color w:val="auto"/>
              </w:rPr>
            </w:pPr>
            <w:r>
              <w:rPr>
                <w:rFonts w:ascii="Courier New" w:cs="Courier New" w:eastAsia="Courier New" w:hAnsi="Courier New"/>
                <w:sz w:val="17"/>
                <w:szCs w:val="17"/>
                <w:color w:val="auto"/>
              </w:rPr>
              <w:t>year ended October 1, 1995).</w:t>
            </w:r>
          </w:p>
        </w:tc>
      </w:tr>
    </w:tbl>
    <w:p>
      <w:pPr>
        <w:spacing w:after="0" w:line="196" w:lineRule="exact"/>
        <w:rPr>
          <w:sz w:val="20"/>
          <w:szCs w:val="20"/>
          <w:color w:val="auto"/>
        </w:rPr>
      </w:pPr>
    </w:p>
    <w:p>
      <w:pPr>
        <w:ind w:left="2120" w:hanging="1510"/>
        <w:spacing w:after="0"/>
        <w:tabs>
          <w:tab w:leader="none" w:pos="21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Exhibits 3.1 and 3.2 above.</w:t>
      </w:r>
    </w:p>
    <w:p>
      <w:pPr>
        <w:spacing w:after="0" w:line="196" w:lineRule="exact"/>
        <w:rPr>
          <w:sz w:val="20"/>
          <w:szCs w:val="20"/>
          <w:color w:val="auto"/>
        </w:rPr>
      </w:pPr>
    </w:p>
    <w:p>
      <w:pPr>
        <w:ind w:left="2120" w:hanging="1510"/>
        <w:spacing w:after="0"/>
        <w:tabs>
          <w:tab w:leader="none" w:pos="212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spacing w:after="0" w:line="200" w:lineRule="exact"/>
        <w:rPr>
          <w:rFonts w:ascii="Courier New" w:cs="Courier New" w:eastAsia="Courier New" w:hAnsi="Courier New"/>
          <w:sz w:val="17"/>
          <w:szCs w:val="17"/>
          <w:color w:val="auto"/>
        </w:rPr>
      </w:pPr>
    </w:p>
    <w:p>
      <w:pPr>
        <w:spacing w:after="0" w:line="385" w:lineRule="exact"/>
        <w:rPr>
          <w:rFonts w:ascii="Courier New" w:cs="Courier New" w:eastAsia="Courier New" w:hAnsi="Courier New"/>
          <w:sz w:val="17"/>
          <w:szCs w:val="17"/>
          <w:color w:val="auto"/>
        </w:rPr>
      </w:pPr>
    </w:p>
    <w:p>
      <w:pPr>
        <w:ind w:left="500" w:hanging="496"/>
        <w:spacing w:after="0"/>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198" w:lineRule="exact"/>
        <w:rPr>
          <w:rFonts w:ascii="Courier New" w:cs="Courier New" w:eastAsia="Courier New" w:hAnsi="Courier New"/>
          <w:sz w:val="17"/>
          <w:szCs w:val="17"/>
          <w:color w:val="auto"/>
        </w:rPr>
      </w:pPr>
    </w:p>
    <w:p>
      <w:pPr>
        <w:ind w:left="500" w:right="263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 reports on Form 8-K have been filed during the fiscal quarter ended DECEMBER 31, 1997.</w:t>
      </w:r>
    </w:p>
    <w:p>
      <w:pPr>
        <w:spacing w:after="0" w:line="392" w:lineRule="exact"/>
        <w:rPr>
          <w:sz w:val="20"/>
          <w:szCs w:val="20"/>
          <w:color w:val="auto"/>
        </w:rPr>
      </w:pPr>
    </w:p>
    <w:p>
      <w:pPr>
        <w:jc w:val="center"/>
        <w:ind w:right="1619"/>
        <w:spacing w:after="0"/>
        <w:rPr>
          <w:sz w:val="20"/>
          <w:szCs w:val="20"/>
          <w:color w:val="auto"/>
        </w:rPr>
      </w:pPr>
      <w:r>
        <w:rPr>
          <w:rFonts w:ascii="Courier New" w:cs="Courier New" w:eastAsia="Courier New" w:hAnsi="Courier New"/>
          <w:sz w:val="17"/>
          <w:szCs w:val="17"/>
          <w:color w:val="auto"/>
        </w:rPr>
        <w:t>SIGNATURE</w:t>
      </w:r>
    </w:p>
    <w:p>
      <w:pPr>
        <w:spacing w:after="0" w:line="199" w:lineRule="exact"/>
        <w:rPr>
          <w:sz w:val="20"/>
          <w:szCs w:val="20"/>
          <w:color w:val="auto"/>
        </w:rPr>
      </w:pPr>
    </w:p>
    <w:p>
      <w:pPr>
        <w:ind w:right="2319" w:firstLine="1011"/>
        <w:spacing w:after="0"/>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HAWKINS CHEMICAL, INC.</w:t>
      </w:r>
    </w:p>
    <w:p>
      <w:pPr>
        <w:spacing w:after="0" w:line="391" w:lineRule="exact"/>
        <w:rPr>
          <w:sz w:val="20"/>
          <w:szCs w:val="20"/>
          <w:color w:val="auto"/>
        </w:rPr>
      </w:pPr>
    </w:p>
    <w:p>
      <w:pPr>
        <w:ind w:left="2540"/>
        <w:spacing w:after="0"/>
        <w:tabs>
          <w:tab w:leader="none" w:pos="3020" w:val="left"/>
        </w:tabs>
        <w:rPr>
          <w:sz w:val="20"/>
          <w:szCs w:val="20"/>
          <w:color w:val="auto"/>
        </w:rPr>
      </w:pPr>
      <w:r>
        <w:rPr>
          <w:rFonts w:ascii="Courier New" w:cs="Courier New" w:eastAsia="Courier New" w:hAnsi="Courier New"/>
          <w:sz w:val="17"/>
          <w:szCs w:val="17"/>
          <w:color w:val="auto"/>
        </w:rPr>
        <w:t>BY</w:t>
        <w:tab/>
        <w:t>/s/ Howard M. Hawkins</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Howard M. Hawkins, Treasurer,</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Chief Financial and Accounting Officer</w:t>
      </w:r>
    </w:p>
    <w:p>
      <w:pPr>
        <w:spacing w:after="0" w:line="391"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6"/>
          <w:szCs w:val="16"/>
          <w:color w:val="auto"/>
        </w:rPr>
        <w:t>February 12, 1998</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97" w:right="1440" w:bottom="1440" w:gutter="0" w:footer="0" w:header="0"/>
        </w:sectPr>
      </w:pPr>
    </w:p>
    <w:bookmarkStart w:id="11" w:name="page12"/>
    <w:bookmarkEnd w:id="11"/>
    <w:p>
      <w:pPr>
        <w:ind w:left="3540"/>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387"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The following exhibits are included with this Quarterly Report on Form 10-Q (or incorporated by reference) as required by Item 601 of Regulation S-K.</w:t>
      </w:r>
    </w:p>
    <w:p>
      <w:pPr>
        <w:sectPr>
          <w:pgSz w:w="11900" w:h="16838" w:orient="portrait"/>
          <w:cols w:equalWidth="0" w:num="1">
            <w:col w:w="10219"/>
          </w:cols>
          <w:pgMar w:left="240" w:top="6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Exhibit No.</w:t>
      </w:r>
    </w:p>
    <w:p>
      <w:pPr>
        <w:spacing w:after="0" w:line="1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0"/>
          <w:szCs w:val="20"/>
          <w:color w:val="auto"/>
        </w:rPr>
      </w:pPr>
    </w:p>
    <w:p>
      <w:pPr>
        <w:sectPr>
          <w:pgSz w:w="11900" w:h="16838" w:orient="portrait"/>
          <w:cols w:equalWidth="0" w:num="3">
            <w:col w:w="2420" w:space="720"/>
            <w:col w:w="3320" w:space="720"/>
            <w:col w:w="3039"/>
          </w:cols>
          <w:pgMar w:left="240" w:top="697" w:right="1440" w:bottom="1440" w:gutter="0" w:footer="0" w:header="0"/>
          <w:type w:val="continuous"/>
        </w:sectPr>
      </w:pPr>
    </w:p>
    <w:p>
      <w:pPr>
        <w:ind w:left="1320" w:right="3039" w:hanging="808"/>
        <w:spacing w:after="0" w:line="261" w:lineRule="auto"/>
        <w:tabs>
          <w:tab w:leader="none" w:pos="1300" w:val="left"/>
        </w:tabs>
        <w:rPr>
          <w:sz w:val="20"/>
          <w:szCs w:val="20"/>
          <w:color w:val="auto"/>
        </w:rPr>
      </w:pPr>
      <w:r>
        <w:rPr>
          <w:rFonts w:ascii="Courier New" w:cs="Courier New" w:eastAsia="Courier New" w:hAnsi="Courier New"/>
          <w:sz w:val="17"/>
          <w:szCs w:val="17"/>
          <w:color w:val="auto"/>
        </w:rPr>
        <w:t>3.1</w:t>
      </w:r>
      <w:r>
        <w:rPr>
          <w:sz w:val="20"/>
          <w:szCs w:val="20"/>
          <w:color w:val="auto"/>
        </w:rPr>
        <w:tab/>
      </w:r>
      <w:r>
        <w:rPr>
          <w:rFonts w:ascii="Courier New" w:cs="Courier New" w:eastAsia="Courier New" w:hAnsi="Courier New"/>
          <w:sz w:val="16"/>
          <w:szCs w:val="16"/>
          <w:color w:val="auto"/>
        </w:rPr>
        <w:t>Amended and Second Restated Articles of Incorporation as amended through February 28, 1989 (Incorporated by reference to Exhibit 3D to the Registrant's Quarterly Report on Form 10-Q for the quarter ended March 31, 1989).</w:t>
      </w:r>
    </w:p>
    <w:p>
      <w:pPr>
        <w:spacing w:after="0" w:line="184" w:lineRule="exact"/>
        <w:rPr>
          <w:sz w:val="20"/>
          <w:szCs w:val="20"/>
          <w:color w:val="auto"/>
        </w:rPr>
      </w:pPr>
    </w:p>
    <w:p>
      <w:pPr>
        <w:ind w:left="1320" w:right="3139" w:hanging="808"/>
        <w:spacing w:after="0" w:line="257" w:lineRule="auto"/>
        <w:tabs>
          <w:tab w:leader="none" w:pos="1300" w:val="left"/>
        </w:tabs>
        <w:rPr>
          <w:sz w:val="20"/>
          <w:szCs w:val="20"/>
          <w:color w:val="auto"/>
        </w:rPr>
      </w:pPr>
      <w:r>
        <w:rPr>
          <w:rFonts w:ascii="Courier New" w:cs="Courier New" w:eastAsia="Courier New" w:hAnsi="Courier New"/>
          <w:sz w:val="17"/>
          <w:szCs w:val="17"/>
          <w:color w:val="auto"/>
        </w:rPr>
        <w:t>3.2</w:t>
      </w:r>
      <w:r>
        <w:rPr>
          <w:sz w:val="20"/>
          <w:szCs w:val="20"/>
          <w:color w:val="auto"/>
        </w:rPr>
        <w:tab/>
      </w:r>
      <w:r>
        <w:rPr>
          <w:rFonts w:ascii="Courier New" w:cs="Courier New" w:eastAsia="Courier New" w:hAnsi="Courier New"/>
          <w:sz w:val="16"/>
          <w:szCs w:val="16"/>
          <w:color w:val="auto"/>
        </w:rPr>
        <w:t>Second Amended and Superseding By-Laws as amended through February 15, 1995 (incorporated by reference to Exhibit</w:t>
      </w:r>
    </w:p>
    <w:p>
      <w:pPr>
        <w:spacing w:after="0" w:line="1" w:lineRule="exact"/>
        <w:rPr>
          <w:sz w:val="20"/>
          <w:szCs w:val="20"/>
          <w:color w:val="auto"/>
        </w:rPr>
      </w:pPr>
    </w:p>
    <w:p>
      <w:pPr>
        <w:ind w:left="1320" w:right="3039"/>
        <w:spacing w:after="0" w:line="239" w:lineRule="auto"/>
        <w:rPr>
          <w:sz w:val="20"/>
          <w:szCs w:val="20"/>
          <w:color w:val="auto"/>
        </w:rPr>
      </w:pPr>
      <w:r>
        <w:rPr>
          <w:rFonts w:ascii="Courier New" w:cs="Courier New" w:eastAsia="Courier New" w:hAnsi="Courier New"/>
          <w:sz w:val="17"/>
          <w:szCs w:val="17"/>
          <w:color w:val="auto"/>
        </w:rPr>
        <w:t>3.2 to the Registrant's Annual Report on Form 10-K for the year ended October 1, 1995).</w:t>
      </w:r>
    </w:p>
    <w:p>
      <w:pPr>
        <w:spacing w:after="0" w:line="198" w:lineRule="exact"/>
        <w:rPr>
          <w:sz w:val="20"/>
          <w:szCs w:val="20"/>
          <w:color w:val="auto"/>
        </w:rPr>
      </w:pPr>
    </w:p>
    <w:p>
      <w:pPr>
        <w:ind w:left="1320" w:hanging="710"/>
        <w:spacing w:after="0"/>
        <w:tabs>
          <w:tab w:leader="none" w:pos="13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Exhibits 3.1 and 3.2 above.</w:t>
      </w:r>
    </w:p>
    <w:p>
      <w:pPr>
        <w:spacing w:after="0" w:line="196" w:lineRule="exact"/>
        <w:rPr>
          <w:sz w:val="20"/>
          <w:szCs w:val="20"/>
          <w:color w:val="auto"/>
        </w:rPr>
      </w:pPr>
    </w:p>
    <w:p>
      <w:pPr>
        <w:ind w:left="620"/>
        <w:spacing w:after="0"/>
        <w:tabs>
          <w:tab w:leader="none" w:pos="1300" w:val="left"/>
          <w:tab w:leader="none" w:pos="746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7"/>
          <w:szCs w:val="17"/>
          <w:color w:val="auto"/>
        </w:rPr>
        <w:t>Financial Data Schedule</w:t>
      </w:r>
      <w:r>
        <w:rPr>
          <w:sz w:val="20"/>
          <w:szCs w:val="20"/>
          <w:color w:val="auto"/>
        </w:rPr>
        <w:tab/>
      </w: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385"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97" w:right="1440" w:bottom="1440" w:gutter="0" w:footer="0" w:header="0"/>
          <w:type w:val="continuous"/>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5</w:t>
      </w:r>
    </w:p>
    <w:p>
      <w:pPr>
        <w:spacing w:after="0" w:line="391"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3-MOS</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SEP-27-1998</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SEP-29-1997</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DEC-31-1997</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5,528,662</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12,122,297</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10,883,486</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346,382</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8,205,886</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38,955,609</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29,839,703</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13,085,956</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61,963,483</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9,717,851</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423,402</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580,195</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50,259,035</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61,963,483</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22,666,870</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22,666,870</w:t>
      </w:r>
    </w:p>
    <w:p>
      <w:pPr>
        <w:spacing w:after="0" w:line="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7"/>
          <w:szCs w:val="17"/>
          <w:color w:val="auto"/>
        </w:rPr>
        <w:t>17,551,158</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17,551,158</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10,793</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3,125,956</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1,228,500</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1,897,456</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1,897,456</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.16</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.16</w:t>
      </w:r>
    </w:p>
    <w:sectPr>
      <w:pgSz w:w="11900" w:h="16838" w:orient="portrait"/>
      <w:cols w:equalWidth="0" w:num="1">
        <w:col w:w="10119"/>
      </w:cols>
      <w:pgMar w:left="3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612"/>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4"/>
      <w:numFmt w:val="bullet"/>
      <w:start w:val="1"/>
    </w:lvl>
  </w:abstractNum>
  <w:abstractNum w:abstractNumId="6">
    <w:nsid w:val="7545E146"/>
    <w:multiLevelType w:val="hybridMultilevel"/>
    <w:lvl w:ilvl="0">
      <w:lvlJc w:val="left"/>
      <w:lvlText w:val="%1"/>
      <w:numFmt w:val="lowerLetter"/>
      <w:start w:val="1"/>
    </w:lvl>
    <w:lvl w:ilvl="1">
      <w:lvlJc w:val="left"/>
      <w:lvlText w:val="%2"/>
      <w:numFmt w:val="decimal"/>
      <w:start w:val="27"/>
    </w:lvl>
  </w:abstractNum>
  <w:abstractNum w:abstractNumId="7">
    <w:nsid w:val="515F007C"/>
    <w:multiLevelType w:val="hybridMultilevel"/>
    <w:lvl w:ilvl="0">
      <w:lvlJc w:val="left"/>
      <w:lvlText w:val="(%1)"/>
      <w:numFmt w:val="lowerLetter"/>
      <w:start w:val="2"/>
    </w:lvl>
    <w:lvl w:ilvl="1">
      <w:lvlJc w:val="left"/>
      <w:lvlText w:val="%2"/>
      <w:numFmt w:val="decimal"/>
      <w:start w:val="1"/>
    </w:lvl>
  </w:abstractNum>
  <w:abstractNum w:abstractNumId="8">
    <w:nsid w:val="5BD062C2"/>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2019-12-13T01:48:43Z</dcterms:created>
  <dcterms:modified xsi:type="dcterms:W3CDTF">2019-12-13T01:48:43Z</dcterms:modified>
</cp:coreProperties>
</file>