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151765</wp:posOffset>
            </wp:positionV>
            <wp:extent cx="684403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4030" cy="25400"/>
                    </a:xfrm>
                    <a:prstGeom prst="rect">
                      <a:avLst/>
                    </a:prstGeom>
                    <a:noFill/>
                  </pic:spPr>
                </pic:pic>
              </a:graphicData>
            </a:graphic>
          </wp:anchor>
        </w:drawing>
      </w: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ANNUAL REPORT PURSUANT TO SECTION 13 OR 15(d) OF THE</w:t>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SECURITIES EXCHANGE ACT OF 1934</w:t>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For the Fiscal Year Ended April 3, 2011</w:t>
      </w:r>
    </w:p>
    <w:p>
      <w:pPr>
        <w:spacing w:after="0" w:line="5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Commission File No. 0-7647</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HAWKINS, INC.</w:t>
      </w:r>
    </w:p>
    <w:p>
      <w:pPr>
        <w:jc w:val="center"/>
        <w:ind w:right="-339"/>
        <w:spacing w:after="0" w:line="235" w:lineRule="auto"/>
        <w:rPr>
          <w:sz w:val="20"/>
          <w:szCs w:val="20"/>
          <w:color w:val="auto"/>
        </w:rPr>
      </w:pPr>
      <w:r>
        <w:rPr>
          <w:rFonts w:ascii="Arial" w:cs="Arial" w:eastAsia="Arial" w:hAnsi="Arial"/>
          <w:sz w:val="11"/>
          <w:szCs w:val="11"/>
          <w:i w:val="1"/>
          <w:iCs w:val="1"/>
          <w:color w:val="auto"/>
        </w:rPr>
        <w:t>(Exact Name of Registrant as specified in its Charter)</w:t>
      </w:r>
    </w:p>
    <w:p>
      <w:pPr>
        <w:spacing w:after="0" w:line="17" w:lineRule="exact"/>
        <w:rPr>
          <w:sz w:val="20"/>
          <w:szCs w:val="20"/>
          <w:color w:val="auto"/>
        </w:rPr>
      </w:pPr>
    </w:p>
    <w:tbl>
      <w:tblPr>
        <w:tblLayout w:type="fixed"/>
        <w:tblInd w:w="1540" w:type="dxa"/>
        <w:tblCellMar>
          <w:top w:w="0" w:type="dxa"/>
          <w:left w:w="0" w:type="dxa"/>
          <w:bottom w:w="0" w:type="dxa"/>
          <w:right w:w="0" w:type="dxa"/>
        </w:tblCellMar>
      </w:tblPr>
      <w:tr>
        <w:trPr>
          <w:trHeight w:val="158"/>
        </w:trPr>
        <w:tc>
          <w:tcPr>
            <w:tcW w:w="3020" w:type="dxa"/>
            <w:vAlign w:val="bottom"/>
          </w:tcPr>
          <w:p>
            <w:pPr>
              <w:jc w:val="center"/>
              <w:spacing w:after="0"/>
              <w:rPr>
                <w:sz w:val="20"/>
                <w:szCs w:val="20"/>
                <w:color w:val="auto"/>
              </w:rPr>
            </w:pPr>
            <w:r>
              <w:rPr>
                <w:rFonts w:ascii="Arial" w:cs="Arial" w:eastAsia="Arial" w:hAnsi="Arial"/>
                <w:sz w:val="13"/>
                <w:szCs w:val="13"/>
                <w:b w:val="1"/>
                <w:bCs w:val="1"/>
                <w:color w:val="auto"/>
              </w:rPr>
              <w:t>MINNESOTA</w:t>
            </w:r>
          </w:p>
        </w:tc>
        <w:tc>
          <w:tcPr>
            <w:tcW w:w="4680" w:type="dxa"/>
            <w:vAlign w:val="bottom"/>
          </w:tcPr>
          <w:p>
            <w:pPr>
              <w:jc w:val="right"/>
              <w:ind w:right="381"/>
              <w:spacing w:after="0"/>
              <w:rPr>
                <w:sz w:val="20"/>
                <w:szCs w:val="20"/>
                <w:color w:val="auto"/>
              </w:rPr>
            </w:pPr>
            <w:r>
              <w:rPr>
                <w:rFonts w:ascii="Arial" w:cs="Arial" w:eastAsia="Arial" w:hAnsi="Arial"/>
                <w:sz w:val="13"/>
                <w:szCs w:val="13"/>
                <w:b w:val="1"/>
                <w:bCs w:val="1"/>
                <w:color w:val="auto"/>
              </w:rPr>
              <w:t>41-0771293</w:t>
            </w:r>
          </w:p>
        </w:tc>
      </w:tr>
      <w:tr>
        <w:trPr>
          <w:trHeight w:val="132"/>
        </w:trPr>
        <w:tc>
          <w:tcPr>
            <w:tcW w:w="3020" w:type="dxa"/>
            <w:vAlign w:val="bottom"/>
          </w:tcPr>
          <w:p>
            <w:pPr>
              <w:jc w:val="center"/>
              <w:spacing w:after="0"/>
              <w:rPr>
                <w:sz w:val="20"/>
                <w:szCs w:val="20"/>
                <w:color w:val="auto"/>
              </w:rPr>
            </w:pPr>
            <w:r>
              <w:rPr>
                <w:rFonts w:ascii="Arial" w:cs="Arial" w:eastAsia="Arial" w:hAnsi="Arial"/>
                <w:sz w:val="11"/>
                <w:szCs w:val="11"/>
                <w:i w:val="1"/>
                <w:iCs w:val="1"/>
                <w:color w:val="auto"/>
                <w:w w:val="88"/>
              </w:rPr>
              <w:t>(State of Incorporation)</w:t>
            </w:r>
          </w:p>
        </w:tc>
        <w:tc>
          <w:tcPr>
            <w:tcW w:w="4680" w:type="dxa"/>
            <w:vAlign w:val="bottom"/>
          </w:tcPr>
          <w:p>
            <w:pPr>
              <w:jc w:val="center"/>
              <w:ind w:left="3101"/>
              <w:spacing w:after="0"/>
              <w:rPr>
                <w:sz w:val="20"/>
                <w:szCs w:val="20"/>
                <w:color w:val="auto"/>
              </w:rPr>
            </w:pPr>
            <w:r>
              <w:rPr>
                <w:rFonts w:ascii="Arial" w:cs="Arial" w:eastAsia="Arial" w:hAnsi="Arial"/>
                <w:sz w:val="11"/>
                <w:szCs w:val="11"/>
                <w:i w:val="1"/>
                <w:iCs w:val="1"/>
                <w:color w:val="auto"/>
                <w:w w:val="89"/>
              </w:rPr>
              <w:t>(I.R.S. Employer Identification No.)</w:t>
            </w:r>
          </w:p>
        </w:tc>
      </w:tr>
      <w:tr>
        <w:trPr>
          <w:trHeight w:val="264"/>
        </w:trPr>
        <w:tc>
          <w:tcPr>
            <w:tcW w:w="3020" w:type="dxa"/>
            <w:vAlign w:val="bottom"/>
          </w:tcPr>
          <w:p>
            <w:pPr>
              <w:jc w:val="center"/>
              <w:spacing w:after="0"/>
              <w:rPr>
                <w:sz w:val="20"/>
                <w:szCs w:val="20"/>
                <w:color w:val="auto"/>
              </w:rPr>
            </w:pPr>
            <w:r>
              <w:rPr>
                <w:rFonts w:ascii="Arial" w:cs="Arial" w:eastAsia="Arial" w:hAnsi="Arial"/>
                <w:sz w:val="13"/>
                <w:szCs w:val="13"/>
                <w:b w:val="1"/>
                <w:bCs w:val="1"/>
                <w:color w:val="auto"/>
                <w:w w:val="91"/>
              </w:rPr>
              <w:t>3100 East Hennepin Avenue, Minneapolis, Minnesota</w:t>
            </w:r>
          </w:p>
        </w:tc>
        <w:tc>
          <w:tcPr>
            <w:tcW w:w="4680" w:type="dxa"/>
            <w:vAlign w:val="bottom"/>
          </w:tcPr>
          <w:p>
            <w:pPr>
              <w:jc w:val="right"/>
              <w:ind w:right="541"/>
              <w:spacing w:after="0"/>
              <w:rPr>
                <w:sz w:val="20"/>
                <w:szCs w:val="20"/>
                <w:color w:val="auto"/>
              </w:rPr>
            </w:pPr>
            <w:r>
              <w:rPr>
                <w:rFonts w:ascii="Arial" w:cs="Arial" w:eastAsia="Arial" w:hAnsi="Arial"/>
                <w:sz w:val="13"/>
                <w:szCs w:val="13"/>
                <w:b w:val="1"/>
                <w:bCs w:val="1"/>
                <w:color w:val="auto"/>
              </w:rPr>
              <w:t>55413</w:t>
            </w:r>
          </w:p>
        </w:tc>
      </w:tr>
      <w:tr>
        <w:trPr>
          <w:trHeight w:val="132"/>
        </w:trPr>
        <w:tc>
          <w:tcPr>
            <w:tcW w:w="3020" w:type="dxa"/>
            <w:vAlign w:val="bottom"/>
          </w:tcPr>
          <w:p>
            <w:pPr>
              <w:jc w:val="center"/>
              <w:spacing w:after="0"/>
              <w:rPr>
                <w:sz w:val="20"/>
                <w:szCs w:val="20"/>
                <w:color w:val="auto"/>
              </w:rPr>
            </w:pPr>
            <w:r>
              <w:rPr>
                <w:rFonts w:ascii="Arial" w:cs="Arial" w:eastAsia="Arial" w:hAnsi="Arial"/>
                <w:sz w:val="11"/>
                <w:szCs w:val="11"/>
                <w:i w:val="1"/>
                <w:iCs w:val="1"/>
                <w:color w:val="auto"/>
                <w:w w:val="87"/>
              </w:rPr>
              <w:t>(Address of Principal Executive Offices)</w:t>
            </w:r>
          </w:p>
        </w:tc>
        <w:tc>
          <w:tcPr>
            <w:tcW w:w="4680" w:type="dxa"/>
            <w:vAlign w:val="bottom"/>
          </w:tcPr>
          <w:p>
            <w:pPr>
              <w:jc w:val="center"/>
              <w:ind w:left="3121"/>
              <w:spacing w:after="0"/>
              <w:rPr>
                <w:sz w:val="20"/>
                <w:szCs w:val="20"/>
                <w:color w:val="auto"/>
              </w:rPr>
            </w:pPr>
            <w:r>
              <w:rPr>
                <w:rFonts w:ascii="Arial" w:cs="Arial" w:eastAsia="Arial" w:hAnsi="Arial"/>
                <w:sz w:val="11"/>
                <w:szCs w:val="11"/>
                <w:i w:val="1"/>
                <w:iCs w:val="1"/>
                <w:color w:val="auto"/>
                <w:w w:val="88"/>
              </w:rPr>
              <w:t>(Zip Code)</w:t>
            </w:r>
          </w:p>
        </w:tc>
      </w:tr>
      <w:tr>
        <w:trPr>
          <w:trHeight w:val="196"/>
        </w:trPr>
        <w:tc>
          <w:tcPr>
            <w:tcW w:w="3020" w:type="dxa"/>
            <w:vAlign w:val="bottom"/>
          </w:tcPr>
          <w:p>
            <w:pPr>
              <w:spacing w:after="0"/>
              <w:rPr>
                <w:sz w:val="17"/>
                <w:szCs w:val="17"/>
                <w:color w:val="auto"/>
              </w:rPr>
            </w:pPr>
          </w:p>
        </w:tc>
        <w:tc>
          <w:tcPr>
            <w:tcW w:w="4680" w:type="dxa"/>
            <w:vAlign w:val="bottom"/>
          </w:tcPr>
          <w:p>
            <w:pPr>
              <w:jc w:val="right"/>
              <w:ind w:right="3041"/>
              <w:spacing w:after="0"/>
              <w:rPr>
                <w:sz w:val="20"/>
                <w:szCs w:val="20"/>
                <w:color w:val="auto"/>
              </w:rPr>
            </w:pPr>
            <w:r>
              <w:rPr>
                <w:rFonts w:ascii="Arial" w:cs="Arial" w:eastAsia="Arial" w:hAnsi="Arial"/>
                <w:sz w:val="13"/>
                <w:szCs w:val="13"/>
                <w:b w:val="1"/>
                <w:bCs w:val="1"/>
                <w:color w:val="auto"/>
              </w:rPr>
              <w:t>(612) 331-6910</w:t>
            </w:r>
          </w:p>
        </w:tc>
      </w:tr>
      <w:tr>
        <w:trPr>
          <w:trHeight w:val="170"/>
        </w:trPr>
        <w:tc>
          <w:tcPr>
            <w:tcW w:w="3020" w:type="dxa"/>
            <w:vAlign w:val="bottom"/>
          </w:tcPr>
          <w:p>
            <w:pPr>
              <w:spacing w:after="0"/>
              <w:rPr>
                <w:sz w:val="14"/>
                <w:szCs w:val="14"/>
                <w:color w:val="auto"/>
              </w:rPr>
            </w:pPr>
          </w:p>
        </w:tc>
        <w:tc>
          <w:tcPr>
            <w:tcW w:w="4680" w:type="dxa"/>
            <w:vAlign w:val="bottom"/>
          </w:tcPr>
          <w:p>
            <w:pPr>
              <w:jc w:val="center"/>
              <w:ind w:right="2261"/>
              <w:spacing w:after="0"/>
              <w:rPr>
                <w:sz w:val="20"/>
                <w:szCs w:val="20"/>
                <w:color w:val="auto"/>
              </w:rPr>
            </w:pPr>
            <w:r>
              <w:rPr>
                <w:rFonts w:ascii="Arial" w:cs="Arial" w:eastAsia="Arial" w:hAnsi="Arial"/>
                <w:sz w:val="11"/>
                <w:szCs w:val="11"/>
                <w:i w:val="1"/>
                <w:iCs w:val="1"/>
                <w:color w:val="auto"/>
                <w:w w:val="86"/>
              </w:rPr>
              <w:t>(Registrant’s Telephone Number, Including Area Code)</w:t>
            </w:r>
          </w:p>
        </w:tc>
      </w:tr>
    </w:tbl>
    <w:p>
      <w:pPr>
        <w:spacing w:after="0" w:line="40" w:lineRule="exact"/>
        <w:rPr>
          <w:sz w:val="20"/>
          <w:szCs w:val="20"/>
          <w:color w:val="auto"/>
        </w:rPr>
      </w:pPr>
    </w:p>
    <w:p>
      <w:pPr>
        <w:sectPr>
          <w:pgSz w:w="11900" w:h="16838" w:orient="portrait"/>
          <w:cols w:equalWidth="0" w:num="1">
            <w:col w:w="11120"/>
          </w:cols>
          <w:pgMar w:left="220" w:top="127" w:right="559" w:bottom="1440" w:gutter="0" w:footer="0" w:header="0"/>
        </w:sectPr>
      </w:pPr>
    </w:p>
    <w:p>
      <w:pPr>
        <w:jc w:val="right"/>
        <w:ind w:right="1240"/>
        <w:spacing w:after="0"/>
        <w:rPr>
          <w:sz w:val="20"/>
          <w:szCs w:val="20"/>
          <w:color w:val="auto"/>
        </w:rPr>
      </w:pPr>
      <w:r>
        <w:rPr>
          <w:rFonts w:ascii="Arial" w:cs="Arial" w:eastAsia="Arial" w:hAnsi="Arial"/>
          <w:sz w:val="9"/>
          <w:szCs w:val="9"/>
          <w:b w:val="1"/>
          <w:bCs w:val="1"/>
          <w:color w:val="auto"/>
        </w:rPr>
        <w:t>Securities registered pursuant to Section 12(b) of the Act:</w:t>
      </w:r>
    </w:p>
    <w:p>
      <w:pPr>
        <w:spacing w:after="0" w:line="48" w:lineRule="exact"/>
        <w:rPr>
          <w:sz w:val="20"/>
          <w:szCs w:val="20"/>
          <w:color w:val="auto"/>
        </w:rPr>
      </w:pPr>
    </w:p>
    <w:p>
      <w:pPr>
        <w:jc w:val="right"/>
        <w:ind w:right="124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10" w:lineRule="exact"/>
        <w:rPr>
          <w:sz w:val="20"/>
          <w:szCs w:val="20"/>
          <w:color w:val="auto"/>
        </w:rPr>
      </w:pPr>
    </w:p>
    <w:p>
      <w:pPr>
        <w:ind w:left="2240"/>
        <w:spacing w:after="0"/>
        <w:rPr>
          <w:sz w:val="20"/>
          <w:szCs w:val="20"/>
          <w:color w:val="auto"/>
        </w:rPr>
      </w:pPr>
      <w:r>
        <w:rPr>
          <w:rFonts w:ascii="Arial" w:cs="Arial" w:eastAsia="Arial" w:hAnsi="Arial"/>
          <w:sz w:val="9"/>
          <w:szCs w:val="9"/>
          <w:b w:val="1"/>
          <w:bCs w:val="1"/>
          <w:color w:val="auto"/>
        </w:rPr>
        <w:t>Securities registered pursuant to Section 12(g)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COMMON STOCK, PAR VALUE $.05 PER SHARE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NASDAQ Global Market</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NONE</w:t>
      </w:r>
    </w:p>
    <w:p>
      <w:pPr>
        <w:spacing w:after="0" w:line="71" w:lineRule="exact"/>
        <w:rPr>
          <w:sz w:val="20"/>
          <w:szCs w:val="20"/>
          <w:color w:val="auto"/>
        </w:rPr>
      </w:pPr>
    </w:p>
    <w:p>
      <w:pPr>
        <w:sectPr>
          <w:pgSz w:w="11900" w:h="16838" w:orient="portrait"/>
          <w:cols w:equalWidth="0" w:num="2">
            <w:col w:w="6380" w:space="720"/>
            <w:col w:w="4020"/>
          </w:cols>
          <w:pgMar w:left="220" w:top="127" w:right="559" w:bottom="1440" w:gutter="0" w:footer="0" w:header="0"/>
          <w:type w:val="continuous"/>
        </w:sectPr>
      </w:pPr>
    </w:p>
    <w:p>
      <w:pPr>
        <w:ind w:left="660" w:right="3320"/>
        <w:spacing w:after="0" w:line="22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o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o No </w:t>
      </w:r>
      <w:r>
        <w:rPr>
          <w:rFonts w:ascii="MS PGothic" w:cs="MS PGothic" w:eastAsia="MS PGothic" w:hAnsi="MS PGothic"/>
          <w:sz w:val="12"/>
          <w:szCs w:val="12"/>
          <w:color w:val="auto"/>
        </w:rPr>
        <w:t>☑</w:t>
      </w:r>
    </w:p>
    <w:p>
      <w:pPr>
        <w:spacing w:after="0" w:line="66" w:lineRule="exact"/>
        <w:rPr>
          <w:sz w:val="20"/>
          <w:szCs w:val="20"/>
          <w:color w:val="auto"/>
        </w:rPr>
      </w:pPr>
    </w:p>
    <w:p>
      <w:pPr>
        <w:ind w:left="340" w:right="100" w:firstLine="323"/>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7" w:lineRule="exact"/>
        <w:rPr>
          <w:sz w:val="20"/>
          <w:szCs w:val="20"/>
          <w:color w:val="auto"/>
        </w:rPr>
      </w:pPr>
    </w:p>
    <w:p>
      <w:pPr>
        <w:ind w:left="340" w:right="220" w:firstLine="323"/>
        <w:spacing w:after="0" w:line="279"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58" w:lineRule="exact"/>
        <w:rPr>
          <w:sz w:val="20"/>
          <w:szCs w:val="20"/>
          <w:color w:val="auto"/>
        </w:rPr>
      </w:pPr>
    </w:p>
    <w:p>
      <w:pPr>
        <w:ind w:left="340" w:right="360" w:firstLine="323"/>
        <w:spacing w:after="0" w:line="170"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7" w:lineRule="exact"/>
        <w:rPr>
          <w:sz w:val="20"/>
          <w:szCs w:val="20"/>
          <w:color w:val="auto"/>
        </w:rPr>
      </w:pPr>
    </w:p>
    <w:p>
      <w:pPr>
        <w:ind w:left="340" w:right="140" w:firstLine="323"/>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3" w:lineRule="exact"/>
        <w:rPr>
          <w:sz w:val="20"/>
          <w:szCs w:val="20"/>
          <w:color w:val="auto"/>
        </w:rPr>
      </w:pPr>
    </w:p>
    <w:p>
      <w:pPr>
        <w:ind w:left="3880" w:hanging="5352"/>
        <w:spacing w:after="0" w:line="174" w:lineRule="exact"/>
        <w:tabs>
          <w:tab w:leader="none" w:pos="386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o Smaller reporting company o (Do not check if a smaller reporting company)</w:t>
      </w:r>
    </w:p>
    <w:p>
      <w:pPr>
        <w:spacing w:after="0" w:line="232" w:lineRule="exact"/>
        <w:rPr>
          <w:sz w:val="20"/>
          <w:szCs w:val="20"/>
          <w:color w:val="auto"/>
        </w:rPr>
      </w:pPr>
    </w:p>
    <w:p>
      <w:pPr>
        <w:ind w:left="660"/>
        <w:spacing w:after="0" w:line="138" w:lineRule="exact"/>
        <w:tabs>
          <w:tab w:leader="none" w:pos="71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134" w:lineRule="exact"/>
        <w:rPr>
          <w:sz w:val="20"/>
          <w:szCs w:val="20"/>
          <w:color w:val="auto"/>
        </w:rPr>
      </w:pPr>
    </w:p>
    <w:p>
      <w:pPr>
        <w:jc w:val="both"/>
        <w:ind w:left="340" w:right="160" w:firstLine="323"/>
        <w:spacing w:after="0" w:line="266" w:lineRule="auto"/>
        <w:rPr>
          <w:sz w:val="20"/>
          <w:szCs w:val="20"/>
          <w:color w:val="auto"/>
        </w:rPr>
      </w:pPr>
      <w:r>
        <w:rPr>
          <w:rFonts w:ascii="Arial" w:cs="Arial" w:eastAsia="Arial" w:hAnsi="Arial"/>
          <w:sz w:val="13"/>
          <w:szCs w:val="13"/>
          <w:color w:val="auto"/>
        </w:rPr>
        <w:t>The aggregate market value of voting stock held by non-affiliates of the Registrant on September 30, 2010 (the last business day of the Registrant’s most recently completed second fiscal quarter) was approximately $309.4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May 31, 2011, the Registrant had 10,325,840 shares of common stock outstanding.</w:t>
      </w:r>
    </w:p>
    <w:p>
      <w:pPr>
        <w:spacing w:after="0" w:line="94"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Portions of our Proxy Statement for the annual meeting of shareholders to be held August 2, 2011,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86360</wp:posOffset>
            </wp:positionV>
            <wp:extent cx="684403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4030" cy="2540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FORWARD-LOOKING STATEMENTS</w:t>
      </w:r>
    </w:p>
    <w:p>
      <w:pPr>
        <w:spacing w:after="0" w:line="10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used in this Annual Report on Form 10-K, except where otherwise stated or indicated by the context, “Hawkins,” “we,” “us,” “the Company,” “our,” or “the Registrant” means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Hawkins, Inc. References to “fiscal 2012” means our fiscal year ending April 1, 2012, “fiscal 2011” means our fiscal year ended April 3, 2011, “fiscal 2010” means our fiscal year ended</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28, 2010, and “fiscal 2009” means our fiscal year ended March 29, 2009.</w:t>
      </w:r>
    </w:p>
    <w:p>
      <w:pPr>
        <w:spacing w:after="0" w:line="29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0" w:type="dxa"/>
            <w:vAlign w:val="bottom"/>
            <w:gridSpan w:val="13"/>
          </w:tcPr>
          <w:p>
            <w:pPr>
              <w:jc w:val="center"/>
              <w:ind w:right="4260"/>
              <w:spacing w:after="0"/>
              <w:rPr>
                <w:sz w:val="20"/>
                <w:szCs w:val="20"/>
                <w:color w:val="auto"/>
              </w:rPr>
            </w:pPr>
            <w:r>
              <w:rPr>
                <w:rFonts w:ascii="Arial" w:cs="Arial" w:eastAsia="Arial" w:hAnsi="Arial"/>
                <w:sz w:val="13"/>
                <w:szCs w:val="13"/>
                <w:b w:val="1"/>
                <w:bCs w:val="1"/>
                <w:color w:val="auto"/>
                <w:w w:val="94"/>
              </w:rPr>
              <w:t>Hawkins, Inc.</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36"/>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gridSpan w:val="14"/>
          </w:tcPr>
          <w:p>
            <w:pPr>
              <w:jc w:val="center"/>
              <w:ind w:right="3640"/>
              <w:spacing w:after="0"/>
              <w:rPr>
                <w:sz w:val="20"/>
                <w:szCs w:val="20"/>
                <w:color w:val="auto"/>
              </w:rPr>
            </w:pPr>
            <w:r>
              <w:rPr>
                <w:rFonts w:ascii="Arial" w:cs="Arial" w:eastAsia="Arial" w:hAnsi="Arial"/>
                <w:sz w:val="13"/>
                <w:szCs w:val="13"/>
                <w:b w:val="1"/>
                <w:bCs w:val="1"/>
                <w:color w:val="auto"/>
                <w:w w:val="94"/>
              </w:rPr>
              <w:t>Annual Report on Form 10-K</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69"/>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20" w:type="dxa"/>
            <w:vAlign w:val="bottom"/>
            <w:gridSpan w:val="15"/>
          </w:tcPr>
          <w:p>
            <w:pPr>
              <w:jc w:val="center"/>
              <w:ind w:right="3540"/>
              <w:spacing w:after="0"/>
              <w:rPr>
                <w:sz w:val="20"/>
                <w:szCs w:val="20"/>
                <w:color w:val="auto"/>
              </w:rPr>
            </w:pPr>
            <w:r>
              <w:rPr>
                <w:rFonts w:ascii="Arial" w:cs="Arial" w:eastAsia="Arial" w:hAnsi="Arial"/>
                <w:sz w:val="13"/>
                <w:szCs w:val="13"/>
                <w:b w:val="1"/>
                <w:bCs w:val="1"/>
                <w:color w:val="auto"/>
                <w:w w:val="92"/>
              </w:rPr>
              <w:t>For the Fiscal Year Ended April 3, 2011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8"/>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3"/>
              </w:rPr>
              <w:t>Page</w:t>
            </w:r>
          </w:p>
        </w:tc>
        <w:tc>
          <w:tcPr>
            <w:tcW w:w="800" w:type="dxa"/>
            <w:vAlign w:val="bottom"/>
          </w:tcPr>
          <w:p>
            <w:pPr>
              <w:spacing w:after="0"/>
              <w:rPr>
                <w:sz w:val="24"/>
                <w:szCs w:val="24"/>
                <w:color w:val="auto"/>
              </w:rPr>
            </w:pPr>
          </w:p>
        </w:tc>
      </w:tr>
      <w:tr>
        <w:trPr>
          <w:trHeight w:val="158"/>
        </w:trPr>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gridSpan w:val="9"/>
          </w:tcPr>
          <w:p>
            <w:pPr>
              <w:jc w:val="center"/>
              <w:ind w:right="4520"/>
              <w:spacing w:after="0"/>
              <w:rPr>
                <w:rFonts w:ascii="Arial" w:cs="Arial" w:eastAsia="Arial" w:hAnsi="Arial"/>
                <w:sz w:val="13"/>
                <w:szCs w:val="13"/>
                <w:b w:val="1"/>
                <w:bCs w:val="1"/>
                <w:color w:val="0000EE"/>
                <w:w w:val="98"/>
              </w:rPr>
            </w:pPr>
            <w:hyperlink w:anchor="page5">
              <w:r>
                <w:rPr>
                  <w:rFonts w:ascii="Arial" w:cs="Arial" w:eastAsia="Arial" w:hAnsi="Arial"/>
                  <w:sz w:val="13"/>
                  <w:szCs w:val="13"/>
                  <w:b w:val="1"/>
                  <w:bCs w:val="1"/>
                  <w:color w:val="0000EE"/>
                  <w:w w:val="98"/>
                </w:rPr>
                <w:t>PART I</w:t>
              </w:r>
            </w:hyperlink>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760" w:type="dxa"/>
            <w:vAlign w:val="bottom"/>
            <w:gridSpan w:val="18"/>
          </w:tcPr>
          <w:p>
            <w:pPr>
              <w:ind w:left="460"/>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2"/>
                <w:szCs w:val="12"/>
                <w:color w:val="auto"/>
              </w:rPr>
            </w:pPr>
          </w:p>
        </w:tc>
        <w:tc>
          <w:tcPr>
            <w:tcW w:w="4520" w:type="dxa"/>
            <w:vAlign w:val="bottom"/>
            <w:gridSpan w:val="8"/>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540" w:type="dxa"/>
            <w:vAlign w:val="bottom"/>
            <w:gridSpan w:val="4"/>
          </w:tcPr>
          <w:p>
            <w:pPr>
              <w:spacing w:after="0" w:line="138" w:lineRule="exact"/>
              <w:rPr>
                <w:rFonts w:ascii="Arial" w:cs="Arial" w:eastAsia="Arial" w:hAnsi="Arial"/>
                <w:sz w:val="13"/>
                <w:szCs w:val="13"/>
                <w:color w:val="0000EE"/>
                <w:w w:val="92"/>
              </w:rPr>
            </w:pPr>
            <w:hyperlink w:anchor="page7">
              <w:r>
                <w:rPr>
                  <w:rFonts w:ascii="Arial" w:cs="Arial" w:eastAsia="Arial" w:hAnsi="Arial"/>
                  <w:sz w:val="13"/>
                  <w:szCs w:val="13"/>
                  <w:color w:val="0000EE"/>
                  <w:w w:val="92"/>
                </w:rPr>
                <w:t>ITEM 1A.</w:t>
              </w:r>
            </w:hyperlink>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40" w:type="dxa"/>
            <w:vAlign w:val="bottom"/>
            <w:gridSpan w:val="26"/>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Risk Factors</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54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11">
              <w:r>
                <w:rPr>
                  <w:rFonts w:ascii="Arial" w:cs="Arial" w:eastAsia="Arial" w:hAnsi="Arial"/>
                  <w:sz w:val="13"/>
                  <w:szCs w:val="13"/>
                  <w:color w:val="0000EE"/>
                  <w:w w:val="92"/>
                </w:rPr>
                <w:t>ITEM 1B.</w:t>
              </w:r>
            </w:hyperlink>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Borders>
              <w:bottom w:val="single" w:sz="8" w:color="0000EE"/>
            </w:tcBorders>
            <w:gridSpan w:val="9"/>
          </w:tcPr>
          <w:p>
            <w:pPr>
              <w:spacing w:after="0" w:line="138" w:lineRule="exact"/>
              <w:rPr>
                <w:rFonts w:ascii="Arial" w:cs="Arial" w:eastAsia="Arial" w:hAnsi="Arial"/>
                <w:sz w:val="13"/>
                <w:szCs w:val="13"/>
                <w:color w:val="0000EE"/>
                <w:w w:val="91"/>
              </w:rPr>
            </w:pPr>
            <w:hyperlink w:anchor="page11">
              <w:r>
                <w:rPr>
                  <w:rFonts w:ascii="Arial" w:cs="Arial" w:eastAsia="Arial" w:hAnsi="Arial"/>
                  <w:sz w:val="13"/>
                  <w:szCs w:val="13"/>
                  <w:color w:val="0000EE"/>
                  <w:w w:val="91"/>
                </w:rPr>
                <w:t>Unresolved Staff Comments</w:t>
              </w:r>
            </w:hyperlink>
          </w:p>
        </w:tc>
        <w:tc>
          <w:tcPr>
            <w:tcW w:w="6740" w:type="dxa"/>
            <w:vAlign w:val="bottom"/>
            <w:gridSpan w:val="17"/>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11">
              <w:r>
                <w:rPr>
                  <w:rFonts w:ascii="Arial" w:cs="Arial" w:eastAsia="Arial" w:hAnsi="Arial"/>
                  <w:sz w:val="13"/>
                  <w:szCs w:val="13"/>
                  <w:color w:val="0000EE"/>
                </w:rPr>
                <w:t>ITEM 2.</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11">
              <w:r>
                <w:rPr>
                  <w:rFonts w:ascii="Arial" w:cs="Arial" w:eastAsia="Arial" w:hAnsi="Arial"/>
                  <w:sz w:val="13"/>
                  <w:szCs w:val="13"/>
                  <w:color w:val="0000EE"/>
                </w:rPr>
                <w:t>Properties</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ITEM 3.</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Legal Proceedings</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ITEM 4.</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[Removed and Reserved]</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c>
          <w:tcPr>
            <w:tcW w:w="800" w:type="dxa"/>
            <w:vAlign w:val="bottom"/>
          </w:tcPr>
          <w:p>
            <w:pPr>
              <w:spacing w:after="0"/>
              <w:rPr>
                <w:sz w:val="12"/>
                <w:szCs w:val="12"/>
                <w:color w:val="auto"/>
              </w:rPr>
            </w:pPr>
          </w:p>
        </w:tc>
      </w:tr>
      <w:tr>
        <w:trPr>
          <w:trHeight w:val="257"/>
        </w:trPr>
        <w:tc>
          <w:tcPr>
            <w:tcW w:w="720" w:type="dxa"/>
            <w:vAlign w:val="bottom"/>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13">
              <w:r>
                <w:rPr>
                  <w:rFonts w:ascii="Arial" w:cs="Arial" w:eastAsia="Arial" w:hAnsi="Arial"/>
                  <w:sz w:val="13"/>
                  <w:szCs w:val="13"/>
                  <w:b w:val="1"/>
                  <w:bCs w:val="1"/>
                  <w:color w:val="0000EE"/>
                </w:rPr>
                <w:t>PART II</w:t>
              </w:r>
            </w:hyperlink>
          </w:p>
        </w:tc>
        <w:tc>
          <w:tcPr>
            <w:tcW w:w="4480" w:type="dxa"/>
            <w:vAlign w:val="bottom"/>
            <w:gridSpan w:val="7"/>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13">
              <w:r>
                <w:rPr>
                  <w:rFonts w:ascii="Arial" w:cs="Arial" w:eastAsia="Arial" w:hAnsi="Arial"/>
                  <w:sz w:val="13"/>
                  <w:szCs w:val="13"/>
                  <w:color w:val="0000EE"/>
                </w:rPr>
                <w:t>ITEM 5.</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13">
              <w:r>
                <w:rPr>
                  <w:rFonts w:ascii="Arial" w:cs="Arial" w:eastAsia="Arial" w:hAnsi="Arial"/>
                  <w:sz w:val="13"/>
                  <w:szCs w:val="13"/>
                  <w:color w:val="0000EE"/>
                </w:rPr>
                <w:t>Market for the Company’s Common Equity, Related Shareholder Matters, and Issuer Purchases of Equity Securities</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ITEM 6.</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Selected Financial Data</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ITEM 7.</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Management’s Discussion and Analysis of Financial Condition and Results of Operations</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14</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54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21">
              <w:r>
                <w:rPr>
                  <w:rFonts w:ascii="Arial" w:cs="Arial" w:eastAsia="Arial" w:hAnsi="Arial"/>
                  <w:sz w:val="13"/>
                  <w:szCs w:val="13"/>
                  <w:color w:val="0000EE"/>
                  <w:w w:val="92"/>
                </w:rPr>
                <w:t>ITEM 7A.</w:t>
              </w:r>
            </w:hyperlink>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60" w:type="dxa"/>
            <w:vAlign w:val="bottom"/>
            <w:tcBorders>
              <w:bottom w:val="single" w:sz="8" w:color="0000EE"/>
            </w:tcBorders>
            <w:gridSpan w:val="14"/>
          </w:tcPr>
          <w:p>
            <w:pPr>
              <w:spacing w:after="0" w:line="138" w:lineRule="exact"/>
              <w:rPr>
                <w:rFonts w:ascii="Arial" w:cs="Arial" w:eastAsia="Arial" w:hAnsi="Arial"/>
                <w:sz w:val="13"/>
                <w:szCs w:val="13"/>
                <w:color w:val="0000EE"/>
                <w:w w:val="92"/>
              </w:rPr>
            </w:pPr>
            <w:hyperlink w:anchor="page21">
              <w:r>
                <w:rPr>
                  <w:rFonts w:ascii="Arial" w:cs="Arial" w:eastAsia="Arial" w:hAnsi="Arial"/>
                  <w:sz w:val="13"/>
                  <w:szCs w:val="13"/>
                  <w:color w:val="0000EE"/>
                  <w:w w:val="92"/>
                </w:rPr>
                <w:t>Quantitative and Qualitative Disclosures about Market Risk</w:t>
              </w:r>
            </w:hyperlink>
          </w:p>
        </w:tc>
        <w:tc>
          <w:tcPr>
            <w:tcW w:w="5080" w:type="dxa"/>
            <w:vAlign w:val="bottom"/>
            <w:gridSpan w:val="12"/>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20</w:t>
            </w: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ITEM 8.</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Financial Statements and Supplementary Data</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21</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ITEM 9.</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Changes in and Disagreements with Accountants on Accounting and Financial Disclosure</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44</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54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45">
              <w:r>
                <w:rPr>
                  <w:rFonts w:ascii="Arial" w:cs="Arial" w:eastAsia="Arial" w:hAnsi="Arial"/>
                  <w:sz w:val="13"/>
                  <w:szCs w:val="13"/>
                  <w:color w:val="0000EE"/>
                  <w:w w:val="92"/>
                </w:rPr>
                <w:t>ITEM 9A.</w:t>
              </w:r>
            </w:hyperlink>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Borders>
              <w:bottom w:val="single" w:sz="8" w:color="0000EE"/>
            </w:tcBorders>
            <w:gridSpan w:val="6"/>
          </w:tcPr>
          <w:p>
            <w:pPr>
              <w:spacing w:after="0" w:line="138" w:lineRule="exact"/>
              <w:rPr>
                <w:rFonts w:ascii="Arial" w:cs="Arial" w:eastAsia="Arial" w:hAnsi="Arial"/>
                <w:sz w:val="13"/>
                <w:szCs w:val="13"/>
                <w:color w:val="0000EE"/>
                <w:w w:val="88"/>
              </w:rPr>
            </w:pPr>
            <w:hyperlink w:anchor="page45">
              <w:r>
                <w:rPr>
                  <w:rFonts w:ascii="Arial" w:cs="Arial" w:eastAsia="Arial" w:hAnsi="Arial"/>
                  <w:sz w:val="13"/>
                  <w:szCs w:val="13"/>
                  <w:color w:val="0000EE"/>
                  <w:w w:val="88"/>
                </w:rPr>
                <w:t>Controls and Procedures</w:t>
              </w:r>
            </w:hyperlink>
          </w:p>
        </w:tc>
        <w:tc>
          <w:tcPr>
            <w:tcW w:w="6940" w:type="dxa"/>
            <w:vAlign w:val="bottom"/>
            <w:gridSpan w:val="20"/>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44</w:t>
            </w: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ITEM 9B.</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Other Information</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45</w:t>
            </w:r>
          </w:p>
        </w:tc>
        <w:tc>
          <w:tcPr>
            <w:tcW w:w="800" w:type="dxa"/>
            <w:vAlign w:val="bottom"/>
          </w:tcPr>
          <w:p>
            <w:pPr>
              <w:spacing w:after="0"/>
              <w:rPr>
                <w:sz w:val="12"/>
                <w:szCs w:val="12"/>
                <w:color w:val="auto"/>
              </w:rPr>
            </w:pPr>
          </w:p>
        </w:tc>
      </w:tr>
      <w:tr>
        <w:trPr>
          <w:trHeight w:val="257"/>
        </w:trPr>
        <w:tc>
          <w:tcPr>
            <w:tcW w:w="720" w:type="dxa"/>
            <w:vAlign w:val="bottom"/>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46">
              <w:r>
                <w:rPr>
                  <w:rFonts w:ascii="Arial" w:cs="Arial" w:eastAsia="Arial" w:hAnsi="Arial"/>
                  <w:sz w:val="13"/>
                  <w:szCs w:val="13"/>
                  <w:b w:val="1"/>
                  <w:bCs w:val="1"/>
                  <w:color w:val="0000EE"/>
                </w:rPr>
                <w:t>PART III</w:t>
              </w:r>
            </w:hyperlink>
          </w:p>
        </w:tc>
        <w:tc>
          <w:tcPr>
            <w:tcW w:w="4440" w:type="dxa"/>
            <w:vAlign w:val="bottom"/>
            <w:gridSpan w:val="5"/>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ITEM 10.</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Directors, Executive Officers, and Corporate Governance</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45</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ITEM 11.</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Executive Compensation</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c>
          <w:tcPr>
            <w:tcW w:w="800" w:type="dxa"/>
            <w:vAlign w:val="bottom"/>
          </w:tcPr>
          <w:p>
            <w:pPr>
              <w:spacing w:after="0"/>
              <w:rPr>
                <w:sz w:val="12"/>
                <w:szCs w:val="12"/>
                <w:color w:val="auto"/>
              </w:rPr>
            </w:pP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8"/>
        </w:trPr>
        <w:tc>
          <w:tcPr>
            <w:tcW w:w="720" w:type="dxa"/>
            <w:vAlign w:val="bottom"/>
          </w:tcPr>
          <w:p>
            <w:pPr>
              <w:spacing w:after="0"/>
              <w:rPr>
                <w:sz w:val="12"/>
                <w:szCs w:val="12"/>
                <w:color w:val="auto"/>
              </w:rPr>
            </w:pPr>
          </w:p>
        </w:tc>
        <w:tc>
          <w:tcPr>
            <w:tcW w:w="500" w:type="dxa"/>
            <w:vAlign w:val="bottom"/>
            <w:tcBorders>
              <w:bottom w:val="single" w:sz="8" w:color="0000EE"/>
            </w:tcBorders>
            <w:gridSpan w:val="3"/>
          </w:tcPr>
          <w:p>
            <w:pPr>
              <w:spacing w:after="0" w:line="138" w:lineRule="exact"/>
              <w:rPr>
                <w:rFonts w:ascii="Arial" w:cs="Arial" w:eastAsia="Arial" w:hAnsi="Arial"/>
                <w:sz w:val="13"/>
                <w:szCs w:val="13"/>
                <w:color w:val="0000EE"/>
                <w:w w:val="90"/>
              </w:rPr>
            </w:pPr>
            <w:hyperlink w:anchor="page47">
              <w:r>
                <w:rPr>
                  <w:rFonts w:ascii="Arial" w:cs="Arial" w:eastAsia="Arial" w:hAnsi="Arial"/>
                  <w:sz w:val="13"/>
                  <w:szCs w:val="13"/>
                  <w:color w:val="0000EE"/>
                  <w:w w:val="90"/>
                </w:rPr>
                <w:t>ITEM 12.</w:t>
              </w:r>
            </w:hyperlink>
          </w:p>
        </w:tc>
        <w:tc>
          <w:tcPr>
            <w:tcW w:w="48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Borders>
              <w:bottom w:val="single" w:sz="8" w:color="0000EE"/>
            </w:tcBorders>
            <w:gridSpan w:val="24"/>
          </w:tcPr>
          <w:p>
            <w:pPr>
              <w:spacing w:after="0" w:line="138" w:lineRule="exact"/>
              <w:rPr>
                <w:rFonts w:ascii="Arial" w:cs="Arial" w:eastAsia="Arial" w:hAnsi="Arial"/>
                <w:sz w:val="13"/>
                <w:szCs w:val="13"/>
                <w:color w:val="0000EE"/>
                <w:w w:val="92"/>
              </w:rPr>
            </w:pPr>
            <w:hyperlink w:anchor="page47">
              <w:r>
                <w:rPr>
                  <w:rFonts w:ascii="Arial" w:cs="Arial" w:eastAsia="Arial" w:hAnsi="Arial"/>
                  <w:sz w:val="13"/>
                  <w:szCs w:val="13"/>
                  <w:color w:val="0000EE"/>
                  <w:w w:val="92"/>
                </w:rPr>
                <w:t>Security Ownership of Certain Beneficial Owners and Management And Related Stockholder Matters</w:t>
              </w:r>
            </w:hyperlink>
          </w:p>
        </w:tc>
        <w:tc>
          <w:tcPr>
            <w:tcW w:w="2860" w:type="dxa"/>
            <w:vAlign w:val="bottom"/>
            <w:gridSpan w:val="2"/>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500" w:type="dxa"/>
            <w:vAlign w:val="bottom"/>
            <w:tcBorders>
              <w:bottom w:val="single" w:sz="8" w:color="0000EE"/>
            </w:tcBorders>
            <w:gridSpan w:val="3"/>
          </w:tcPr>
          <w:p>
            <w:pPr>
              <w:spacing w:after="0" w:line="138" w:lineRule="exact"/>
              <w:rPr>
                <w:rFonts w:ascii="Arial" w:cs="Arial" w:eastAsia="Arial" w:hAnsi="Arial"/>
                <w:sz w:val="13"/>
                <w:szCs w:val="13"/>
                <w:color w:val="0000EE"/>
                <w:w w:val="90"/>
              </w:rPr>
            </w:pPr>
            <w:hyperlink w:anchor="page47">
              <w:r>
                <w:rPr>
                  <w:rFonts w:ascii="Arial" w:cs="Arial" w:eastAsia="Arial" w:hAnsi="Arial"/>
                  <w:sz w:val="13"/>
                  <w:szCs w:val="13"/>
                  <w:color w:val="0000EE"/>
                  <w:w w:val="90"/>
                </w:rPr>
                <w:t>ITEM 13.</w:t>
              </w:r>
            </w:hyperlink>
          </w:p>
        </w:tc>
        <w:tc>
          <w:tcPr>
            <w:tcW w:w="480" w:type="dxa"/>
            <w:vAlign w:val="bottom"/>
            <w:gridSpan w:val="2"/>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47">
              <w:r>
                <w:rPr>
                  <w:rFonts w:ascii="Arial" w:cs="Arial" w:eastAsia="Arial" w:hAnsi="Arial"/>
                  <w:sz w:val="13"/>
                  <w:szCs w:val="13"/>
                  <w:color w:val="0000EE"/>
                  <w:w w:val="90"/>
                </w:rPr>
                <w:t>Certain Relationships and Related Transactions, and Director Independence</w:t>
              </w:r>
            </w:hyperlink>
          </w:p>
        </w:tc>
        <w:tc>
          <w:tcPr>
            <w:tcW w:w="4240" w:type="dxa"/>
            <w:vAlign w:val="bottom"/>
            <w:gridSpan w:val="4"/>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ITEM 14.</w:t>
              </w:r>
            </w:hyperlink>
          </w:p>
        </w:tc>
        <w:tc>
          <w:tcPr>
            <w:tcW w:w="8700" w:type="dxa"/>
            <w:vAlign w:val="bottom"/>
            <w:gridSpan w:val="27"/>
          </w:tcPr>
          <w:p>
            <w:pPr>
              <w:ind w:left="460"/>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Principal Accountant Fees and Services</w:t>
              </w:r>
            </w:hyperlink>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2"/>
                <w:szCs w:val="12"/>
                <w:color w:val="auto"/>
              </w:rPr>
            </w:pPr>
          </w:p>
        </w:tc>
      </w:tr>
      <w:tr>
        <w:trPr>
          <w:trHeight w:val="257"/>
        </w:trPr>
        <w:tc>
          <w:tcPr>
            <w:tcW w:w="720" w:type="dxa"/>
            <w:vAlign w:val="bottom"/>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980" w:type="dxa"/>
            <w:vAlign w:val="bottom"/>
            <w:gridSpan w:val="11"/>
          </w:tcPr>
          <w:p>
            <w:pPr>
              <w:jc w:val="center"/>
              <w:ind w:right="4460"/>
              <w:spacing w:after="0"/>
              <w:rPr>
                <w:rFonts w:ascii="Arial" w:cs="Arial" w:eastAsia="Arial" w:hAnsi="Arial"/>
                <w:sz w:val="13"/>
                <w:szCs w:val="13"/>
                <w:b w:val="1"/>
                <w:bCs w:val="1"/>
                <w:color w:val="0000EE"/>
              </w:rPr>
            </w:pPr>
            <w:hyperlink w:anchor="page48">
              <w:r>
                <w:rPr>
                  <w:rFonts w:ascii="Arial" w:cs="Arial" w:eastAsia="Arial" w:hAnsi="Arial"/>
                  <w:sz w:val="13"/>
                  <w:szCs w:val="13"/>
                  <w:b w:val="1"/>
                  <w:bCs w:val="1"/>
                  <w:color w:val="0000EE"/>
                </w:rPr>
                <w:t>PART IV</w:t>
              </w:r>
            </w:hyperlink>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ITEM 15.</w:t>
              </w:r>
            </w:hyperlink>
          </w:p>
        </w:tc>
        <w:tc>
          <w:tcPr>
            <w:tcW w:w="3740" w:type="dxa"/>
            <w:vAlign w:val="bottom"/>
            <w:gridSpan w:val="17"/>
          </w:tcPr>
          <w:p>
            <w:pPr>
              <w:ind w:left="460"/>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2"/>
                <w:szCs w:val="12"/>
                <w:color w:val="auto"/>
              </w:rPr>
            </w:pPr>
          </w:p>
        </w:tc>
        <w:tc>
          <w:tcPr>
            <w:tcW w:w="4460" w:type="dxa"/>
            <w:vAlign w:val="bottom"/>
            <w:gridSpan w:val="6"/>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48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3"/>
              </w:rPr>
              <w:t>EX-23.1</w:t>
            </w:r>
          </w:p>
        </w:tc>
        <w:tc>
          <w:tcPr>
            <w:tcW w:w="50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4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3"/>
              </w:rPr>
              <w:t>EX-23.2</w:t>
            </w:r>
          </w:p>
        </w:tc>
        <w:tc>
          <w:tcPr>
            <w:tcW w:w="50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4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3"/>
              </w:rPr>
              <w:t>EX-31.1</w:t>
            </w:r>
          </w:p>
        </w:tc>
        <w:tc>
          <w:tcPr>
            <w:tcW w:w="50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4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3"/>
              </w:rPr>
              <w:t>EX-31.2</w:t>
            </w:r>
          </w:p>
        </w:tc>
        <w:tc>
          <w:tcPr>
            <w:tcW w:w="50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4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93"/>
              </w:rPr>
              <w:t>EX-32.1</w:t>
            </w:r>
          </w:p>
        </w:tc>
        <w:tc>
          <w:tcPr>
            <w:tcW w:w="500" w:type="dxa"/>
            <w:vAlign w:val="bottom"/>
            <w:gridSpan w:val="3"/>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8"/>
        </w:trPr>
        <w:tc>
          <w:tcPr>
            <w:tcW w:w="720" w:type="dxa"/>
            <w:vAlign w:val="bottom"/>
          </w:tcPr>
          <w:p>
            <w:pPr>
              <w:spacing w:after="0"/>
              <w:rPr>
                <w:sz w:val="12"/>
                <w:szCs w:val="12"/>
                <w:color w:val="auto"/>
              </w:rPr>
            </w:pPr>
          </w:p>
        </w:tc>
        <w:tc>
          <w:tcPr>
            <w:tcW w:w="980" w:type="dxa"/>
            <w:vAlign w:val="bottom"/>
            <w:gridSpan w:val="5"/>
          </w:tcPr>
          <w:p>
            <w:pPr>
              <w:spacing w:after="0" w:line="138" w:lineRule="exact"/>
              <w:rPr>
                <w:sz w:val="20"/>
                <w:szCs w:val="20"/>
                <w:color w:val="auto"/>
              </w:rPr>
            </w:pPr>
            <w:r>
              <w:rPr>
                <w:rFonts w:ascii="Arial" w:cs="Arial" w:eastAsia="Arial" w:hAnsi="Arial"/>
                <w:sz w:val="13"/>
                <w:szCs w:val="13"/>
                <w:color w:val="0000EE"/>
              </w:rPr>
              <w:t>EX-32.2</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463"/>
        </w:trPr>
        <w:tc>
          <w:tcPr>
            <w:tcW w:w="7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80" w:type="dxa"/>
            <w:vAlign w:val="bottom"/>
            <w:gridSpan w:val="19"/>
          </w:tcPr>
          <w:p>
            <w:pPr>
              <w:jc w:val="center"/>
              <w:ind w:left="3694"/>
              <w:spacing w:after="0"/>
              <w:rPr>
                <w:sz w:val="20"/>
                <w:szCs w:val="20"/>
                <w:color w:val="auto"/>
              </w:rPr>
            </w:pPr>
            <w:r>
              <w:rPr>
                <w:rFonts w:ascii="Arial" w:cs="Arial" w:eastAsia="Arial" w:hAnsi="Arial"/>
                <w:sz w:val="13"/>
                <w:szCs w:val="13"/>
                <w:color w:val="auto"/>
                <w:w w:val="82"/>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7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2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Hawkins, Inc. distributes bulk chemicals and blends, manufactures and distributes specialty chemicals for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the specialty chemical portion of our business to continue to grow. We believe that we create value for our customers through superb service and support, quality products, personalized applications and our trustworthy, creative employees.</w:t>
      </w:r>
    </w:p>
    <w:p>
      <w:pPr>
        <w:spacing w:after="0" w:line="50" w:lineRule="exact"/>
        <w:rPr>
          <w:sz w:val="20"/>
          <w:szCs w:val="20"/>
          <w:color w:val="auto"/>
        </w:rPr>
      </w:pPr>
    </w:p>
    <w:p>
      <w:pPr>
        <w:ind w:left="680" w:right="260" w:firstLine="399"/>
        <w:spacing w:after="0" w:line="279" w:lineRule="auto"/>
        <w:rPr>
          <w:sz w:val="20"/>
          <w:szCs w:val="20"/>
          <w:color w:val="auto"/>
        </w:rPr>
      </w:pPr>
      <w:r>
        <w:rPr>
          <w:rFonts w:ascii="Arial" w:cs="Arial" w:eastAsia="Arial" w:hAnsi="Arial"/>
          <w:sz w:val="13"/>
          <w:szCs w:val="13"/>
          <w:color w:val="auto"/>
        </w:rPr>
        <w:t>We currently conduct our business in two segments: Industrial and Water Treatment. Financial information regarding these segments is reported in our Financial Statements and Notes to Financial Statements. See Items 7 and 8 of this Annual Report on Form 10-K.</w:t>
      </w:r>
    </w:p>
    <w:p>
      <w:pPr>
        <w:spacing w:after="0" w:line="28" w:lineRule="exact"/>
        <w:rPr>
          <w:sz w:val="20"/>
          <w:szCs w:val="20"/>
          <w:color w:val="auto"/>
        </w:rPr>
      </w:pPr>
    </w:p>
    <w:p>
      <w:pPr>
        <w:ind w:left="680" w:right="320" w:firstLine="399"/>
        <w:spacing w:after="0" w:line="266" w:lineRule="auto"/>
        <w:rPr>
          <w:sz w:val="20"/>
          <w:szCs w:val="20"/>
          <w:color w:val="auto"/>
        </w:rPr>
      </w:pPr>
      <w:r>
        <w:rPr>
          <w:rFonts w:ascii="Arial" w:cs="Arial" w:eastAsia="Arial" w:hAnsi="Arial"/>
          <w:sz w:val="13"/>
          <w:szCs w:val="13"/>
          <w:i w:val="1"/>
          <w:iCs w:val="1"/>
          <w:color w:val="auto"/>
        </w:rPr>
        <w:t xml:space="preserve">Industrial Segment. </w:t>
      </w:r>
      <w:r>
        <w:rPr>
          <w:rFonts w:ascii="Arial" w:cs="Arial" w:eastAsia="Arial" w:hAnsi="Arial"/>
          <w:sz w:val="13"/>
          <w:szCs w:val="13"/>
          <w:color w:val="auto"/>
        </w:rPr>
        <w:t>Our Industrial Group operates this segment of our business, which specializes in providing industrial chemicals, products and services primarily to the</w:t>
      </w:r>
      <w:r>
        <w:rPr>
          <w:rFonts w:ascii="Arial" w:cs="Arial" w:eastAsia="Arial" w:hAnsi="Arial"/>
          <w:sz w:val="13"/>
          <w:szCs w:val="13"/>
          <w:i w:val="1"/>
          <w:iCs w:val="1"/>
          <w:color w:val="auto"/>
        </w:rPr>
        <w:t xml:space="preserve"> </w:t>
      </w:r>
      <w:r>
        <w:rPr>
          <w:rFonts w:ascii="Arial" w:cs="Arial" w:eastAsia="Arial" w:hAnsi="Arial"/>
          <w:sz w:val="13"/>
          <w:szCs w:val="13"/>
          <w:color w:val="auto"/>
        </w:rPr>
        <w:t>agriculture, energy, electronics, food, chemical processing, pulp and paper, pharmaceutical, medical device and plating industries. The group’s principal products are acids, alkalis and industrial and food-grade salts.</w:t>
      </w:r>
    </w:p>
    <w:p>
      <w:pPr>
        <w:spacing w:after="0" w:line="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Industrial Group:</w:t>
      </w:r>
    </w:p>
    <w:p>
      <w:pPr>
        <w:spacing w:after="0" w:line="78" w:lineRule="exact"/>
        <w:rPr>
          <w:sz w:val="20"/>
          <w:szCs w:val="20"/>
          <w:color w:val="auto"/>
        </w:rPr>
      </w:pPr>
    </w:p>
    <w:p>
      <w:pPr>
        <w:ind w:left="1300" w:right="440" w:hanging="207"/>
        <w:spacing w:after="0" w:line="279" w:lineRule="auto"/>
        <w:tabs>
          <w:tab w:leader="none" w:pos="130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Receives, stores and distributes various chemicals in bulk, including liquid caustic soda, sulfuric acid, hydrochloric acid, phosphoric acid, potassium hydroxide and aqua ammonia;</w:t>
      </w:r>
    </w:p>
    <w:p>
      <w:pPr>
        <w:spacing w:after="0" w:line="16" w:lineRule="exact"/>
        <w:rPr>
          <w:rFonts w:ascii="Arial" w:cs="Arial" w:eastAsia="Arial" w:hAnsi="Arial"/>
          <w:sz w:val="13"/>
          <w:szCs w:val="13"/>
          <w:color w:val="auto"/>
        </w:rPr>
      </w:pPr>
    </w:p>
    <w:p>
      <w:pPr>
        <w:ind w:left="1300" w:right="220" w:hanging="207"/>
        <w:spacing w:after="0" w:line="283" w:lineRule="auto"/>
        <w:tabs>
          <w:tab w:leader="none" w:pos="1300" w:val="left"/>
        </w:tabs>
        <w:numPr>
          <w:ilvl w:val="0"/>
          <w:numId w:val="1"/>
        </w:numPr>
        <w:rPr>
          <w:rFonts w:ascii="Arial" w:cs="Arial" w:eastAsia="Arial" w:hAnsi="Arial"/>
          <w:sz w:val="13"/>
          <w:szCs w:val="13"/>
          <w:color w:val="auto"/>
        </w:rPr>
      </w:pPr>
      <w:r>
        <w:rPr>
          <w:rFonts w:ascii="Arial" w:cs="Arial" w:eastAsia="Arial" w:hAnsi="Arial"/>
          <w:sz w:val="13"/>
          <w:szCs w:val="13"/>
          <w:color w:val="auto"/>
        </w:rPr>
        <w:t>Manufactures sodium hypochlorite (bleach), agricultural products and certain food-grade products, including our patented Cheese-Phos</w:t>
      </w:r>
      <w:r>
        <w:rPr>
          <w:rFonts w:ascii="Arial" w:cs="Arial" w:eastAsia="Arial" w:hAnsi="Arial"/>
          <w:sz w:val="11"/>
          <w:szCs w:val="11"/>
          <w:color w:val="auto"/>
        </w:rPr>
        <w:t>®</w:t>
      </w:r>
      <w:r>
        <w:rPr>
          <w:rFonts w:ascii="Arial" w:cs="Arial" w:eastAsia="Arial" w:hAnsi="Arial"/>
          <w:sz w:val="13"/>
          <w:szCs w:val="13"/>
          <w:color w:val="auto"/>
        </w:rPr>
        <w:t xml:space="preserve"> liquid phosphate, lactates and other blended products;</w:t>
      </w:r>
    </w:p>
    <w:p>
      <w:pPr>
        <w:spacing w:after="0" w:line="15" w:lineRule="exact"/>
        <w:rPr>
          <w:rFonts w:ascii="Arial" w:cs="Arial" w:eastAsia="Arial" w:hAnsi="Arial"/>
          <w:sz w:val="13"/>
          <w:szCs w:val="13"/>
          <w:color w:val="auto"/>
        </w:rPr>
      </w:pPr>
    </w:p>
    <w:p>
      <w:pPr>
        <w:ind w:left="1300" w:hanging="207"/>
        <w:spacing w:after="0"/>
        <w:tabs>
          <w:tab w:leader="none" w:pos="130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Repackages water treatment chemicals for our Water Treatment Group and bulk industrial chemicals to sell in smaller quantities to our customers;</w:t>
      </w:r>
    </w:p>
    <w:p>
      <w:pPr>
        <w:spacing w:after="0" w:line="58" w:lineRule="exact"/>
        <w:rPr>
          <w:rFonts w:ascii="Arial" w:cs="Arial" w:eastAsia="Arial" w:hAnsi="Arial"/>
          <w:sz w:val="13"/>
          <w:szCs w:val="13"/>
          <w:color w:val="auto"/>
        </w:rPr>
      </w:pPr>
    </w:p>
    <w:p>
      <w:pPr>
        <w:ind w:left="1300" w:hanging="207"/>
        <w:spacing w:after="0"/>
        <w:tabs>
          <w:tab w:leader="none" w:pos="13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Performs custom blending of certain chemicals for customers according to customer formulas; and</w:t>
      </w:r>
    </w:p>
    <w:p>
      <w:pPr>
        <w:spacing w:after="0" w:line="58" w:lineRule="exact"/>
        <w:rPr>
          <w:rFonts w:ascii="Arial" w:cs="Arial" w:eastAsia="Arial" w:hAnsi="Arial"/>
          <w:sz w:val="13"/>
          <w:szCs w:val="13"/>
          <w:color w:val="auto"/>
        </w:rPr>
      </w:pPr>
    </w:p>
    <w:p>
      <w:pPr>
        <w:ind w:left="1300" w:hanging="207"/>
        <w:spacing w:after="0"/>
        <w:tabs>
          <w:tab w:leader="none" w:pos="13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Performs contract and private label packaging for household chemicals.</w:t>
      </w:r>
    </w:p>
    <w:p>
      <w:pPr>
        <w:spacing w:after="0" w:line="6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37"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In the fourth quarter of fiscal 2011, we completed the acquisition of substantially all of the assets of Vertex Chemical Corporation (“Vertex”), a manufacturer of sodium hypochlorite in the central Midwest.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 In connection with the acquisition we paid the sellers $27.2 million and assumed certain liabilities of Vertex. Vertex’s business is part of our Industrial Group.</w:t>
      </w:r>
    </w:p>
    <w:p>
      <w:pPr>
        <w:spacing w:after="0" w:line="33" w:lineRule="exact"/>
        <w:rPr>
          <w:sz w:val="20"/>
          <w:szCs w:val="20"/>
          <w:color w:val="auto"/>
        </w:rPr>
      </w:pPr>
    </w:p>
    <w:p>
      <w:pPr>
        <w:ind w:left="680" w:right="340" w:firstLine="399"/>
        <w:spacing w:after="0" w:line="266" w:lineRule="auto"/>
        <w:rPr>
          <w:sz w:val="20"/>
          <w:szCs w:val="20"/>
          <w:color w:val="auto"/>
        </w:rPr>
      </w:pPr>
      <w:r>
        <w:rPr>
          <w:rFonts w:ascii="Arial" w:cs="Arial" w:eastAsia="Arial" w:hAnsi="Arial"/>
          <w:sz w:val="13"/>
          <w:szCs w:val="13"/>
          <w:color w:val="auto"/>
        </w:rPr>
        <w:t>In fiscal 2009 and fiscal 2010, we invested in two new facilities, which expanded the group’s ability to service its customers. Our facility in Centralia, Illinois, which primarily serves our food-grade products business, became operational in July 2009. We also opened a facility in Minneapolis, Minnesota, to handle bulk chemicals sold to pharmaceutical manufacturers. The total capital expenditures on these two facilities were approximately $10.0 million through fiscal 2010.</w:t>
      </w:r>
    </w:p>
    <w:p>
      <w:pPr>
        <w:spacing w:after="0" w:line="32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i w:val="1"/>
          <w:iCs w:val="1"/>
          <w:color w:val="auto"/>
        </w:rPr>
        <w:t xml:space="preserve">Water Treatment Segment. </w:t>
      </w:r>
      <w:r>
        <w:rPr>
          <w:rFonts w:ascii="Arial" w:cs="Arial" w:eastAsia="Arial" w:hAnsi="Arial"/>
          <w:sz w:val="13"/>
          <w:szCs w:val="13"/>
          <w:color w:val="auto"/>
        </w:rPr>
        <w:t>Our Water Treatment Group operates this segment of our business, which specializes in providing chemicals, equipment and solutions for potable water,</w:t>
      </w:r>
      <w:r>
        <w:rPr>
          <w:rFonts w:ascii="Arial" w:cs="Arial" w:eastAsia="Arial" w:hAnsi="Arial"/>
          <w:sz w:val="13"/>
          <w:szCs w:val="13"/>
          <w:i w:val="1"/>
          <w:iCs w:val="1"/>
          <w:color w:val="auto"/>
        </w:rPr>
        <w:t xml:space="preserve"> </w:t>
      </w:r>
      <w:r>
        <w:rPr>
          <w:rFonts w:ascii="Arial" w:cs="Arial" w:eastAsia="Arial" w:hAnsi="Arial"/>
          <w:sz w:val="13"/>
          <w:szCs w:val="13"/>
          <w:color w:val="auto"/>
        </w:rPr>
        <w:t>municipal and industrial wastewater, industrial process water and non-residential swimming pool water. The group has the resources and flexibility to treat systems ranging in size from a small single well to a multi-million-gallon-per-day treatment facility.</w:t>
      </w:r>
    </w:p>
    <w:p>
      <w:pPr>
        <w:spacing w:after="0" w:line="67"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The group utilizes delivery routes operated by our employees who serve as route driver, salesperson and highly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69"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The group operates out of warehouses in 18 cities supplying products and services to customers in Arkansas, Illinois, Indiana, Iowa, Kansas, Michigan, Minnesota, Missouri, Montana, Nebraska, North Dakota, Oklahoma, South Dakota, Tennessee, Wisconsin and Wyoming. We opened two of these warehouses in fiscal 2011, one in fiscal 2010 and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69"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i w:val="1"/>
          <w:iCs w:val="1"/>
          <w:color w:val="auto"/>
        </w:rPr>
        <w:t xml:space="preserve">Discontinued Operations. </w:t>
      </w:r>
      <w:r>
        <w:rPr>
          <w:rFonts w:ascii="Arial" w:cs="Arial" w:eastAsia="Arial" w:hAnsi="Arial"/>
          <w:sz w:val="13"/>
          <w:szCs w:val="13"/>
          <w:color w:val="auto"/>
        </w:rPr>
        <w:t>In February 2009, we entered into two agreements whereby we agreed to sell our inventory and enter into a marketing relationship regarding the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consolidated financial statements for all periods presented in this Annual Report on Form 10-K.</w:t>
      </w:r>
    </w:p>
    <w:p>
      <w:pPr>
        <w:spacing w:after="0" w:line="69"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i w:val="1"/>
          <w:iCs w:val="1"/>
          <w:color w:val="auto"/>
        </w:rPr>
        <w:t xml:space="preserve">Raw Materials. </w:t>
      </w:r>
      <w:r>
        <w:rPr>
          <w:rFonts w:ascii="Arial" w:cs="Arial" w:eastAsia="Arial" w:hAnsi="Arial"/>
          <w:sz w:val="12"/>
          <w:szCs w:val="12"/>
          <w:color w:val="auto"/>
        </w:rPr>
        <w:t>We have numerous suppliers, including many of the major chemical producers in the United States. We typically have written distributorship agreements or supply</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contracts with our suppliers that are periodically renewed. We believe that most of the products we purchase can be obtained from alternative sources should existing relationships be terminated. We are dependent upon the availability of our raw materials. In the event that certain raw materials become generally unavailable, suppliers may extend lead times or limit or cut off the supply of materials to us. As a result, we may not be able to supply or manufacture products for our customers. While we believe we have adequate sources of supply for our raw material and product requirements, we cannot be sure that supplies will be consistently available in the future should shortages occur.</w:t>
      </w:r>
    </w:p>
    <w:p>
      <w:pPr>
        <w:spacing w:after="0" w:line="55"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2"/>
          <w:szCs w:val="12"/>
          <w:i w:val="1"/>
          <w:iCs w:val="1"/>
          <w:color w:val="auto"/>
        </w:rPr>
        <w:t xml:space="preserve">Intellectual Property. </w:t>
      </w:r>
      <w:r>
        <w:rPr>
          <w:rFonts w:ascii="Arial" w:cs="Arial" w:eastAsia="Arial" w:hAnsi="Arial"/>
          <w:sz w:val="12"/>
          <w:szCs w:val="12"/>
          <w:color w:val="auto"/>
        </w:rPr>
        <w:t>Our intellectual property portfolio is of economic importance to our business. When appropriate, we have pursued, and we will continue to pursue, patents</w:t>
      </w:r>
      <w:r>
        <w:rPr>
          <w:rFonts w:ascii="Arial" w:cs="Arial" w:eastAsia="Arial" w:hAnsi="Arial"/>
          <w:sz w:val="12"/>
          <w:szCs w:val="12"/>
          <w:i w:val="1"/>
          <w:iCs w:val="1"/>
          <w:color w:val="auto"/>
        </w:rPr>
        <w:t xml:space="preserve"> </w:t>
      </w:r>
      <w:r>
        <w:rPr>
          <w:rFonts w:ascii="Arial" w:cs="Arial" w:eastAsia="Arial" w:hAnsi="Arial"/>
          <w:sz w:val="12"/>
          <w:szCs w:val="12"/>
          <w:color w:val="auto"/>
        </w:rPr>
        <w:t>covering our products. We also have obtained certain trademarks for our products to distinguish them from our competitors’ products. The patent for our Chees-Phos</w:t>
      </w:r>
      <w:r>
        <w:rPr>
          <w:rFonts w:ascii="Arial" w:cs="Arial" w:eastAsia="Arial" w:hAnsi="Arial"/>
          <w:sz w:val="10"/>
          <w:szCs w:val="10"/>
          <w:color w:val="auto"/>
        </w:rPr>
        <w:t>®</w:t>
      </w:r>
      <w:r>
        <w:rPr>
          <w:rFonts w:ascii="Arial" w:cs="Arial" w:eastAsia="Arial" w:hAnsi="Arial"/>
          <w:sz w:val="12"/>
          <w:szCs w:val="12"/>
          <w:color w:val="auto"/>
        </w:rPr>
        <w:t xml:space="preserve"> liquid phosphate product, which is manufactured by our Industrial group, is scheduled to expire in November 2013. We regard much of the formulae, information and processes that we generate and use in the conduct of our business as proprietary and protectable under applicable copyright, patent, trademark, trade secret and unfair competition laws.</w:t>
      </w:r>
    </w:p>
    <w:p>
      <w:pPr>
        <w:spacing w:after="0" w:line="53"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Customer Concentration. </w:t>
      </w:r>
      <w:r>
        <w:rPr>
          <w:rFonts w:ascii="Arial" w:cs="Arial" w:eastAsia="Arial" w:hAnsi="Arial"/>
          <w:sz w:val="13"/>
          <w:szCs w:val="13"/>
          <w:color w:val="auto"/>
        </w:rPr>
        <w:t>No single customer represents more than 10% of either our total sales or the total sales of any of our segments, but the loss of our five largest customers</w:t>
      </w:r>
      <w:r>
        <w:rPr>
          <w:rFonts w:ascii="Arial" w:cs="Arial" w:eastAsia="Arial" w:hAnsi="Arial"/>
          <w:sz w:val="13"/>
          <w:szCs w:val="13"/>
          <w:i w:val="1"/>
          <w:iCs w:val="1"/>
          <w:color w:val="auto"/>
        </w:rPr>
        <w:t xml:space="preserve"> </w:t>
      </w:r>
      <w:r>
        <w:rPr>
          <w:rFonts w:ascii="Arial" w:cs="Arial" w:eastAsia="Arial" w:hAnsi="Arial"/>
          <w:sz w:val="13"/>
          <w:szCs w:val="13"/>
          <w:color w:val="auto"/>
        </w:rPr>
        <w:t>could have a material adverse effect on our results of operations. Total aggregate sales to our five largest customers were $46.0 million in fiscal 2009, $47.1 million in fiscal 2010 and $53.1 million in fiscal 2011.</w:t>
      </w:r>
    </w:p>
    <w:p>
      <w:pPr>
        <w:spacing w:after="0" w:line="67"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i w:val="1"/>
          <w:iCs w:val="1"/>
          <w:color w:val="auto"/>
        </w:rPr>
        <w:t xml:space="preserve">Competition. </w:t>
      </w:r>
      <w:r>
        <w:rPr>
          <w:rFonts w:ascii="Arial" w:cs="Arial" w:eastAsia="Arial" w:hAnsi="Arial"/>
          <w:sz w:val="13"/>
          <w:szCs w:val="13"/>
          <w:color w:val="auto"/>
        </w:rPr>
        <w:t>We operate in a competitive industry and compete with many producers, distributors and sales agents offering chemicals equivalent to substantially all of the products</w:t>
      </w:r>
      <w:r>
        <w:rPr>
          <w:rFonts w:ascii="Arial" w:cs="Arial" w:eastAsia="Arial" w:hAnsi="Arial"/>
          <w:sz w:val="13"/>
          <w:szCs w:val="13"/>
          <w:i w:val="1"/>
          <w:iCs w:val="1"/>
          <w:color w:val="auto"/>
        </w:rPr>
        <w:t xml:space="preserve"> </w:t>
      </w:r>
      <w:r>
        <w:rPr>
          <w:rFonts w:ascii="Arial" w:cs="Arial" w:eastAsia="Arial" w:hAnsi="Arial"/>
          <w:sz w:val="13"/>
          <w:szCs w:val="13"/>
          <w:color w:val="auto"/>
        </w:rPr>
        <w:t>we handle.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Geographic Information. </w:t>
      </w:r>
      <w:r>
        <w:rPr>
          <w:rFonts w:ascii="Arial" w:cs="Arial" w:eastAsia="Arial" w:hAnsi="Arial"/>
          <w:sz w:val="13"/>
          <w:szCs w:val="13"/>
          <w:color w:val="auto"/>
        </w:rPr>
        <w:t>Substantially all of our revenues are generated in, and long-lived assets are located in, the United States.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Employees. </w:t>
      </w:r>
      <w:r>
        <w:rPr>
          <w:rFonts w:ascii="Arial" w:cs="Arial" w:eastAsia="Arial" w:hAnsi="Arial"/>
          <w:sz w:val="13"/>
          <w:szCs w:val="13"/>
          <w:color w:val="auto"/>
        </w:rPr>
        <w:t>We had 321 employees as of April 3, 2011, including 48 covered by a collective bargaining agreement.</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i w:val="1"/>
          <w:iCs w:val="1"/>
          <w:color w:val="auto"/>
        </w:rPr>
        <w:t xml:space="preserve">About Us. </w:t>
      </w:r>
      <w:r>
        <w:rPr>
          <w:rFonts w:ascii="Arial" w:cs="Arial" w:eastAsia="Arial" w:hAnsi="Arial"/>
          <w:sz w:val="13"/>
          <w:szCs w:val="13"/>
          <w:color w:val="auto"/>
        </w:rPr>
        <w:t>Hawkins, Inc. was founded in 1938 and incorporated in Minnesota in 1955. We became a publicly-traded company in 1972. Our principal executive offices are located at</w:t>
      </w:r>
      <w:r>
        <w:rPr>
          <w:rFonts w:ascii="Arial" w:cs="Arial" w:eastAsia="Arial" w:hAnsi="Arial"/>
          <w:sz w:val="13"/>
          <w:szCs w:val="13"/>
          <w:i w:val="1"/>
          <w:iCs w:val="1"/>
          <w:color w:val="auto"/>
        </w:rPr>
        <w:t xml:space="preserve"> </w:t>
      </w:r>
      <w:r>
        <w:rPr>
          <w:rFonts w:ascii="Arial" w:cs="Arial" w:eastAsia="Arial" w:hAnsi="Arial"/>
          <w:sz w:val="13"/>
          <w:szCs w:val="13"/>
          <w:color w:val="auto"/>
        </w:rPr>
        <w:t>3100 East Hennepin Avenue, Minneapolis, Minnesota.</w:t>
      </w:r>
    </w:p>
    <w:p>
      <w:pPr>
        <w:spacing w:after="0" w:line="58"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i w:val="1"/>
          <w:iCs w:val="1"/>
          <w:color w:val="auto"/>
        </w:rPr>
        <w:t xml:space="preserve">Available Information. </w:t>
      </w:r>
      <w:r>
        <w:rPr>
          <w:rFonts w:ascii="Arial" w:cs="Arial" w:eastAsia="Arial" w:hAnsi="Arial"/>
          <w:sz w:val="12"/>
          <w:szCs w:val="12"/>
          <w:color w:val="auto"/>
        </w:rPr>
        <w:t>We have made available, free of charge, through our Internet website (http://www.hawkinsinc.com) our Annual Reports on Form 10-K, Quarterly Reports on</w:t>
      </w:r>
      <w:r>
        <w:rPr>
          <w:rFonts w:ascii="Arial" w:cs="Arial" w:eastAsia="Arial" w:hAnsi="Arial"/>
          <w:sz w:val="12"/>
          <w:szCs w:val="12"/>
          <w:i w:val="1"/>
          <w:iCs w:val="1"/>
          <w:color w:val="auto"/>
        </w:rPr>
        <w:t xml:space="preserve"> </w:t>
      </w:r>
      <w:r>
        <w:rPr>
          <w:rFonts w:ascii="Arial" w:cs="Arial" w:eastAsia="Arial" w:hAnsi="Arial"/>
          <w:sz w:val="12"/>
          <w:szCs w:val="12"/>
          <w:color w:val="auto"/>
        </w:rPr>
        <w:t>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28"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You should consider carefully the following risks when reading the information, including the financial information, contained in this Annual Report on Form 10-K.</w:t>
      </w:r>
    </w:p>
    <w:p>
      <w:pPr>
        <w:spacing w:after="0" w:line="177" w:lineRule="exact"/>
        <w:rPr>
          <w:sz w:val="20"/>
          <w:szCs w:val="20"/>
          <w:color w:val="auto"/>
        </w:rPr>
      </w:pPr>
    </w:p>
    <w:p>
      <w:pPr>
        <w:ind w:left="880" w:right="280"/>
        <w:spacing w:after="0" w:line="279" w:lineRule="auto"/>
        <w:rPr>
          <w:sz w:val="20"/>
          <w:szCs w:val="20"/>
          <w:color w:val="auto"/>
        </w:rPr>
      </w:pPr>
      <w:r>
        <w:rPr>
          <w:rFonts w:ascii="Arial" w:cs="Arial" w:eastAsia="Arial" w:hAnsi="Arial"/>
          <w:sz w:val="13"/>
          <w:szCs w:val="13"/>
          <w:b w:val="1"/>
          <w:bCs w:val="1"/>
          <w:i w:val="1"/>
          <w:iCs w:val="1"/>
          <w:color w:val="auto"/>
        </w:rPr>
        <w:t>Fluctuations in the prices and availability of commodity chemicals, which are cyclical in nature, could have a material adverse effect on our operations and the margins of our products.</w:t>
      </w:r>
    </w:p>
    <w:p>
      <w:pPr>
        <w:spacing w:after="0" w:line="58"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Periodically, we experience significant and rapid fluctuations in the commodity pricing of raw materials. The cyclicality of commodity chemical markets, such as caustic soda, primarily results from changes in the balance between supply and demand and the level of general economic activity. We cannot predict whether the markets for our commodity chemicals will favorably impact our operations or whether we will experience a negative impact due to oversupply and lower prices.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principal raw materials are generally purchased under supply contracts. The prices we pay under these contracts generally lag the market prices of the underlying raw material. The pricing within our supply contracts generally adjusts quarterly or monthly. In addition, the cost of inventory we have on hand generally will lag the current market pricing of such inventory. While we attempt to maintain competitive pricing and stable margin dollars, the variability in our cost of inventory from the current market pricing can cause significant volatility in our margins realized. In periods of rapidly increasing market prices, the inventory cost position will tend to be favorable to us, possibly by material amounts, which may positively impact our margins. Conversely, in periods of rapidly decreasing market prices, the inventory cost position will tend to be unfavorable to us,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72" w:lineRule="exact"/>
        <w:rPr>
          <w:sz w:val="20"/>
          <w:szCs w:val="20"/>
          <w:color w:val="auto"/>
        </w:rPr>
      </w:pPr>
    </w:p>
    <w:p>
      <w:pPr>
        <w:ind w:left="680" w:right="120" w:firstLine="399"/>
        <w:spacing w:after="0" w:line="287" w:lineRule="auto"/>
        <w:rPr>
          <w:sz w:val="20"/>
          <w:szCs w:val="20"/>
          <w:color w:val="auto"/>
        </w:rPr>
      </w:pPr>
      <w:r>
        <w:rPr>
          <w:rFonts w:ascii="Arial" w:cs="Arial" w:eastAsia="Arial" w:hAnsi="Arial"/>
          <w:sz w:val="12"/>
          <w:szCs w:val="12"/>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For example, in calendar 2008 a miners’ strike in Canada significantly limited supplies of potassium chloride, a key component of some of our products. Due to the resulting shortage, many chemical companies were unable to supply their customers. While we were able to obtain a supply of the product sufficient to meet our customers’ needs, we cannot be certain that such supplies would be available in the future should other similar shortages occur. Constraints on the supply or delivery of critical raw materials could disrupt our operations and adversely affect the performance of our business.</w:t>
      </w:r>
    </w:p>
    <w:p>
      <w:pPr>
        <w:spacing w:after="0" w:line="200" w:lineRule="exact"/>
        <w:rPr>
          <w:sz w:val="20"/>
          <w:szCs w:val="20"/>
          <w:color w:val="auto"/>
        </w:rPr>
      </w:pPr>
    </w:p>
    <w:p>
      <w:pPr>
        <w:spacing w:after="0" w:line="23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environment and face significant competition and price pressure.</w:t>
      </w:r>
    </w:p>
    <w:p>
      <w:pPr>
        <w:spacing w:after="0" w:line="98" w:lineRule="exact"/>
        <w:rPr>
          <w:sz w:val="20"/>
          <w:szCs w:val="20"/>
          <w:color w:val="auto"/>
        </w:rPr>
      </w:pPr>
    </w:p>
    <w:p>
      <w:pPr>
        <w:ind w:left="680" w:right="440" w:firstLine="399"/>
        <w:spacing w:after="0" w:line="259" w:lineRule="auto"/>
        <w:rPr>
          <w:sz w:val="20"/>
          <w:szCs w:val="20"/>
          <w:color w:val="auto"/>
        </w:rPr>
      </w:pPr>
      <w:r>
        <w:rPr>
          <w:rFonts w:ascii="Arial" w:cs="Arial" w:eastAsia="Arial" w:hAnsi="Arial"/>
          <w:sz w:val="13"/>
          <w:szCs w:val="13"/>
          <w:color w:val="auto"/>
        </w:rPr>
        <w:t>We operate in a highly competitive industry and compete with producers, manufacturers, distributors and sales agents offering chemicals equivalent to substantially all of the products we handle. Competition is based</w:t>
      </w:r>
    </w:p>
    <w:p>
      <w:pPr>
        <w:spacing w:after="0" w:line="1"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on several key criteria, including product price, product performance and quality, product availability and security of supply, responsiveness of product development in cooperation with customers, and customer service. Many of our competitors are larger than we are and may have greater financial resources. As a result, these competitors may be better able than us to withstand changes in conditions within our industry, changes in the prices and availability of raw materials, and changes in general economic conditions.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and volume, identifying higher margin chemical products and improving existing products through innovation and research and development. If we are unable to maintain our profitability or competitive position, we could lose market share to our competitors and experience reduced profitability.</w:t>
      </w:r>
    </w:p>
    <w:p>
      <w:pPr>
        <w:spacing w:after="0" w:line="152" w:lineRule="exact"/>
        <w:rPr>
          <w:sz w:val="20"/>
          <w:szCs w:val="20"/>
          <w:color w:val="auto"/>
        </w:rPr>
      </w:pPr>
    </w:p>
    <w:p>
      <w:pPr>
        <w:ind w:left="880" w:right="20"/>
        <w:spacing w:after="0" w:line="279" w:lineRule="auto"/>
        <w:rPr>
          <w:sz w:val="20"/>
          <w:szCs w:val="20"/>
          <w:color w:val="auto"/>
        </w:rPr>
      </w:pPr>
      <w:r>
        <w:rPr>
          <w:rFonts w:ascii="Arial" w:cs="Arial" w:eastAsia="Arial" w:hAnsi="Arial"/>
          <w:sz w:val="13"/>
          <w:szCs w:val="13"/>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58" w:lineRule="exact"/>
        <w:rPr>
          <w:sz w:val="20"/>
          <w:szCs w:val="20"/>
          <w:color w:val="auto"/>
        </w:rPr>
      </w:pPr>
    </w:p>
    <w:p>
      <w:pPr>
        <w:ind w:left="680" w:right="180" w:firstLine="399"/>
        <w:spacing w:after="0" w:line="291" w:lineRule="auto"/>
        <w:rPr>
          <w:sz w:val="20"/>
          <w:szCs w:val="20"/>
          <w:color w:val="auto"/>
        </w:rPr>
      </w:pPr>
      <w:r>
        <w:rPr>
          <w:rFonts w:ascii="Arial" w:cs="Arial" w:eastAsia="Arial" w:hAnsi="Arial"/>
          <w:sz w:val="12"/>
          <w:szCs w:val="12"/>
          <w:color w:val="auto"/>
        </w:rPr>
        <w:t>Demand for our products is affected by general economic conditions. A decline in general economic or business conditions in the industries served by our customers could have a material adverse effect on our business. Although our sales volumes have increased in areas traditionally considered non-cyclical such as water treatment and food products, many of our customers are in businesses that are cyclical in nature, such as the industrial manufacturing, surface finishing and energy industries which include the automobile parts markets and the ethanol industry. Downturns in these industries could adversely affect our sales and our financial results by affecting demand for and pricing of our products.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business is subject to hazards common to chemical businesses, any of which could interrupt our production and adversely affect our results of operations.</w:t>
      </w:r>
    </w:p>
    <w:p>
      <w:pPr>
        <w:spacing w:after="0" w:line="109"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Our business is subject to hazards common to chemical manufacturing, storage, handling and transportation, including explosions, fires, severe weather, natural disasters, mechanical failure, unscheduled downtime, transportation interruptions,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and result in a negative public or political reaction. Many of our facilities are bordered by significant residential populations which increase the risk of negative public or political reaction should an environmental issue occur and could lead to adverse zoning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health and safety laws and regulations cause us to incur substantial costs and may subject us to future liabilities.</w:t>
      </w:r>
    </w:p>
    <w:p>
      <w:pPr>
        <w:spacing w:after="0" w:line="98" w:lineRule="exact"/>
        <w:rPr>
          <w:sz w:val="20"/>
          <w:szCs w:val="20"/>
          <w:color w:val="auto"/>
        </w:rPr>
      </w:pPr>
    </w:p>
    <w:p>
      <w:pPr>
        <w:ind w:left="680" w:right="160" w:firstLine="399"/>
        <w:spacing w:after="0" w:line="259" w:lineRule="auto"/>
        <w:rPr>
          <w:sz w:val="20"/>
          <w:szCs w:val="20"/>
          <w:color w:val="auto"/>
        </w:rPr>
      </w:pPr>
      <w:r>
        <w:rPr>
          <w:rFonts w:ascii="Arial" w:cs="Arial" w:eastAsia="Arial" w:hAnsi="Arial"/>
          <w:sz w:val="13"/>
          <w:szCs w:val="13"/>
          <w:color w:val="auto"/>
        </w:rPr>
        <w:t>In the jurisdictions in which we operate, we are subject to numerous federal, state and local environmental, health and safety laws and regulations, including those governing the discharge of pollutants into the air and water, and the management and disposal of hazardous substances and wastes. The nature of our business exposes us to risks of liability under these laws and regulations due to the production, storage, use, transportation and sale of materials that can cause contamination or personal injury if released into the environment. Ongoing compliance with such laws and regulations is an important consideration for us and we invest substantial capital and incur significant operating costs in our compliance efforts. Governmental regulation has become increasingly strict in recent years. We expect this trend to continue and anticipate that compliance will continue to require increased capital expenditures and operating costs.</w:t>
      </w:r>
    </w:p>
    <w:p>
      <w:pPr>
        <w:spacing w:after="0" w:line="3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If we violate environmental, health and safety laws or regulations, in addition to being required to correct such violations, we could be held liable in administrative, civil or criminal proceedings for substantial fines and other sanctions that could disrupt or limit our operations. Liabilities associated with the investigation and</w:t>
      </w:r>
    </w:p>
    <w:p>
      <w:pPr>
        <w:spacing w:after="0" w:line="1" w:lineRule="exact"/>
        <w:rPr>
          <w:sz w:val="20"/>
          <w:szCs w:val="20"/>
          <w:color w:val="auto"/>
        </w:rPr>
      </w:pPr>
    </w:p>
    <w:p>
      <w:pPr>
        <w:ind w:left="680" w:right="100"/>
        <w:spacing w:after="0" w:line="257" w:lineRule="auto"/>
        <w:rPr>
          <w:sz w:val="20"/>
          <w:szCs w:val="20"/>
          <w:color w:val="auto"/>
        </w:rPr>
      </w:pPr>
      <w:r>
        <w:rPr>
          <w:rFonts w:ascii="Arial" w:cs="Arial" w:eastAsia="Arial" w:hAnsi="Arial"/>
          <w:sz w:val="13"/>
          <w:szCs w:val="13"/>
          <w:color w:val="auto"/>
        </w:rPr>
        <w:t>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and may in the future, be subject to claims relating to exposure to hazardous materials and the associated liabilities may be material.</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our customers’ products or failure of our products to meet customers’ quality specifications could adversely affect our sales and profitability.</w:t>
      </w:r>
    </w:p>
    <w:p>
      <w:pPr>
        <w:spacing w:after="0" w:line="98"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Our chemicals are used for a broad range of applications by our customers. Changes in our customers’ products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67"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Our products provide important performance attributes to our customers’ products. If our products fail to perform in a manner consistent with quality specifications or have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and could result in a loss of one or more customers.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business, particularly our Water Treatment Group, is subject to seasonality and weather conditions, which could adversely affect our results of operations.</w:t>
      </w:r>
    </w:p>
    <w:p>
      <w:pPr>
        <w:spacing w:after="0" w:line="109"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Water Treatment Group has historically experienced higher sales during April to September, primarily due to a seasonal increase in chemicals used by municipal water treatment facilities. Demand is also affected by weather conditions, as either higher or lower than normal precipitation or temperatures may affect water usage and the consumption of our products. We cannot assure you that seasonality or fluctuating weather conditions will not have a material adverse affect on our results of operations and financial condition.</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Costs related to a multi-employer pension plan, which has liabilities in excess of plan assets, may have a material adverse effect on our financial condition and results of operations.</w:t>
      </w:r>
    </w:p>
    <w:p>
      <w:pPr>
        <w:spacing w:after="0" w:line="121" w:lineRule="exact"/>
        <w:rPr>
          <w:sz w:val="20"/>
          <w:szCs w:val="20"/>
          <w:color w:val="auto"/>
        </w:rPr>
      </w:pPr>
    </w:p>
    <w:p>
      <w:pPr>
        <w:jc w:val="both"/>
        <w:ind w:left="680" w:right="260" w:firstLine="399"/>
        <w:spacing w:after="0" w:line="299" w:lineRule="auto"/>
        <w:rPr>
          <w:sz w:val="20"/>
          <w:szCs w:val="20"/>
          <w:color w:val="auto"/>
        </w:rPr>
      </w:pPr>
      <w:r>
        <w:rPr>
          <w:rFonts w:ascii="Arial" w:cs="Arial" w:eastAsia="Arial" w:hAnsi="Arial"/>
          <w:sz w:val="12"/>
          <w:szCs w:val="12"/>
          <w:color w:val="auto"/>
        </w:rPr>
        <w:t>We participate in the Central States Southeast and Southwest Areas Pension Funds (“CSS” or “the plan”), a multi-employer pension plan, for certain unionized employees. Our contributions to the plan may escalate in future years should we withdraw from the plan or upon the occurrence of factors outside our control, including the bankruptcy or insolvency of other participating employers, actions taken by trustees who manage the plan, government regulations, or a funding deficiency in the plan.</w:t>
      </w:r>
    </w:p>
    <w:p>
      <w:pPr>
        <w:spacing w:after="0" w:line="4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CSS adopted a rehabilitation plan as a result of its actuarial certification for the plan year beginning January 1, 2008 which placed the plan in critical status. The plan’s 2010 Annual Funding Notice stated that as of January 1, 2010 the Central States Pension Fund remained in critical status with a funded percentage of 63.4%. The plan adopted an updated rehabilitation plan effective December 31, 2010 which implements additional measures to improve the plan’s funded level, including establishing an increased minimum retirement age and actuarially adjusting certain pre-age 65 benefits for participants who retire after July 1, 2011. Despite these changes, we can make no assurances of the extent to which the updated rehabilitation plan will improve the funded status of the plan.</w:t>
      </w:r>
    </w:p>
    <w:p>
      <w:pPr>
        <w:spacing w:after="0" w:line="70" w:lineRule="exact"/>
        <w:rPr>
          <w:sz w:val="20"/>
          <w:szCs w:val="20"/>
          <w:color w:val="auto"/>
        </w:rPr>
      </w:pPr>
    </w:p>
    <w:p>
      <w:pPr>
        <w:jc w:val="both"/>
        <w:ind w:left="680" w:right="20" w:firstLine="399"/>
        <w:spacing w:after="0" w:line="299" w:lineRule="auto"/>
        <w:rPr>
          <w:sz w:val="20"/>
          <w:szCs w:val="20"/>
          <w:color w:val="auto"/>
        </w:rPr>
      </w:pPr>
      <w:r>
        <w:rPr>
          <w:rFonts w:ascii="Arial" w:cs="Arial" w:eastAsia="Arial" w:hAnsi="Arial"/>
          <w:sz w:val="12"/>
          <w:szCs w:val="12"/>
          <w:color w:val="auto"/>
        </w:rPr>
        <w:t>While the underfunding of the plan is not our direct obligation or liability, we are responsible for our portion of the underfunded liability in certain circumstances. For instance, if we were to cease making contributions to the plan or if our union employees discontinued participation in the union, we could trigger a substantial withdrawal liability. We are currently unable to reasonably estimate any such potential contingent liability. Any withdrawal liability will be recorded when it is probable that a liability exists and can be reasonably estimated.</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insurance that we maintain may not fully cover all potential exposures.</w:t>
      </w:r>
    </w:p>
    <w:p>
      <w:pPr>
        <w:spacing w:after="0" w:line="9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retain key personnel or attract new skilled personnel, it could have an adverse impact on our business.</w:t>
      </w:r>
    </w:p>
    <w:p>
      <w:pPr>
        <w:spacing w:after="0" w:line="98" w:lineRule="exact"/>
        <w:rPr>
          <w:sz w:val="20"/>
          <w:szCs w:val="20"/>
          <w:color w:val="auto"/>
        </w:rPr>
      </w:pPr>
    </w:p>
    <w:p>
      <w:pPr>
        <w:ind w:left="680" w:right="180" w:firstLine="399"/>
        <w:spacing w:after="0" w:line="374" w:lineRule="auto"/>
        <w:rPr>
          <w:sz w:val="20"/>
          <w:szCs w:val="20"/>
          <w:color w:val="auto"/>
        </w:rPr>
      </w:pPr>
      <w:r>
        <w:rPr>
          <w:rFonts w:ascii="Arial" w:cs="Arial" w:eastAsia="Arial" w:hAnsi="Arial"/>
          <w:sz w:val="11"/>
          <w:szCs w:val="11"/>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may not be able to successfully consummate future acquisitions or integrate acquisitions into our business, which could result in unanticipated expenses and losses.</w:t>
      </w:r>
    </w:p>
    <w:p>
      <w:pPr>
        <w:spacing w:after="0" w:line="109" w:lineRule="exact"/>
        <w:rPr>
          <w:sz w:val="20"/>
          <w:szCs w:val="20"/>
          <w:color w:val="auto"/>
        </w:rPr>
      </w:pPr>
    </w:p>
    <w:p>
      <w:pPr>
        <w:ind w:left="680" w:right="180" w:firstLine="399"/>
        <w:spacing w:after="0" w:line="262" w:lineRule="auto"/>
        <w:rPr>
          <w:sz w:val="20"/>
          <w:szCs w:val="20"/>
          <w:color w:val="auto"/>
        </w:rPr>
      </w:pPr>
      <w:r>
        <w:rPr>
          <w:rFonts w:ascii="Arial" w:cs="Arial" w:eastAsia="Arial" w:hAnsi="Arial"/>
          <w:sz w:val="13"/>
          <w:szCs w:val="13"/>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69" w:lineRule="exact"/>
        <w:rPr>
          <w:sz w:val="20"/>
          <w:szCs w:val="20"/>
          <w:color w:val="auto"/>
        </w:rPr>
      </w:pPr>
    </w:p>
    <w:p>
      <w:pPr>
        <w:jc w:val="both"/>
        <w:ind w:left="680" w:right="20" w:firstLine="399"/>
        <w:spacing w:after="0" w:line="291" w:lineRule="auto"/>
        <w:rPr>
          <w:sz w:val="20"/>
          <w:szCs w:val="20"/>
          <w:color w:val="auto"/>
        </w:rPr>
      </w:pPr>
      <w:r>
        <w:rPr>
          <w:rFonts w:ascii="Arial" w:cs="Arial" w:eastAsia="Arial" w:hAnsi="Arial"/>
          <w:sz w:val="12"/>
          <w:szCs w:val="12"/>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32" w:lineRule="exact"/>
        <w:rPr>
          <w:sz w:val="20"/>
          <w:szCs w:val="20"/>
          <w:color w:val="auto"/>
        </w:rPr>
      </w:pPr>
    </w:p>
    <w:p>
      <w:pPr>
        <w:ind w:left="880"/>
        <w:spacing w:after="0" w:line="279" w:lineRule="auto"/>
        <w:rPr>
          <w:sz w:val="20"/>
          <w:szCs w:val="20"/>
          <w:color w:val="auto"/>
        </w:rPr>
      </w:pPr>
      <w:r>
        <w:rPr>
          <w:rFonts w:ascii="Arial" w:cs="Arial" w:eastAsia="Arial" w:hAnsi="Arial"/>
          <w:sz w:val="13"/>
          <w:szCs w:val="13"/>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58" w:lineRule="exact"/>
        <w:rPr>
          <w:sz w:val="20"/>
          <w:szCs w:val="20"/>
          <w:color w:val="auto"/>
        </w:rPr>
      </w:pPr>
    </w:p>
    <w:p>
      <w:pPr>
        <w:jc w:val="both"/>
        <w:ind w:left="680" w:right="120" w:firstLine="399"/>
        <w:spacing w:after="0" w:line="299" w:lineRule="auto"/>
        <w:rPr>
          <w:sz w:val="20"/>
          <w:szCs w:val="20"/>
          <w:color w:val="auto"/>
        </w:rPr>
      </w:pPr>
      <w:r>
        <w:rPr>
          <w:rFonts w:ascii="Arial" w:cs="Arial" w:eastAsia="Arial" w:hAnsi="Arial"/>
          <w:sz w:val="12"/>
          <w:szCs w:val="12"/>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seven times, including three times since the spring of 2010. No assurance can be given that flooding or other natural disasters will not recur or that there will not be material damage or interruption to our operations in the future from such disasters.</w:t>
      </w:r>
    </w:p>
    <w:p>
      <w:pPr>
        <w:spacing w:after="0" w:line="48"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Chemical-related assets may be at greater risk of future terrorist attacks than other possible targets in the United States. Federal law imposes new site security requirements, specifically on chemical facilities, which require increased capital spending and increase our overhead expenses. New federal regulations have already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680" w:right="960" w:firstLine="399"/>
        <w:spacing w:after="0" w:line="299" w:lineRule="auto"/>
        <w:rPr>
          <w:sz w:val="20"/>
          <w:szCs w:val="20"/>
          <w:color w:val="auto"/>
        </w:rPr>
      </w:pPr>
      <w:r>
        <w:rPr>
          <w:rFonts w:ascii="Arial" w:cs="Arial" w:eastAsia="Arial" w:hAnsi="Arial"/>
          <w:sz w:val="12"/>
          <w:szCs w:val="12"/>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be able to renew our leases of land where four of our operations facilities reside.</w:t>
      </w:r>
    </w:p>
    <w:p>
      <w:pPr>
        <w:spacing w:after="0" w:line="98"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We lease the land where our three main terminals are located and where a significant manufacturing plant is located. We do not have guaranteed lease renewal options and may not be able to renew our leases in the future. Our current lease renewal periods extend out to 2014 (one lease), 2018 (two leases) and 2029 (one lease). The failure to secure extended lease terms on any one of these facilities may have a material adverse impact on our business, as they are where a significant portion of our chemicals are manufactured and where the majority of our bulk chemicals are stored. While we can make no assurances, based on historical experience and anticipated future needs, we believe that we will be able to renew our leases as the renewal periods expire.</w:t>
      </w:r>
    </w:p>
    <w:p>
      <w:pPr>
        <w:spacing w:after="0" w:line="145"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2" w:lineRule="exact"/>
        <w:rPr>
          <w:sz w:val="20"/>
          <w:szCs w:val="20"/>
          <w:color w:val="auto"/>
        </w:rPr>
      </w:pPr>
    </w:p>
    <w:p>
      <w:pPr>
        <w:ind w:left="680" w:right="820" w:firstLine="399"/>
        <w:spacing w:after="0" w:line="299" w:lineRule="auto"/>
        <w:rPr>
          <w:sz w:val="20"/>
          <w:szCs w:val="20"/>
          <w:color w:val="auto"/>
        </w:rPr>
      </w:pPr>
      <w:r>
        <w:rPr>
          <w:rFonts w:ascii="Arial" w:cs="Arial" w:eastAsia="Arial" w:hAnsi="Arial"/>
          <w:sz w:val="12"/>
          <w:szCs w:val="12"/>
          <w:color w:val="auto"/>
        </w:rPr>
        <w:t>We own our principal location, which consists of approximately 11 acres of land in Minneapolis, Minnesota, with six buildings containing a total of 177,000 square feet of office and warehouse space primarily used by our Industrial Group. Our principal office is located in one of these buildings, at 3100 East Hennepin Avenue. We have installed sprinkler systems in substantially all of our warehouse facilities for fire protection. We carry customary levels of insurance covering the replacement of damaged property.</w:t>
      </w:r>
    </w:p>
    <w:p>
      <w:pPr>
        <w:spacing w:after="0" w:line="48" w:lineRule="exact"/>
        <w:rPr>
          <w:sz w:val="20"/>
          <w:szCs w:val="20"/>
          <w:color w:val="auto"/>
        </w:rPr>
      </w:pPr>
    </w:p>
    <w:p>
      <w:pPr>
        <w:ind w:left="680" w:right="1160" w:firstLine="399"/>
        <w:spacing w:after="0" w:line="279" w:lineRule="auto"/>
        <w:rPr>
          <w:sz w:val="20"/>
          <w:szCs w:val="20"/>
          <w:color w:val="auto"/>
        </w:rPr>
      </w:pPr>
      <w:r>
        <w:rPr>
          <w:rFonts w:ascii="Arial" w:cs="Arial" w:eastAsia="Arial" w:hAnsi="Arial"/>
          <w:sz w:val="13"/>
          <w:szCs w:val="13"/>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gridSpan w:val="2"/>
            <w:vMerge w:val="restart"/>
          </w:tcPr>
          <w:p>
            <w:pPr>
              <w:ind w:left="680"/>
              <w:spacing w:after="0"/>
              <w:rPr>
                <w:sz w:val="20"/>
                <w:szCs w:val="20"/>
                <w:color w:val="auto"/>
              </w:rPr>
            </w:pPr>
            <w:r>
              <w:rPr>
                <w:rFonts w:ascii="Arial" w:cs="Arial" w:eastAsia="Arial" w:hAnsi="Arial"/>
                <w:sz w:val="11"/>
                <w:szCs w:val="11"/>
                <w:b w:val="1"/>
                <w:bCs w:val="1"/>
                <w:u w:val="single" w:color="auto"/>
                <w:color w:val="auto"/>
              </w:rPr>
              <w:t>G</w:t>
            </w:r>
            <w:r>
              <w:rPr>
                <w:rFonts w:ascii="Arial" w:cs="Arial" w:eastAsia="Arial" w:hAnsi="Arial"/>
                <w:sz w:val="11"/>
                <w:szCs w:val="11"/>
                <w:b w:val="1"/>
                <w:bCs w:val="1"/>
                <w:color w:val="auto"/>
              </w:rPr>
              <w:t>roup</w:t>
            </w:r>
          </w:p>
        </w:tc>
        <w:tc>
          <w:tcPr>
            <w:tcW w:w="5540" w:type="dxa"/>
            <w:vAlign w:val="bottom"/>
            <w:vMerge w:val="restart"/>
          </w:tcPr>
          <w:p>
            <w:pPr>
              <w:jc w:val="right"/>
              <w:ind w:right="835"/>
              <w:spacing w:after="0"/>
              <w:rPr>
                <w:sz w:val="20"/>
                <w:szCs w:val="20"/>
                <w:color w:val="auto"/>
              </w:rPr>
            </w:pPr>
            <w:r>
              <w:rPr>
                <w:rFonts w:ascii="Arial" w:cs="Arial" w:eastAsia="Arial" w:hAnsi="Arial"/>
                <w:sz w:val="11"/>
                <w:szCs w:val="11"/>
                <w:b w:val="1"/>
                <w:bCs w:val="1"/>
                <w:color w:val="auto"/>
              </w:rPr>
              <w:t>Location</w:t>
            </w:r>
          </w:p>
        </w:tc>
        <w:tc>
          <w:tcPr>
            <w:tcW w:w="1140" w:type="dxa"/>
            <w:vAlign w:val="bottom"/>
          </w:tcPr>
          <w:p>
            <w:pPr>
              <w:jc w:val="right"/>
              <w:ind w:right="315"/>
              <w:spacing w:after="0"/>
              <w:rPr>
                <w:sz w:val="20"/>
                <w:szCs w:val="20"/>
                <w:color w:val="auto"/>
              </w:rPr>
            </w:pPr>
            <w:r>
              <w:rPr>
                <w:rFonts w:ascii="Arial" w:cs="Arial" w:eastAsia="Arial" w:hAnsi="Arial"/>
                <w:sz w:val="11"/>
                <w:szCs w:val="11"/>
                <w:b w:val="1"/>
                <w:bCs w:val="1"/>
                <w:color w:val="auto"/>
              </w:rPr>
              <w:t>Approx.</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80" w:type="dxa"/>
            <w:vAlign w:val="bottom"/>
            <w:gridSpan w:val="2"/>
            <w:vMerge w:val="continue"/>
          </w:tcPr>
          <w:p>
            <w:pPr>
              <w:spacing w:after="0"/>
              <w:rPr>
                <w:sz w:val="10"/>
                <w:szCs w:val="10"/>
                <w:color w:val="auto"/>
              </w:rPr>
            </w:pPr>
          </w:p>
        </w:tc>
        <w:tc>
          <w:tcPr>
            <w:tcW w:w="5540" w:type="dxa"/>
            <w:vAlign w:val="bottom"/>
            <w:vMerge w:val="continue"/>
          </w:tcPr>
          <w:p>
            <w:pPr>
              <w:spacing w:after="0"/>
              <w:rPr>
                <w:sz w:val="10"/>
                <w:szCs w:val="10"/>
                <w:color w:val="auto"/>
              </w:rPr>
            </w:pP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Square Feet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Industrial</w:t>
            </w:r>
          </w:p>
        </w:tc>
        <w:tc>
          <w:tcPr>
            <w:tcW w:w="5540" w:type="dxa"/>
            <w:vAlign w:val="bottom"/>
            <w:shd w:val="clear" w:color="auto" w:fill="CCEEFF"/>
          </w:tcPr>
          <w:p>
            <w:pPr>
              <w:jc w:val="center"/>
              <w:ind w:left="2915"/>
              <w:spacing w:after="0"/>
              <w:rPr>
                <w:sz w:val="20"/>
                <w:szCs w:val="20"/>
                <w:color w:val="auto"/>
              </w:rPr>
            </w:pPr>
            <w:r>
              <w:rPr>
                <w:rFonts w:ascii="Arial" w:cs="Arial" w:eastAsia="Arial" w:hAnsi="Arial"/>
                <w:sz w:val="13"/>
                <w:szCs w:val="13"/>
                <w:color w:val="auto"/>
                <w:w w:val="94"/>
              </w:rPr>
              <w:t>St. Paul, MN(1)</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32,000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7"/>
              </w:rPr>
              <w:t>Minneapolis, MN(2)</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20,000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5"/>
              </w:rPr>
              <w:t>Centralia, IL(3)</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77,000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1"/>
              </w:rPr>
              <w:t>Camanche, IA(4)</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95,000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915"/>
              <w:spacing w:after="0"/>
              <w:rPr>
                <w:sz w:val="20"/>
                <w:szCs w:val="20"/>
                <w:color w:val="auto"/>
              </w:rPr>
            </w:pPr>
            <w:r>
              <w:rPr>
                <w:rFonts w:ascii="Arial" w:cs="Arial" w:eastAsia="Arial" w:hAnsi="Arial"/>
                <w:sz w:val="13"/>
                <w:szCs w:val="13"/>
                <w:color w:val="auto"/>
                <w:w w:val="96"/>
              </w:rPr>
              <w:t>St Louis, MO(4)</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6,000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915"/>
              <w:spacing w:after="0"/>
              <w:rPr>
                <w:sz w:val="20"/>
                <w:szCs w:val="20"/>
                <w:color w:val="auto"/>
              </w:rPr>
            </w:pPr>
            <w:r>
              <w:rPr>
                <w:rFonts w:ascii="Arial" w:cs="Arial" w:eastAsia="Arial" w:hAnsi="Arial"/>
                <w:sz w:val="13"/>
                <w:szCs w:val="13"/>
                <w:color w:val="auto"/>
                <w:w w:val="98"/>
              </w:rPr>
              <w:t>Dupo, IL(4)</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64,000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Water Treatment</w:t>
            </w:r>
          </w:p>
        </w:tc>
        <w:tc>
          <w:tcPr>
            <w:tcW w:w="5540" w:type="dxa"/>
            <w:vAlign w:val="bottom"/>
            <w:shd w:val="clear" w:color="auto" w:fill="CCEEFF"/>
          </w:tcPr>
          <w:p>
            <w:pPr>
              <w:jc w:val="center"/>
              <w:ind w:left="2915"/>
              <w:spacing w:after="0"/>
              <w:rPr>
                <w:sz w:val="20"/>
                <w:szCs w:val="20"/>
                <w:color w:val="auto"/>
              </w:rPr>
            </w:pPr>
            <w:r>
              <w:rPr>
                <w:rFonts w:ascii="Arial" w:cs="Arial" w:eastAsia="Arial" w:hAnsi="Arial"/>
                <w:sz w:val="13"/>
                <w:szCs w:val="13"/>
                <w:color w:val="auto"/>
                <w:w w:val="93"/>
              </w:rPr>
              <w:t>Fargo, ND</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20,000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4"/>
              </w:rPr>
              <w:t>Fond du Lac, WI</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24,000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1"/>
              </w:rPr>
              <w:t>Washburn, ND</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14,000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915"/>
              <w:spacing w:after="0"/>
              <w:rPr>
                <w:sz w:val="20"/>
                <w:szCs w:val="20"/>
                <w:color w:val="auto"/>
              </w:rPr>
            </w:pPr>
            <w:r>
              <w:rPr>
                <w:rFonts w:ascii="Arial" w:cs="Arial" w:eastAsia="Arial" w:hAnsi="Arial"/>
                <w:sz w:val="13"/>
                <w:szCs w:val="13"/>
                <w:color w:val="auto"/>
              </w:rPr>
              <w:t>Billings, MT</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2"/>
              </w:rPr>
              <w:t>Sioux Falls, SD</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27,000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915"/>
              <w:spacing w:after="0"/>
              <w:rPr>
                <w:sz w:val="20"/>
                <w:szCs w:val="20"/>
                <w:color w:val="auto"/>
              </w:rPr>
            </w:pPr>
            <w:r>
              <w:rPr>
                <w:rFonts w:ascii="Arial" w:cs="Arial" w:eastAsia="Arial" w:hAnsi="Arial"/>
                <w:sz w:val="13"/>
                <w:szCs w:val="13"/>
                <w:color w:val="auto"/>
                <w:w w:val="93"/>
              </w:rPr>
              <w:t>Rapid City, SD</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4"/>
              </w:rPr>
              <w:t>Peotone, IL(5)</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18,000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915"/>
              <w:spacing w:after="0"/>
              <w:rPr>
                <w:sz w:val="20"/>
                <w:szCs w:val="20"/>
                <w:color w:val="auto"/>
              </w:rPr>
            </w:pPr>
            <w:r>
              <w:rPr>
                <w:rFonts w:ascii="Arial" w:cs="Arial" w:eastAsia="Arial" w:hAnsi="Arial"/>
                <w:sz w:val="13"/>
                <w:szCs w:val="13"/>
                <w:color w:val="auto"/>
                <w:w w:val="94"/>
              </w:rPr>
              <w:t>Superior, WI</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17,000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3"/>
              </w:rPr>
              <w:t>Slater, IA</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12,000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9"/>
              </w:rPr>
              <w:t>Lincoln, NE(5)</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16,000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8"/>
              </w:rPr>
              <w:t>Eldridge, IA</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6,000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4"/>
              </w:rPr>
              <w:t>Columbia, MO(5)</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14,000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895"/>
              <w:spacing w:after="0"/>
              <w:rPr>
                <w:sz w:val="20"/>
                <w:szCs w:val="20"/>
                <w:color w:val="auto"/>
              </w:rPr>
            </w:pPr>
            <w:r>
              <w:rPr>
                <w:rFonts w:ascii="Arial" w:cs="Arial" w:eastAsia="Arial" w:hAnsi="Arial"/>
                <w:sz w:val="13"/>
                <w:szCs w:val="13"/>
                <w:color w:val="auto"/>
                <w:w w:val="91"/>
              </w:rPr>
              <w:t>Garnett, KS</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18,000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6"/>
              </w:rPr>
              <w:t>Ft. Smith, AR(5)</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17,000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5540" w:type="dxa"/>
            <w:vAlign w:val="bottom"/>
            <w:shd w:val="clear" w:color="auto" w:fill="CCEEFF"/>
          </w:tcPr>
          <w:p>
            <w:pPr>
              <w:jc w:val="center"/>
              <w:ind w:left="2915"/>
              <w:spacing w:after="0"/>
              <w:rPr>
                <w:sz w:val="20"/>
                <w:szCs w:val="20"/>
                <w:color w:val="auto"/>
              </w:rPr>
            </w:pPr>
            <w:r>
              <w:rPr>
                <w:rFonts w:ascii="Arial" w:cs="Arial" w:eastAsia="Arial" w:hAnsi="Arial"/>
                <w:sz w:val="13"/>
                <w:szCs w:val="13"/>
                <w:color w:val="auto"/>
                <w:w w:val="97"/>
              </w:rPr>
              <w:t>Muncie, IN(6)</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12,000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5"/>
              </w:rPr>
              <w:t>Centralia, IL(6)</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39,000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Industrial and Water Treatment</w:t>
            </w:r>
          </w:p>
        </w:tc>
        <w:tc>
          <w:tcPr>
            <w:tcW w:w="5540" w:type="dxa"/>
            <w:vAlign w:val="bottom"/>
            <w:shd w:val="clear" w:color="auto" w:fill="CCEEFF"/>
          </w:tcPr>
          <w:p>
            <w:pPr>
              <w:jc w:val="center"/>
              <w:ind w:left="2915"/>
              <w:spacing w:after="0"/>
              <w:rPr>
                <w:sz w:val="20"/>
                <w:szCs w:val="20"/>
                <w:color w:val="auto"/>
              </w:rPr>
            </w:pPr>
            <w:r>
              <w:rPr>
                <w:rFonts w:ascii="Arial" w:cs="Arial" w:eastAsia="Arial" w:hAnsi="Arial"/>
                <w:sz w:val="13"/>
                <w:szCs w:val="13"/>
                <w:color w:val="auto"/>
                <w:w w:val="94"/>
              </w:rPr>
              <w:t>St. Paul, MN(7)</w:t>
            </w:r>
          </w:p>
        </w:tc>
        <w:tc>
          <w:tcPr>
            <w:tcW w:w="1140" w:type="dxa"/>
            <w:vAlign w:val="bottom"/>
            <w:shd w:val="clear" w:color="auto" w:fill="CCEEFF"/>
          </w:tcPr>
          <w:p>
            <w:pPr>
              <w:jc w:val="right"/>
              <w:ind w:right="335"/>
              <w:spacing w:after="0"/>
              <w:rPr>
                <w:sz w:val="20"/>
                <w:szCs w:val="20"/>
                <w:color w:val="auto"/>
              </w:rPr>
            </w:pPr>
            <w:r>
              <w:rPr>
                <w:rFonts w:ascii="Arial" w:cs="Arial" w:eastAsia="Arial" w:hAnsi="Arial"/>
                <w:sz w:val="13"/>
                <w:szCs w:val="13"/>
                <w:color w:val="auto"/>
              </w:rPr>
              <w:t>59,000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540" w:type="dxa"/>
            <w:vAlign w:val="bottom"/>
          </w:tcPr>
          <w:p>
            <w:pPr>
              <w:jc w:val="center"/>
              <w:ind w:left="2895"/>
              <w:spacing w:after="0"/>
              <w:rPr>
                <w:sz w:val="20"/>
                <w:szCs w:val="20"/>
                <w:color w:val="auto"/>
              </w:rPr>
            </w:pPr>
            <w:r>
              <w:rPr>
                <w:rFonts w:ascii="Arial" w:cs="Arial" w:eastAsia="Arial" w:hAnsi="Arial"/>
                <w:sz w:val="13"/>
                <w:szCs w:val="13"/>
                <w:color w:val="auto"/>
                <w:w w:val="96"/>
              </w:rPr>
              <w:t>Memphis, TN(4)</w:t>
            </w:r>
          </w:p>
        </w:tc>
        <w:tc>
          <w:tcPr>
            <w:tcW w:w="1140" w:type="dxa"/>
            <w:vAlign w:val="bottom"/>
          </w:tcPr>
          <w:p>
            <w:pPr>
              <w:jc w:val="right"/>
              <w:ind w:right="335"/>
              <w:spacing w:after="0"/>
              <w:rPr>
                <w:sz w:val="20"/>
                <w:szCs w:val="20"/>
                <w:color w:val="auto"/>
              </w:rPr>
            </w:pPr>
            <w:r>
              <w:rPr>
                <w:rFonts w:ascii="Arial" w:cs="Arial" w:eastAsia="Arial" w:hAnsi="Arial"/>
                <w:sz w:val="13"/>
                <w:szCs w:val="13"/>
                <w:color w:val="auto"/>
              </w:rPr>
              <w:t>41,000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540" w:type="dxa"/>
            <w:vAlign w:val="bottom"/>
          </w:tcPr>
          <w:p>
            <w:pPr>
              <w:jc w:val="right"/>
              <w:ind w:right="3715"/>
              <w:spacing w:after="0"/>
              <w:rPr>
                <w:sz w:val="20"/>
                <w:szCs w:val="20"/>
                <w:color w:val="auto"/>
              </w:rPr>
            </w:pPr>
            <w:r>
              <w:rPr>
                <w:rFonts w:ascii="Arial" w:cs="Arial" w:eastAsia="Arial" w:hAnsi="Arial"/>
                <w:sz w:val="13"/>
                <w:szCs w:val="13"/>
                <w:color w:val="auto"/>
              </w:rPr>
              <w:t>10</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55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-2846705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157480</wp:posOffset>
            </wp:positionV>
            <wp:extent cx="82232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279" w:lineRule="exact"/>
        <w:rPr>
          <w:sz w:val="20"/>
          <w:szCs w:val="20"/>
          <w:color w:val="auto"/>
        </w:rPr>
      </w:pPr>
    </w:p>
    <w:p>
      <w:pPr>
        <w:ind w:left="1000" w:right="100" w:hanging="259"/>
        <w:spacing w:after="0" w:line="262" w:lineRule="auto"/>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The applicable leases run until December 2013, at which time we have an option to renew the leases for an additional five-year period on the same terms and conditions subject to renegotiation of rent.</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facility is leased from a third party to serve our bulk pharmaceutical customers.</w:t>
      </w:r>
    </w:p>
    <w:p>
      <w:pPr>
        <w:spacing w:after="0" w:line="48" w:lineRule="exact"/>
        <w:rPr>
          <w:rFonts w:ascii="Arial" w:cs="Arial" w:eastAsia="Arial" w:hAnsi="Arial"/>
          <w:sz w:val="13"/>
          <w:szCs w:val="13"/>
          <w:color w:val="auto"/>
        </w:rPr>
      </w:pPr>
    </w:p>
    <w:p>
      <w:pPr>
        <w:ind w:left="1000" w:right="80" w:hanging="259"/>
        <w:spacing w:after="0" w:line="279" w:lineRule="auto"/>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facility includes 10 acres of land located in Centralia, Illinois owned by the company. The facility became operational in July 2009 and primarily serves our food-grade products business. Prior to fiscal 2011 this facility was shared with the Water Treatment Group.</w:t>
      </w:r>
    </w:p>
    <w:p>
      <w:pPr>
        <w:spacing w:after="0" w:line="8" w:lineRule="exact"/>
        <w:rPr>
          <w:rFonts w:ascii="Arial" w:cs="Arial" w:eastAsia="Arial" w:hAnsi="Arial"/>
          <w:sz w:val="13"/>
          <w:szCs w:val="13"/>
          <w:color w:val="auto"/>
        </w:rPr>
      </w:pPr>
    </w:p>
    <w:p>
      <w:pPr>
        <w:ind w:left="1000" w:right="180" w:hanging="259"/>
        <w:spacing w:after="0" w:line="266" w:lineRule="auto"/>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acquisition of Vertex in fiscal 2011 included an office building located in St Louis, Missouri and manufacturing and warehouse facilities located in Memphis, Tennessee; Camanche, Iowa; and Dupo, Illinois. All of the facilites and land are owned by the company with the exception of the land in Dupo, Illinois, which is leased from a third party. The lease runs through May, 2014. The facility in Memphis is shared between the Industrial and Water Treatment Groups.</w:t>
      </w:r>
    </w:p>
    <w:p>
      <w:pPr>
        <w:spacing w:after="0" w:line="17" w:lineRule="exact"/>
        <w:rPr>
          <w:rFonts w:ascii="Arial" w:cs="Arial" w:eastAsia="Arial" w:hAnsi="Arial"/>
          <w:sz w:val="13"/>
          <w:szCs w:val="13"/>
          <w:color w:val="auto"/>
        </w:rPr>
      </w:pPr>
    </w:p>
    <w:p>
      <w:pPr>
        <w:ind w:left="1000" w:hanging="259"/>
        <w:spacing w:after="0"/>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facility is leased from a third party.</w:t>
      </w:r>
    </w:p>
    <w:p>
      <w:pPr>
        <w:spacing w:after="0" w:line="48" w:lineRule="exact"/>
        <w:rPr>
          <w:rFonts w:ascii="Arial" w:cs="Arial" w:eastAsia="Arial" w:hAnsi="Arial"/>
          <w:sz w:val="13"/>
          <w:szCs w:val="13"/>
          <w:color w:val="auto"/>
        </w:rPr>
      </w:pPr>
    </w:p>
    <w:p>
      <w:pPr>
        <w:ind w:left="1000" w:hanging="259"/>
        <w:spacing w:after="0"/>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facility was purchased in fiscal 2011.</w:t>
      </w:r>
    </w:p>
    <w:p>
      <w:pPr>
        <w:spacing w:after="0" w:line="48" w:lineRule="exact"/>
        <w:rPr>
          <w:rFonts w:ascii="Arial" w:cs="Arial" w:eastAsia="Arial" w:hAnsi="Arial"/>
          <w:sz w:val="13"/>
          <w:szCs w:val="13"/>
          <w:color w:val="auto"/>
        </w:rPr>
      </w:pPr>
    </w:p>
    <w:p>
      <w:pPr>
        <w:ind w:left="1000" w:right="200" w:hanging="259"/>
        <w:spacing w:after="0" w:line="279" w:lineRule="auto"/>
        <w:tabs>
          <w:tab w:leader="none" w:pos="100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Red Rock facility, which consists of a 59,000 square-foot building located on approximately 10 acres of land, has outside storage capacity for liquid bulk chemicals, as well as numerous smaller tanks for storing and mixing chemicals.</w:t>
      </w:r>
    </w:p>
    <w:p>
      <w:pPr>
        <w:spacing w:after="0" w:line="13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November 3, 2009, ICL Performance Products, LP (“ICL”), a chemical supplier to us, filed a lawsuit in the United States District Court for the 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this action is scheduled for jury trial in late October 2011. We are not able to predict the ultimate outcome of this litigation, but legal proceedings such as this can result in substantial costs and divert our management’s attention and resources, which may have a material adverse effect on our business and results of operations, including cash flows.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 party from time to time in other legal proceedings arising in the ordinary course of our business. To date, none of the litigation has had a material effect on us.</w:t>
      </w:r>
    </w:p>
    <w:p>
      <w:pPr>
        <w:spacing w:after="0" w:line="184"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[REMOVED AND RESERVED]</w:t>
      </w: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FOR THE COMPANY’S COMMON EQUITY, RELATED SHAREHOLDER MATTERS, AND ISSUER PURCHASES OF EQUITY SECURITIES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8320" w:type="dxa"/>
            <w:vAlign w:val="bottom"/>
            <w:gridSpan w:val="4"/>
          </w:tcPr>
          <w:p>
            <w:pPr>
              <w:spacing w:after="0"/>
              <w:rPr>
                <w:sz w:val="20"/>
                <w:szCs w:val="20"/>
                <w:color w:val="auto"/>
              </w:rPr>
            </w:pPr>
            <w:r>
              <w:rPr>
                <w:rFonts w:ascii="Arial" w:cs="Arial" w:eastAsia="Arial" w:hAnsi="Arial"/>
                <w:sz w:val="11"/>
                <w:szCs w:val="11"/>
                <w:b w:val="1"/>
                <w:bCs w:val="1"/>
                <w:color w:val="auto"/>
              </w:rPr>
              <w:t>Quarterly Stock Data</w:t>
            </w:r>
          </w:p>
        </w:tc>
        <w:tc>
          <w:tcPr>
            <w:tcW w:w="680" w:type="dxa"/>
            <w:vAlign w:val="bottom"/>
          </w:tcPr>
          <w:p>
            <w:pPr>
              <w:jc w:val="right"/>
              <w:ind w:right="156"/>
              <w:spacing w:after="0"/>
              <w:rPr>
                <w:sz w:val="20"/>
                <w:szCs w:val="20"/>
                <w:color w:val="auto"/>
              </w:rPr>
            </w:pPr>
            <w:r>
              <w:rPr>
                <w:rFonts w:ascii="Arial" w:cs="Arial" w:eastAsia="Arial" w:hAnsi="Arial"/>
                <w:sz w:val="11"/>
                <w:szCs w:val="11"/>
                <w:b w:val="1"/>
                <w:bCs w:val="1"/>
                <w:color w:val="auto"/>
              </w:rPr>
              <w:t>High</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187"/>
              <w:spacing w:after="0"/>
              <w:rPr>
                <w:sz w:val="20"/>
                <w:szCs w:val="20"/>
                <w:color w:val="auto"/>
              </w:rPr>
            </w:pPr>
            <w:r>
              <w:rPr>
                <w:rFonts w:ascii="Arial" w:cs="Arial" w:eastAsia="Arial" w:hAnsi="Arial"/>
                <w:sz w:val="11"/>
                <w:szCs w:val="11"/>
                <w:b w:val="1"/>
                <w:bCs w:val="1"/>
                <w:color w:val="auto"/>
              </w:rPr>
              <w:t>Low</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2011</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4</w:t>
            </w:r>
            <w:r>
              <w:rPr>
                <w:rFonts w:ascii="Arial" w:cs="Arial" w:eastAsia="Arial" w:hAnsi="Arial"/>
                <w:sz w:val="11"/>
                <w:szCs w:val="11"/>
                <w:color w:val="auto"/>
              </w:rPr>
              <w:t>th</w:t>
            </w:r>
            <w:r>
              <w:rPr>
                <w:rFonts w:ascii="Arial" w:cs="Arial" w:eastAsia="Arial" w:hAnsi="Arial"/>
                <w:sz w:val="13"/>
                <w:szCs w:val="13"/>
                <w:color w:val="auto"/>
              </w:rPr>
              <w:t xml:space="preserve"> Quarter</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$46.86</w:t>
            </w: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$36.00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w:t>
            </w:r>
            <w:r>
              <w:rPr>
                <w:rFonts w:ascii="Arial" w:cs="Arial" w:eastAsia="Arial" w:hAnsi="Arial"/>
                <w:sz w:val="11"/>
                <w:szCs w:val="11"/>
                <w:color w:val="auto"/>
              </w:rPr>
              <w:t>rd</w:t>
            </w:r>
            <w:r>
              <w:rPr>
                <w:rFonts w:ascii="Arial" w:cs="Arial" w:eastAsia="Arial" w:hAnsi="Arial"/>
                <w:sz w:val="13"/>
                <w:szCs w:val="13"/>
                <w:color w:val="auto"/>
              </w:rPr>
              <w:t xml:space="preserve"> Quarter</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50.18</w:t>
            </w:r>
          </w:p>
        </w:tc>
        <w:tc>
          <w:tcPr>
            <w:tcW w:w="980" w:type="dxa"/>
            <w:vAlign w:val="bottom"/>
            <w:gridSpan w:val="4"/>
            <w:shd w:val="clear" w:color="auto" w:fill="CCEEFF"/>
          </w:tcPr>
          <w:p>
            <w:pPr>
              <w:jc w:val="right"/>
              <w:ind w:right="147"/>
              <w:spacing w:after="0"/>
              <w:rPr>
                <w:sz w:val="20"/>
                <w:szCs w:val="20"/>
                <w:color w:val="auto"/>
              </w:rPr>
            </w:pPr>
            <w:r>
              <w:rPr>
                <w:rFonts w:ascii="Arial" w:cs="Arial" w:eastAsia="Arial" w:hAnsi="Arial"/>
                <w:sz w:val="13"/>
                <w:szCs w:val="13"/>
                <w:color w:val="auto"/>
              </w:rPr>
              <w:t>34.03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2</w:t>
            </w:r>
            <w:r>
              <w:rPr>
                <w:rFonts w:ascii="Arial" w:cs="Arial" w:eastAsia="Arial" w:hAnsi="Arial"/>
                <w:sz w:val="11"/>
                <w:szCs w:val="11"/>
                <w:color w:val="auto"/>
              </w:rPr>
              <w:t>nd</w:t>
            </w:r>
            <w:r>
              <w:rPr>
                <w:rFonts w:ascii="Arial" w:cs="Arial" w:eastAsia="Arial" w:hAnsi="Arial"/>
                <w:sz w:val="13"/>
                <w:szCs w:val="13"/>
                <w:color w:val="auto"/>
              </w:rPr>
              <w:t xml:space="preserve"> Quarter</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37.45</w:t>
            </w: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24.21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w:t>
            </w:r>
            <w:r>
              <w:rPr>
                <w:rFonts w:ascii="Arial" w:cs="Arial" w:eastAsia="Arial" w:hAnsi="Arial"/>
                <w:sz w:val="11"/>
                <w:szCs w:val="11"/>
                <w:color w:val="auto"/>
              </w:rPr>
              <w:t>st</w:t>
            </w:r>
            <w:r>
              <w:rPr>
                <w:rFonts w:ascii="Arial" w:cs="Arial" w:eastAsia="Arial" w:hAnsi="Arial"/>
                <w:sz w:val="13"/>
                <w:szCs w:val="13"/>
                <w:color w:val="auto"/>
              </w:rPr>
              <w:t xml:space="preserve"> Quarter</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29.50</w:t>
            </w:r>
          </w:p>
        </w:tc>
        <w:tc>
          <w:tcPr>
            <w:tcW w:w="980" w:type="dxa"/>
            <w:vAlign w:val="bottom"/>
            <w:gridSpan w:val="4"/>
            <w:shd w:val="clear" w:color="auto" w:fill="CCEEFF"/>
          </w:tcPr>
          <w:p>
            <w:pPr>
              <w:jc w:val="right"/>
              <w:ind w:right="147"/>
              <w:spacing w:after="0"/>
              <w:rPr>
                <w:sz w:val="20"/>
                <w:szCs w:val="20"/>
                <w:color w:val="auto"/>
              </w:rPr>
            </w:pPr>
            <w:r>
              <w:rPr>
                <w:rFonts w:ascii="Arial" w:cs="Arial" w:eastAsia="Arial" w:hAnsi="Arial"/>
                <w:sz w:val="13"/>
                <w:szCs w:val="13"/>
                <w:color w:val="auto"/>
              </w:rPr>
              <w:t>23.14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300" w:type="dxa"/>
            <w:vAlign w:val="bottom"/>
            <w:gridSpan w:val="3"/>
          </w:tcPr>
          <w:p>
            <w:pPr>
              <w:spacing w:after="0"/>
              <w:rPr>
                <w:sz w:val="20"/>
                <w:szCs w:val="20"/>
                <w:color w:val="auto"/>
              </w:rPr>
            </w:pPr>
            <w:r>
              <w:rPr>
                <w:rFonts w:ascii="Arial" w:cs="Arial" w:eastAsia="Arial" w:hAnsi="Arial"/>
                <w:sz w:val="13"/>
                <w:szCs w:val="13"/>
                <w:color w:val="auto"/>
              </w:rPr>
              <w:t>Fiscal 2010</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4</w:t>
            </w:r>
            <w:r>
              <w:rPr>
                <w:rFonts w:ascii="Arial" w:cs="Arial" w:eastAsia="Arial" w:hAnsi="Arial"/>
                <w:sz w:val="11"/>
                <w:szCs w:val="11"/>
                <w:color w:val="auto"/>
              </w:rPr>
              <w:t>th</w:t>
            </w:r>
            <w:r>
              <w:rPr>
                <w:rFonts w:ascii="Arial" w:cs="Arial" w:eastAsia="Arial" w:hAnsi="Arial"/>
                <w:sz w:val="13"/>
                <w:szCs w:val="13"/>
                <w:color w:val="auto"/>
              </w:rPr>
              <w:t xml:space="preserve"> Quarter</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$23.96</w:t>
            </w:r>
          </w:p>
        </w:tc>
        <w:tc>
          <w:tcPr>
            <w:tcW w:w="980" w:type="dxa"/>
            <w:vAlign w:val="bottom"/>
            <w:gridSpan w:val="4"/>
            <w:shd w:val="clear" w:color="auto" w:fill="CCEEFF"/>
          </w:tcPr>
          <w:p>
            <w:pPr>
              <w:jc w:val="right"/>
              <w:ind w:right="147"/>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3</w:t>
            </w:r>
            <w:r>
              <w:rPr>
                <w:rFonts w:ascii="Arial" w:cs="Arial" w:eastAsia="Arial" w:hAnsi="Arial"/>
                <w:sz w:val="11"/>
                <w:szCs w:val="11"/>
                <w:color w:val="auto"/>
              </w:rPr>
              <w:t>rd</w:t>
            </w:r>
            <w:r>
              <w:rPr>
                <w:rFonts w:ascii="Arial" w:cs="Arial" w:eastAsia="Arial" w:hAnsi="Arial"/>
                <w:sz w:val="13"/>
                <w:szCs w:val="13"/>
                <w:color w:val="auto"/>
              </w:rPr>
              <w:t xml:space="preserve"> Quarter</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24.43</w:t>
            </w: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w:t>
            </w:r>
            <w:r>
              <w:rPr>
                <w:rFonts w:ascii="Arial" w:cs="Arial" w:eastAsia="Arial" w:hAnsi="Arial"/>
                <w:sz w:val="11"/>
                <w:szCs w:val="11"/>
                <w:color w:val="auto"/>
              </w:rPr>
              <w:t>nd</w:t>
            </w:r>
            <w:r>
              <w:rPr>
                <w:rFonts w:ascii="Arial" w:cs="Arial" w:eastAsia="Arial" w:hAnsi="Arial"/>
                <w:sz w:val="13"/>
                <w:szCs w:val="13"/>
                <w:color w:val="auto"/>
              </w:rPr>
              <w:t xml:space="preserve"> Quarter</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26.49</w:t>
            </w:r>
          </w:p>
        </w:tc>
        <w:tc>
          <w:tcPr>
            <w:tcW w:w="980" w:type="dxa"/>
            <w:vAlign w:val="bottom"/>
            <w:gridSpan w:val="4"/>
            <w:shd w:val="clear" w:color="auto" w:fill="CCEEFF"/>
          </w:tcPr>
          <w:p>
            <w:pPr>
              <w:jc w:val="right"/>
              <w:ind w:right="147"/>
              <w:spacing w:after="0"/>
              <w:rPr>
                <w:sz w:val="20"/>
                <w:szCs w:val="20"/>
                <w:color w:val="auto"/>
              </w:rPr>
            </w:pPr>
            <w:r>
              <w:rPr>
                <w:rFonts w:ascii="Arial" w:cs="Arial" w:eastAsia="Arial" w:hAnsi="Arial"/>
                <w:sz w:val="13"/>
                <w:szCs w:val="13"/>
                <w:color w:val="auto"/>
              </w:rPr>
              <w:t>18.19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1</w:t>
            </w:r>
            <w:r>
              <w:rPr>
                <w:rFonts w:ascii="Arial" w:cs="Arial" w:eastAsia="Arial" w:hAnsi="Arial"/>
                <w:sz w:val="11"/>
                <w:szCs w:val="11"/>
                <w:color w:val="auto"/>
              </w:rPr>
              <w:t>st</w:t>
            </w:r>
            <w:r>
              <w:rPr>
                <w:rFonts w:ascii="Arial" w:cs="Arial" w:eastAsia="Arial" w:hAnsi="Arial"/>
                <w:sz w:val="13"/>
                <w:szCs w:val="13"/>
                <w:color w:val="auto"/>
              </w:rPr>
              <w:t xml:space="preserve"> Quarter</w:t>
            </w:r>
          </w:p>
        </w:tc>
        <w:tc>
          <w:tcPr>
            <w:tcW w:w="680" w:type="dxa"/>
            <w:vAlign w:val="bottom"/>
          </w:tcPr>
          <w:p>
            <w:pPr>
              <w:jc w:val="right"/>
              <w:ind w:right="136"/>
              <w:spacing w:after="0"/>
              <w:rPr>
                <w:sz w:val="20"/>
                <w:szCs w:val="20"/>
                <w:color w:val="auto"/>
              </w:rPr>
            </w:pPr>
            <w:r>
              <w:rPr>
                <w:rFonts w:ascii="Arial" w:cs="Arial" w:eastAsia="Arial" w:hAnsi="Arial"/>
                <w:sz w:val="13"/>
                <w:szCs w:val="13"/>
                <w:color w:val="auto"/>
              </w:rPr>
              <w:t>22.91</w:t>
            </w: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14.78</w:t>
            </w:r>
          </w:p>
        </w:tc>
        <w:tc>
          <w:tcPr>
            <w:tcW w:w="0" w:type="dxa"/>
            <w:vAlign w:val="bottom"/>
          </w:tcPr>
          <w:p>
            <w:pPr>
              <w:spacing w:after="0"/>
              <w:rPr>
                <w:sz w:val="1"/>
                <w:szCs w:val="1"/>
                <w:color w:val="auto"/>
              </w:rPr>
            </w:pPr>
          </w:p>
        </w:tc>
      </w:tr>
      <w:tr>
        <w:trPr>
          <w:trHeight w:val="289"/>
        </w:trPr>
        <w:tc>
          <w:tcPr>
            <w:tcW w:w="8320" w:type="dxa"/>
            <w:vAlign w:val="bottom"/>
            <w:gridSpan w:val="4"/>
          </w:tcPr>
          <w:p>
            <w:pPr>
              <w:spacing w:after="0"/>
              <w:rPr>
                <w:sz w:val="20"/>
                <w:szCs w:val="20"/>
                <w:color w:val="auto"/>
              </w:rPr>
            </w:pPr>
            <w:r>
              <w:rPr>
                <w:rFonts w:ascii="Arial" w:cs="Arial" w:eastAsia="Arial" w:hAnsi="Arial"/>
                <w:sz w:val="11"/>
                <w:szCs w:val="11"/>
                <w:b w:val="1"/>
                <w:bCs w:val="1"/>
                <w:color w:val="auto"/>
              </w:rPr>
              <w:t>Cash Dividends</w:t>
            </w:r>
          </w:p>
        </w:tc>
        <w:tc>
          <w:tcPr>
            <w:tcW w:w="680" w:type="dxa"/>
            <w:vAlign w:val="bottom"/>
          </w:tcPr>
          <w:p>
            <w:pPr>
              <w:jc w:val="right"/>
              <w:ind w:right="96"/>
              <w:spacing w:after="0"/>
              <w:rPr>
                <w:sz w:val="20"/>
                <w:szCs w:val="20"/>
                <w:color w:val="auto"/>
              </w:rPr>
            </w:pPr>
            <w:r>
              <w:rPr>
                <w:rFonts w:ascii="Arial" w:cs="Arial" w:eastAsia="Arial" w:hAnsi="Arial"/>
                <w:sz w:val="11"/>
                <w:szCs w:val="11"/>
                <w:b w:val="1"/>
                <w:bCs w:val="1"/>
                <w:color w:val="auto"/>
              </w:rPr>
              <w:t>Declared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Arial" w:cs="Arial" w:eastAsia="Arial" w:hAnsi="Arial"/>
                <w:sz w:val="11"/>
                <w:szCs w:val="11"/>
                <w:b w:val="1"/>
                <w:bCs w:val="1"/>
                <w:color w:val="auto"/>
              </w:rPr>
              <w:t>Paid</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2012</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1</w:t>
            </w:r>
            <w:r>
              <w:rPr>
                <w:rFonts w:ascii="Arial" w:cs="Arial" w:eastAsia="Arial" w:hAnsi="Arial"/>
                <w:sz w:val="11"/>
                <w:szCs w:val="11"/>
                <w:color w:val="auto"/>
              </w:rPr>
              <w:t>st</w:t>
            </w:r>
            <w:r>
              <w:rPr>
                <w:rFonts w:ascii="Arial" w:cs="Arial" w:eastAsia="Arial" w:hAnsi="Arial"/>
                <w:sz w:val="13"/>
                <w:szCs w:val="13"/>
                <w:color w:val="auto"/>
              </w:rPr>
              <w:t xml:space="preserve"> Quarter</w:t>
            </w:r>
          </w:p>
        </w:tc>
        <w:tc>
          <w:tcPr>
            <w:tcW w:w="680" w:type="dxa"/>
            <w:vAlign w:val="bottom"/>
          </w:tcPr>
          <w:p>
            <w:pPr>
              <w:spacing w:after="0"/>
              <w:rPr>
                <w:sz w:val="13"/>
                <w:szCs w:val="13"/>
                <w:color w:val="auto"/>
              </w:rPr>
            </w:pP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2011</w:t>
            </w: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4</w:t>
            </w:r>
            <w:r>
              <w:rPr>
                <w:rFonts w:ascii="Arial" w:cs="Arial" w:eastAsia="Arial" w:hAnsi="Arial"/>
                <w:sz w:val="11"/>
                <w:szCs w:val="11"/>
                <w:color w:val="auto"/>
              </w:rPr>
              <w:t>th</w:t>
            </w:r>
            <w:r>
              <w:rPr>
                <w:rFonts w:ascii="Arial" w:cs="Arial" w:eastAsia="Arial" w:hAnsi="Arial"/>
                <w:sz w:val="13"/>
                <w:szCs w:val="13"/>
                <w:color w:val="auto"/>
              </w:rPr>
              <w:t xml:space="preserve"> Quarter</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$0.30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3</w:t>
            </w:r>
            <w:r>
              <w:rPr>
                <w:rFonts w:ascii="Arial" w:cs="Arial" w:eastAsia="Arial" w:hAnsi="Arial"/>
                <w:sz w:val="11"/>
                <w:szCs w:val="11"/>
                <w:color w:val="auto"/>
              </w:rPr>
              <w:t>rd</w:t>
            </w:r>
            <w:r>
              <w:rPr>
                <w:rFonts w:ascii="Arial" w:cs="Arial" w:eastAsia="Arial" w:hAnsi="Arial"/>
                <w:sz w:val="13"/>
                <w:szCs w:val="13"/>
                <w:color w:val="auto"/>
              </w:rPr>
              <w:t xml:space="preserve"> Quarter</w:t>
            </w:r>
          </w:p>
        </w:tc>
        <w:tc>
          <w:tcPr>
            <w:tcW w:w="68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7"/>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2</w:t>
            </w:r>
            <w:r>
              <w:rPr>
                <w:rFonts w:ascii="Arial" w:cs="Arial" w:eastAsia="Arial" w:hAnsi="Arial"/>
                <w:sz w:val="11"/>
                <w:szCs w:val="11"/>
                <w:color w:val="auto"/>
              </w:rPr>
              <w:t>nd</w:t>
            </w:r>
            <w:r>
              <w:rPr>
                <w:rFonts w:ascii="Arial" w:cs="Arial" w:eastAsia="Arial" w:hAnsi="Arial"/>
                <w:sz w:val="13"/>
                <w:szCs w:val="13"/>
                <w:color w:val="auto"/>
              </w:rPr>
              <w:t xml:space="preserve"> Quarter</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$0.40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w:t>
            </w:r>
            <w:r>
              <w:rPr>
                <w:rFonts w:ascii="Arial" w:cs="Arial" w:eastAsia="Arial" w:hAnsi="Arial"/>
                <w:sz w:val="11"/>
                <w:szCs w:val="11"/>
                <w:color w:val="auto"/>
              </w:rPr>
              <w:t>st</w:t>
            </w:r>
            <w:r>
              <w:rPr>
                <w:rFonts w:ascii="Arial" w:cs="Arial" w:eastAsia="Arial" w:hAnsi="Arial"/>
                <w:sz w:val="13"/>
                <w:szCs w:val="13"/>
                <w:color w:val="auto"/>
              </w:rPr>
              <w:t xml:space="preserve"> Quarter</w:t>
            </w:r>
          </w:p>
        </w:tc>
        <w:tc>
          <w:tcPr>
            <w:tcW w:w="68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7"/>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300" w:type="dxa"/>
            <w:vAlign w:val="bottom"/>
            <w:gridSpan w:val="3"/>
          </w:tcPr>
          <w:p>
            <w:pPr>
              <w:spacing w:after="0"/>
              <w:rPr>
                <w:sz w:val="20"/>
                <w:szCs w:val="20"/>
                <w:color w:val="auto"/>
              </w:rPr>
            </w:pPr>
            <w:r>
              <w:rPr>
                <w:rFonts w:ascii="Arial" w:cs="Arial" w:eastAsia="Arial" w:hAnsi="Arial"/>
                <w:sz w:val="13"/>
                <w:szCs w:val="13"/>
                <w:color w:val="auto"/>
              </w:rPr>
              <w:t>Fiscal 2010</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4</w:t>
            </w:r>
            <w:r>
              <w:rPr>
                <w:rFonts w:ascii="Arial" w:cs="Arial" w:eastAsia="Arial" w:hAnsi="Arial"/>
                <w:sz w:val="11"/>
                <w:szCs w:val="11"/>
                <w:color w:val="auto"/>
              </w:rPr>
              <w:t>th</w:t>
            </w:r>
            <w:r>
              <w:rPr>
                <w:rFonts w:ascii="Arial" w:cs="Arial" w:eastAsia="Arial" w:hAnsi="Arial"/>
                <w:sz w:val="13"/>
                <w:szCs w:val="13"/>
                <w:color w:val="auto"/>
              </w:rPr>
              <w:t xml:space="preserve"> Quarter</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$0.28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3</w:t>
            </w:r>
            <w:r>
              <w:rPr>
                <w:rFonts w:ascii="Arial" w:cs="Arial" w:eastAsia="Arial" w:hAnsi="Arial"/>
                <w:sz w:val="11"/>
                <w:szCs w:val="11"/>
                <w:color w:val="auto"/>
              </w:rPr>
              <w:t>rd</w:t>
            </w:r>
            <w:r>
              <w:rPr>
                <w:rFonts w:ascii="Arial" w:cs="Arial" w:eastAsia="Arial" w:hAnsi="Arial"/>
                <w:sz w:val="13"/>
                <w:szCs w:val="13"/>
                <w:color w:val="auto"/>
              </w:rPr>
              <w:t xml:space="preserve"> Quarter</w:t>
            </w:r>
          </w:p>
        </w:tc>
        <w:tc>
          <w:tcPr>
            <w:tcW w:w="680" w:type="dxa"/>
            <w:vAlign w:val="bottom"/>
          </w:tcPr>
          <w:p>
            <w:pPr>
              <w:spacing w:after="0"/>
              <w:rPr>
                <w:sz w:val="13"/>
                <w:szCs w:val="13"/>
                <w:color w:val="auto"/>
              </w:rPr>
            </w:pP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w:t>
            </w:r>
            <w:r>
              <w:rPr>
                <w:rFonts w:ascii="Arial" w:cs="Arial" w:eastAsia="Arial" w:hAnsi="Arial"/>
                <w:sz w:val="11"/>
                <w:szCs w:val="11"/>
                <w:color w:val="auto"/>
              </w:rPr>
              <w:t>nd</w:t>
            </w:r>
            <w:r>
              <w:rPr>
                <w:rFonts w:ascii="Arial" w:cs="Arial" w:eastAsia="Arial" w:hAnsi="Arial"/>
                <w:sz w:val="13"/>
                <w:szCs w:val="13"/>
                <w:color w:val="auto"/>
              </w:rPr>
              <w:t xml:space="preserve"> Quarter</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$0.38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20" w:type="dxa"/>
            <w:vAlign w:val="bottom"/>
            <w:gridSpan w:val="2"/>
          </w:tcPr>
          <w:p>
            <w:pPr>
              <w:ind w:left="40"/>
              <w:spacing w:after="0"/>
              <w:rPr>
                <w:sz w:val="20"/>
                <w:szCs w:val="20"/>
                <w:color w:val="auto"/>
              </w:rPr>
            </w:pPr>
            <w:r>
              <w:rPr>
                <w:rFonts w:ascii="Arial" w:cs="Arial" w:eastAsia="Arial" w:hAnsi="Arial"/>
                <w:sz w:val="13"/>
                <w:szCs w:val="13"/>
                <w:color w:val="auto"/>
              </w:rPr>
              <w:t>1</w:t>
            </w:r>
            <w:r>
              <w:rPr>
                <w:rFonts w:ascii="Arial" w:cs="Arial" w:eastAsia="Arial" w:hAnsi="Arial"/>
                <w:sz w:val="11"/>
                <w:szCs w:val="11"/>
                <w:color w:val="auto"/>
              </w:rPr>
              <w:t>st</w:t>
            </w:r>
            <w:r>
              <w:rPr>
                <w:rFonts w:ascii="Arial" w:cs="Arial" w:eastAsia="Arial" w:hAnsi="Arial"/>
                <w:sz w:val="13"/>
                <w:szCs w:val="13"/>
                <w:color w:val="auto"/>
              </w:rPr>
              <w:t xml:space="preserve"> Quarter</w:t>
            </w:r>
          </w:p>
        </w:tc>
        <w:tc>
          <w:tcPr>
            <w:tcW w:w="680" w:type="dxa"/>
            <w:vAlign w:val="bottom"/>
          </w:tcPr>
          <w:p>
            <w:pPr>
              <w:spacing w:after="0"/>
              <w:rPr>
                <w:sz w:val="14"/>
                <w:szCs w:val="14"/>
                <w:color w:val="auto"/>
              </w:rPr>
            </w:pPr>
          </w:p>
        </w:tc>
        <w:tc>
          <w:tcPr>
            <w:tcW w:w="980" w:type="dxa"/>
            <w:vAlign w:val="bottom"/>
            <w:gridSpan w:val="4"/>
          </w:tcPr>
          <w:p>
            <w:pPr>
              <w:jc w:val="right"/>
              <w:ind w:right="147"/>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280" w:firstLine="399"/>
        <w:spacing w:after="0" w:line="279" w:lineRule="auto"/>
        <w:rPr>
          <w:sz w:val="20"/>
          <w:szCs w:val="20"/>
          <w:color w:val="auto"/>
        </w:rPr>
      </w:pPr>
      <w:r>
        <w:rPr>
          <w:rFonts w:ascii="Arial" w:cs="Arial" w:eastAsia="Arial" w:hAnsi="Arial"/>
          <w:sz w:val="13"/>
          <w:szCs w:val="13"/>
          <w:color w:val="auto"/>
        </w:rPr>
        <w:t>Our common shares are traded on The NASDAQ Global Market under the symbol “HWKN.” The price information represents closing sale prices as reported by The NASDAQ Global Market. As of April 3, 2011, shares of our common stock were held by approximately 526 shareholders of record.</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first started paying cash dividends in 1985 and have continued to do so since. In July 2010 and August 2009, in recognition of the Company’s strong financial performance in fiscal 2010 and 2009, its strong cash position and no debt, the Board of Directors authorized a special dividend of $0.10 per share in addition to a regular semi-annual cash dividend of $0.30 per share for July 2010 and $0.28 per share for July 2009. Future dividend levels will be dependent upon our consolidated results of operations, financial position, cash flows and other factors, and will be evaluated by our Board of Directors.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0" w:firstLine="399"/>
        <w:spacing w:after="0" w:line="291" w:lineRule="auto"/>
        <w:rPr>
          <w:sz w:val="20"/>
          <w:szCs w:val="20"/>
          <w:color w:val="auto"/>
        </w:rPr>
      </w:pPr>
      <w:r>
        <w:rPr>
          <w:rFonts w:ascii="Arial" w:cs="Arial" w:eastAsia="Arial" w:hAnsi="Arial"/>
          <w:sz w:val="12"/>
          <w:szCs w:val="12"/>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March 31, 2006, and reinvestment of all dividends. We have added the S&amp;P Small Cap 600 Index because during fiscal 2011, Hawkins, Inc. was added to the S&amp;P Small Cap 600 Index based on disclosures by 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38735</wp:posOffset>
            </wp:positionV>
            <wp:extent cx="3629025" cy="2367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9025" cy="236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2" w:lineRule="exact"/>
        <w:rPr>
          <w:sz w:val="20"/>
          <w:szCs w:val="20"/>
          <w:color w:val="auto"/>
        </w:rPr>
      </w:pPr>
    </w:p>
    <w:p>
      <w:pPr>
        <w:ind w:left="680" w:right="960" w:firstLine="399"/>
        <w:spacing w:after="0" w:line="279" w:lineRule="auto"/>
        <w:rPr>
          <w:sz w:val="20"/>
          <w:szCs w:val="20"/>
          <w:color w:val="auto"/>
        </w:rPr>
      </w:pPr>
      <w:r>
        <w:rPr>
          <w:rFonts w:ascii="Arial" w:cs="Arial" w:eastAsia="Arial" w:hAnsi="Arial"/>
          <w:sz w:val="13"/>
          <w:szCs w:val="13"/>
          <w:color w:val="auto"/>
        </w:rPr>
        <w:t>Selected financial data for the Company is presented in the table below and should be read in conjunction with Management’s Discussion and Analysis of Financial Condition and Results of Operations included in Item 7 and the Company’s consolidated financial statements and notes thereto included in Item 8 herein.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Fiscal Years</w:t>
            </w: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9"/>
        </w:trPr>
        <w:tc>
          <w:tcPr>
            <w:tcW w:w="7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940" w:type="dxa"/>
            <w:vAlign w:val="bottom"/>
            <w:tcBorders>
              <w:bottom w:val="single" w:sz="8" w:color="auto"/>
            </w:tcBorders>
          </w:tcPr>
          <w:p>
            <w:pPr>
              <w:jc w:val="right"/>
              <w:ind w:right="295"/>
              <w:spacing w:after="0" w:line="99" w:lineRule="exact"/>
              <w:rPr>
                <w:sz w:val="20"/>
                <w:szCs w:val="20"/>
                <w:color w:val="auto"/>
              </w:rPr>
            </w:pPr>
            <w:r>
              <w:rPr>
                <w:rFonts w:ascii="Arial" w:cs="Arial" w:eastAsia="Arial" w:hAnsi="Arial"/>
                <w:sz w:val="11"/>
                <w:szCs w:val="11"/>
                <w:b w:val="1"/>
                <w:bCs w:val="1"/>
                <w:color w:val="auto"/>
              </w:rPr>
              <w:t>2011</w:t>
            </w:r>
          </w:p>
        </w:tc>
        <w:tc>
          <w:tcPr>
            <w:tcW w:w="240" w:type="dxa"/>
            <w:vAlign w:val="bottom"/>
          </w:tcPr>
          <w:p>
            <w:pPr>
              <w:spacing w:after="0"/>
              <w:rPr>
                <w:sz w:val="8"/>
                <w:szCs w:val="8"/>
                <w:color w:val="auto"/>
              </w:rPr>
            </w:pPr>
          </w:p>
        </w:tc>
        <w:tc>
          <w:tcPr>
            <w:tcW w:w="760" w:type="dxa"/>
            <w:vAlign w:val="bottom"/>
            <w:tcBorders>
              <w:bottom w:val="single" w:sz="8" w:color="auto"/>
            </w:tcBorders>
          </w:tcPr>
          <w:p>
            <w:pPr>
              <w:jc w:val="right"/>
              <w:ind w:right="127"/>
              <w:spacing w:after="0" w:line="99" w:lineRule="exact"/>
              <w:rPr>
                <w:sz w:val="20"/>
                <w:szCs w:val="20"/>
                <w:color w:val="auto"/>
              </w:rPr>
            </w:pPr>
            <w:r>
              <w:rPr>
                <w:rFonts w:ascii="Arial" w:cs="Arial" w:eastAsia="Arial" w:hAnsi="Arial"/>
                <w:sz w:val="11"/>
                <w:szCs w:val="11"/>
                <w:b w:val="1"/>
                <w:bCs w:val="1"/>
                <w:color w:val="auto"/>
              </w:rPr>
              <w:t>2010</w:t>
            </w: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auto"/>
            </w:tcBorders>
          </w:tcPr>
          <w:p>
            <w:pPr>
              <w:jc w:val="right"/>
              <w:ind w:right="327"/>
              <w:spacing w:after="0" w:line="99" w:lineRule="exact"/>
              <w:rPr>
                <w:sz w:val="20"/>
                <w:szCs w:val="20"/>
                <w:color w:val="auto"/>
              </w:rPr>
            </w:pPr>
            <w:r>
              <w:rPr>
                <w:rFonts w:ascii="Arial" w:cs="Arial" w:eastAsia="Arial" w:hAnsi="Arial"/>
                <w:sz w:val="11"/>
                <w:szCs w:val="11"/>
                <w:b w:val="1"/>
                <w:bCs w:val="1"/>
                <w:color w:val="auto"/>
              </w:rPr>
              <w:t>2009</w:t>
            </w: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296"/>
              <w:spacing w:after="0" w:line="99" w:lineRule="exact"/>
              <w:rPr>
                <w:sz w:val="20"/>
                <w:szCs w:val="20"/>
                <w:color w:val="auto"/>
              </w:rPr>
            </w:pPr>
            <w:r>
              <w:rPr>
                <w:rFonts w:ascii="Arial" w:cs="Arial" w:eastAsia="Arial" w:hAnsi="Arial"/>
                <w:sz w:val="11"/>
                <w:szCs w:val="11"/>
                <w:b w:val="1"/>
                <w:bCs w:val="1"/>
                <w:color w:val="auto"/>
              </w:rPr>
              <w:t>2008</w:t>
            </w:r>
          </w:p>
        </w:tc>
        <w:tc>
          <w:tcPr>
            <w:tcW w:w="240" w:type="dxa"/>
            <w:vAlign w:val="bottom"/>
          </w:tcPr>
          <w:p>
            <w:pPr>
              <w:spacing w:after="0"/>
              <w:rPr>
                <w:sz w:val="8"/>
                <w:szCs w:val="8"/>
                <w:color w:val="auto"/>
              </w:rPr>
            </w:pPr>
          </w:p>
        </w:tc>
        <w:tc>
          <w:tcPr>
            <w:tcW w:w="940" w:type="dxa"/>
            <w:vAlign w:val="bottom"/>
            <w:tcBorders>
              <w:bottom w:val="single" w:sz="8" w:color="auto"/>
            </w:tcBorders>
          </w:tcPr>
          <w:p>
            <w:pPr>
              <w:jc w:val="right"/>
              <w:ind w:right="307"/>
              <w:spacing w:after="0" w:line="99" w:lineRule="exact"/>
              <w:rPr>
                <w:sz w:val="20"/>
                <w:szCs w:val="20"/>
                <w:color w:val="auto"/>
              </w:rPr>
            </w:pPr>
            <w:r>
              <w:rPr>
                <w:rFonts w:ascii="Arial" w:cs="Arial" w:eastAsia="Arial" w:hAnsi="Arial"/>
                <w:sz w:val="11"/>
                <w:szCs w:val="11"/>
                <w:b w:val="1"/>
                <w:bCs w:val="1"/>
                <w:color w:val="auto"/>
              </w:rPr>
              <w:t>2007</w:t>
            </w:r>
          </w:p>
        </w:tc>
        <w:tc>
          <w:tcPr>
            <w:tcW w:w="800" w:type="dxa"/>
            <w:vAlign w:val="bottom"/>
          </w:tcPr>
          <w:p>
            <w:pPr>
              <w:spacing w:after="0"/>
              <w:rPr>
                <w:sz w:val="8"/>
                <w:szCs w:val="8"/>
                <w:color w:val="auto"/>
              </w:rPr>
            </w:pPr>
          </w:p>
        </w:tc>
      </w:tr>
      <w:tr>
        <w:trPr>
          <w:trHeight w:val="126"/>
        </w:trPr>
        <w:tc>
          <w:tcPr>
            <w:tcW w:w="7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w w:val="74"/>
              </w:rPr>
              <w:t>(In</w:t>
            </w:r>
          </w:p>
        </w:tc>
        <w:tc>
          <w:tcPr>
            <w:tcW w:w="1600" w:type="dxa"/>
            <w:vAlign w:val="bottom"/>
            <w:gridSpan w:val="4"/>
          </w:tcPr>
          <w:p>
            <w:pPr>
              <w:ind w:left="60"/>
              <w:spacing w:after="0"/>
              <w:rPr>
                <w:sz w:val="20"/>
                <w:szCs w:val="20"/>
                <w:color w:val="auto"/>
              </w:rPr>
            </w:pPr>
            <w:r>
              <w:rPr>
                <w:rFonts w:ascii="Arial" w:cs="Arial" w:eastAsia="Arial" w:hAnsi="Arial"/>
                <w:sz w:val="11"/>
                <w:szCs w:val="11"/>
                <w:b w:val="1"/>
                <w:bCs w:val="1"/>
                <w:color w:val="auto"/>
                <w:w w:val="85"/>
              </w:rPr>
              <w:t>thousands, except per share data)</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71"/>
        </w:trPr>
        <w:tc>
          <w:tcPr>
            <w:tcW w:w="70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Sales from continuing operations</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$297,641</w:t>
            </w:r>
          </w:p>
        </w:tc>
        <w:tc>
          <w:tcPr>
            <w:tcW w:w="100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$257,099</w:t>
            </w:r>
          </w:p>
        </w:tc>
        <w:tc>
          <w:tcPr>
            <w:tcW w:w="1380" w:type="dxa"/>
            <w:vAlign w:val="bottom"/>
            <w:gridSpan w:val="3"/>
            <w:shd w:val="clear" w:color="auto" w:fill="CCEEFF"/>
          </w:tcPr>
          <w:p>
            <w:pPr>
              <w:jc w:val="right"/>
              <w:ind w:right="207"/>
              <w:spacing w:after="0"/>
              <w:rPr>
                <w:sz w:val="20"/>
                <w:szCs w:val="20"/>
                <w:color w:val="auto"/>
              </w:rPr>
            </w:pPr>
            <w:r>
              <w:rPr>
                <w:rFonts w:ascii="Arial" w:cs="Arial" w:eastAsia="Arial" w:hAnsi="Arial"/>
                <w:sz w:val="13"/>
                <w:szCs w:val="13"/>
                <w:color w:val="auto"/>
              </w:rPr>
              <w:t>$284,356</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95"/>
              </w:rPr>
              <w:t>$186,664</w:t>
            </w:r>
          </w:p>
        </w:tc>
        <w:tc>
          <w:tcPr>
            <w:tcW w:w="1180" w:type="dxa"/>
            <w:vAlign w:val="bottom"/>
            <w:gridSpan w:val="2"/>
            <w:shd w:val="clear" w:color="auto" w:fill="CCEEFF"/>
          </w:tcPr>
          <w:p>
            <w:pPr>
              <w:jc w:val="right"/>
              <w:ind w:right="187"/>
              <w:spacing w:after="0"/>
              <w:rPr>
                <w:sz w:val="20"/>
                <w:szCs w:val="20"/>
                <w:color w:val="auto"/>
              </w:rPr>
            </w:pPr>
            <w:r>
              <w:rPr>
                <w:rFonts w:ascii="Arial" w:cs="Arial" w:eastAsia="Arial" w:hAnsi="Arial"/>
                <w:sz w:val="13"/>
                <w:szCs w:val="13"/>
                <w:color w:val="auto"/>
              </w:rPr>
              <w:t>$151,766</w:t>
            </w:r>
          </w:p>
        </w:tc>
        <w:tc>
          <w:tcPr>
            <w:tcW w:w="800" w:type="dxa"/>
            <w:vAlign w:val="bottom"/>
          </w:tcPr>
          <w:p>
            <w:pPr>
              <w:spacing w:after="0"/>
              <w:rPr>
                <w:sz w:val="14"/>
                <w:szCs w:val="14"/>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Gross profit from continuing operations</w:t>
            </w:r>
          </w:p>
        </w:tc>
        <w:tc>
          <w:tcPr>
            <w:tcW w:w="940" w:type="dxa"/>
            <w:vAlign w:val="bottom"/>
          </w:tcPr>
          <w:p>
            <w:pPr>
              <w:jc w:val="right"/>
              <w:ind w:right="175"/>
              <w:spacing w:after="0"/>
              <w:rPr>
                <w:sz w:val="20"/>
                <w:szCs w:val="20"/>
                <w:color w:val="auto"/>
              </w:rPr>
            </w:pPr>
            <w:r>
              <w:rPr>
                <w:rFonts w:ascii="Arial" w:cs="Arial" w:eastAsia="Arial" w:hAnsi="Arial"/>
                <w:sz w:val="13"/>
                <w:szCs w:val="13"/>
                <w:color w:val="auto"/>
              </w:rPr>
              <w:t>61,902</w:t>
            </w:r>
          </w:p>
        </w:tc>
        <w:tc>
          <w:tcPr>
            <w:tcW w:w="1000" w:type="dxa"/>
            <w:vAlign w:val="bottom"/>
            <w:gridSpan w:val="2"/>
          </w:tcPr>
          <w:p>
            <w:pPr>
              <w:jc w:val="right"/>
              <w:ind w:right="7"/>
              <w:spacing w:after="0"/>
              <w:rPr>
                <w:sz w:val="20"/>
                <w:szCs w:val="20"/>
                <w:color w:val="auto"/>
              </w:rPr>
            </w:pPr>
            <w:r>
              <w:rPr>
                <w:rFonts w:ascii="Arial" w:cs="Arial" w:eastAsia="Arial" w:hAnsi="Arial"/>
                <w:sz w:val="13"/>
                <w:szCs w:val="13"/>
                <w:color w:val="auto"/>
              </w:rPr>
              <w:t>64,445</w:t>
            </w:r>
          </w:p>
        </w:tc>
        <w:tc>
          <w:tcPr>
            <w:tcW w:w="1380" w:type="dxa"/>
            <w:vAlign w:val="bottom"/>
            <w:gridSpan w:val="3"/>
          </w:tcPr>
          <w:p>
            <w:pPr>
              <w:jc w:val="right"/>
              <w:ind w:right="207"/>
              <w:spacing w:after="0"/>
              <w:rPr>
                <w:sz w:val="20"/>
                <w:szCs w:val="20"/>
                <w:color w:val="auto"/>
              </w:rPr>
            </w:pPr>
            <w:r>
              <w:rPr>
                <w:rFonts w:ascii="Arial" w:cs="Arial" w:eastAsia="Arial" w:hAnsi="Arial"/>
                <w:sz w:val="13"/>
                <w:szCs w:val="13"/>
                <w:color w:val="auto"/>
              </w:rPr>
              <w:t>62,420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color w:val="auto"/>
              </w:rPr>
              <w:t>38,528</w:t>
            </w:r>
          </w:p>
        </w:tc>
        <w:tc>
          <w:tcPr>
            <w:tcW w:w="1180" w:type="dxa"/>
            <w:vAlign w:val="bottom"/>
            <w:gridSpan w:val="2"/>
          </w:tcPr>
          <w:p>
            <w:pPr>
              <w:jc w:val="right"/>
              <w:ind w:right="187"/>
              <w:spacing w:after="0"/>
              <w:rPr>
                <w:sz w:val="20"/>
                <w:szCs w:val="20"/>
                <w:color w:val="auto"/>
              </w:rPr>
            </w:pPr>
            <w:r>
              <w:rPr>
                <w:rFonts w:ascii="Arial" w:cs="Arial" w:eastAsia="Arial" w:hAnsi="Arial"/>
                <w:sz w:val="13"/>
                <w:szCs w:val="13"/>
                <w:color w:val="auto"/>
              </w:rPr>
              <w:t>34,709</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20,314</w:t>
            </w:r>
          </w:p>
        </w:tc>
        <w:tc>
          <w:tcPr>
            <w:tcW w:w="100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23,738</w:t>
            </w:r>
          </w:p>
        </w:tc>
        <w:tc>
          <w:tcPr>
            <w:tcW w:w="1380" w:type="dxa"/>
            <w:vAlign w:val="bottom"/>
            <w:gridSpan w:val="3"/>
            <w:shd w:val="clear" w:color="auto" w:fill="CCEEFF"/>
          </w:tcPr>
          <w:p>
            <w:pPr>
              <w:jc w:val="right"/>
              <w:ind w:right="207"/>
              <w:spacing w:after="0"/>
              <w:rPr>
                <w:sz w:val="20"/>
                <w:szCs w:val="20"/>
                <w:color w:val="auto"/>
              </w:rPr>
            </w:pPr>
            <w:r>
              <w:rPr>
                <w:rFonts w:ascii="Arial" w:cs="Arial" w:eastAsia="Arial" w:hAnsi="Arial"/>
                <w:sz w:val="13"/>
                <w:szCs w:val="13"/>
                <w:color w:val="auto"/>
              </w:rPr>
              <w:t>23,424</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8,488</w:t>
            </w:r>
          </w:p>
        </w:tc>
        <w:tc>
          <w:tcPr>
            <w:tcW w:w="1180" w:type="dxa"/>
            <w:vAlign w:val="bottom"/>
            <w:gridSpan w:val="2"/>
            <w:shd w:val="clear" w:color="auto" w:fill="CCEEFF"/>
          </w:tcPr>
          <w:p>
            <w:pPr>
              <w:jc w:val="right"/>
              <w:ind w:right="187"/>
              <w:spacing w:after="0"/>
              <w:rPr>
                <w:sz w:val="20"/>
                <w:szCs w:val="20"/>
                <w:color w:val="auto"/>
              </w:rPr>
            </w:pPr>
            <w:r>
              <w:rPr>
                <w:rFonts w:ascii="Arial" w:cs="Arial" w:eastAsia="Arial" w:hAnsi="Arial"/>
                <w:sz w:val="13"/>
                <w:szCs w:val="13"/>
                <w:color w:val="auto"/>
              </w:rPr>
              <w:t>7,724</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Basic earnings per common share from continuing operations</w:t>
            </w:r>
          </w:p>
        </w:tc>
        <w:tc>
          <w:tcPr>
            <w:tcW w:w="940" w:type="dxa"/>
            <w:vAlign w:val="bottom"/>
          </w:tcPr>
          <w:p>
            <w:pPr>
              <w:jc w:val="right"/>
              <w:ind w:right="175"/>
              <w:spacing w:after="0"/>
              <w:rPr>
                <w:sz w:val="20"/>
                <w:szCs w:val="20"/>
                <w:color w:val="auto"/>
              </w:rPr>
            </w:pPr>
            <w:r>
              <w:rPr>
                <w:rFonts w:ascii="Arial" w:cs="Arial" w:eastAsia="Arial" w:hAnsi="Arial"/>
                <w:sz w:val="13"/>
                <w:szCs w:val="13"/>
                <w:color w:val="auto"/>
              </w:rPr>
              <w:t>1.98</w:t>
            </w:r>
          </w:p>
        </w:tc>
        <w:tc>
          <w:tcPr>
            <w:tcW w:w="1000" w:type="dxa"/>
            <w:vAlign w:val="bottom"/>
            <w:gridSpan w:val="2"/>
          </w:tcPr>
          <w:p>
            <w:pPr>
              <w:jc w:val="right"/>
              <w:ind w:right="7"/>
              <w:spacing w:after="0"/>
              <w:rPr>
                <w:sz w:val="20"/>
                <w:szCs w:val="20"/>
                <w:color w:val="auto"/>
              </w:rPr>
            </w:pPr>
            <w:r>
              <w:rPr>
                <w:rFonts w:ascii="Arial" w:cs="Arial" w:eastAsia="Arial" w:hAnsi="Arial"/>
                <w:sz w:val="13"/>
                <w:szCs w:val="13"/>
                <w:color w:val="auto"/>
              </w:rPr>
              <w:t>2.32</w:t>
            </w:r>
          </w:p>
        </w:tc>
        <w:tc>
          <w:tcPr>
            <w:tcW w:w="1380" w:type="dxa"/>
            <w:vAlign w:val="bottom"/>
            <w:gridSpan w:val="3"/>
          </w:tcPr>
          <w:p>
            <w:pPr>
              <w:jc w:val="right"/>
              <w:ind w:right="207"/>
              <w:spacing w:after="0"/>
              <w:rPr>
                <w:sz w:val="20"/>
                <w:szCs w:val="20"/>
                <w:color w:val="auto"/>
              </w:rPr>
            </w:pPr>
            <w:r>
              <w:rPr>
                <w:rFonts w:ascii="Arial" w:cs="Arial" w:eastAsia="Arial" w:hAnsi="Arial"/>
                <w:sz w:val="13"/>
                <w:szCs w:val="13"/>
                <w:color w:val="auto"/>
              </w:rPr>
              <w:t>2.29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color w:val="auto"/>
              </w:rPr>
              <w:t>0.83</w:t>
            </w:r>
          </w:p>
        </w:tc>
        <w:tc>
          <w:tcPr>
            <w:tcW w:w="1180" w:type="dxa"/>
            <w:vAlign w:val="bottom"/>
            <w:gridSpan w:val="2"/>
          </w:tcPr>
          <w:p>
            <w:pPr>
              <w:jc w:val="right"/>
              <w:ind w:right="187"/>
              <w:spacing w:after="0"/>
              <w:rPr>
                <w:sz w:val="20"/>
                <w:szCs w:val="20"/>
                <w:color w:val="auto"/>
              </w:rPr>
            </w:pPr>
            <w:r>
              <w:rPr>
                <w:rFonts w:ascii="Arial" w:cs="Arial" w:eastAsia="Arial" w:hAnsi="Arial"/>
                <w:sz w:val="13"/>
                <w:szCs w:val="13"/>
                <w:color w:val="auto"/>
              </w:rPr>
              <w:t>0.76</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 from continuing operations</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1.96</w:t>
            </w:r>
          </w:p>
        </w:tc>
        <w:tc>
          <w:tcPr>
            <w:tcW w:w="100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2.31</w:t>
            </w:r>
          </w:p>
        </w:tc>
        <w:tc>
          <w:tcPr>
            <w:tcW w:w="1380" w:type="dxa"/>
            <w:vAlign w:val="bottom"/>
            <w:gridSpan w:val="3"/>
            <w:shd w:val="clear" w:color="auto" w:fill="CCEEFF"/>
          </w:tcPr>
          <w:p>
            <w:pPr>
              <w:jc w:val="right"/>
              <w:ind w:right="207"/>
              <w:spacing w:after="0"/>
              <w:rPr>
                <w:sz w:val="20"/>
                <w:szCs w:val="20"/>
                <w:color w:val="auto"/>
              </w:rPr>
            </w:pPr>
            <w:r>
              <w:rPr>
                <w:rFonts w:ascii="Arial" w:cs="Arial" w:eastAsia="Arial" w:hAnsi="Arial"/>
                <w:sz w:val="13"/>
                <w:szCs w:val="13"/>
                <w:color w:val="auto"/>
              </w:rPr>
              <w:t>2.29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0.83</w:t>
            </w:r>
          </w:p>
        </w:tc>
        <w:tc>
          <w:tcPr>
            <w:tcW w:w="1180" w:type="dxa"/>
            <w:vAlign w:val="bottom"/>
            <w:gridSpan w:val="2"/>
            <w:shd w:val="clear" w:color="auto" w:fill="CCEEFF"/>
          </w:tcPr>
          <w:p>
            <w:pPr>
              <w:jc w:val="right"/>
              <w:ind w:right="187"/>
              <w:spacing w:after="0"/>
              <w:rPr>
                <w:sz w:val="20"/>
                <w:szCs w:val="20"/>
                <w:color w:val="auto"/>
              </w:rPr>
            </w:pPr>
            <w:r>
              <w:rPr>
                <w:rFonts w:ascii="Arial" w:cs="Arial" w:eastAsia="Arial" w:hAnsi="Arial"/>
                <w:sz w:val="13"/>
                <w:szCs w:val="13"/>
                <w:color w:val="auto"/>
              </w:rPr>
              <w:t>0.76</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Cash dividends declared per common share</w:t>
            </w:r>
          </w:p>
        </w:tc>
        <w:tc>
          <w:tcPr>
            <w:tcW w:w="940" w:type="dxa"/>
            <w:vAlign w:val="bottom"/>
          </w:tcPr>
          <w:p>
            <w:pPr>
              <w:jc w:val="right"/>
              <w:ind w:right="175"/>
              <w:spacing w:after="0"/>
              <w:rPr>
                <w:sz w:val="20"/>
                <w:szCs w:val="20"/>
                <w:color w:val="auto"/>
              </w:rPr>
            </w:pPr>
            <w:r>
              <w:rPr>
                <w:rFonts w:ascii="Arial" w:cs="Arial" w:eastAsia="Arial" w:hAnsi="Arial"/>
                <w:sz w:val="13"/>
                <w:szCs w:val="13"/>
                <w:color w:val="auto"/>
              </w:rPr>
              <w:t>0.70</w:t>
            </w:r>
          </w:p>
        </w:tc>
        <w:tc>
          <w:tcPr>
            <w:tcW w:w="1000" w:type="dxa"/>
            <w:vAlign w:val="bottom"/>
            <w:gridSpan w:val="2"/>
          </w:tcPr>
          <w:p>
            <w:pPr>
              <w:jc w:val="right"/>
              <w:ind w:right="7"/>
              <w:spacing w:after="0"/>
              <w:rPr>
                <w:sz w:val="20"/>
                <w:szCs w:val="20"/>
                <w:color w:val="auto"/>
              </w:rPr>
            </w:pPr>
            <w:r>
              <w:rPr>
                <w:rFonts w:ascii="Arial" w:cs="Arial" w:eastAsia="Arial" w:hAnsi="Arial"/>
                <w:sz w:val="13"/>
                <w:szCs w:val="13"/>
                <w:color w:val="auto"/>
              </w:rPr>
              <w:t>0.66</w:t>
            </w:r>
          </w:p>
        </w:tc>
        <w:tc>
          <w:tcPr>
            <w:tcW w:w="1380" w:type="dxa"/>
            <w:vAlign w:val="bottom"/>
            <w:gridSpan w:val="3"/>
          </w:tcPr>
          <w:p>
            <w:pPr>
              <w:jc w:val="right"/>
              <w:ind w:right="207"/>
              <w:spacing w:after="0"/>
              <w:rPr>
                <w:sz w:val="20"/>
                <w:szCs w:val="20"/>
                <w:color w:val="auto"/>
              </w:rPr>
            </w:pPr>
            <w:r>
              <w:rPr>
                <w:rFonts w:ascii="Arial" w:cs="Arial" w:eastAsia="Arial" w:hAnsi="Arial"/>
                <w:sz w:val="13"/>
                <w:szCs w:val="13"/>
                <w:color w:val="auto"/>
              </w:rPr>
              <w:t>0.52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color w:val="auto"/>
              </w:rPr>
              <w:t>0.48</w:t>
            </w:r>
          </w:p>
        </w:tc>
        <w:tc>
          <w:tcPr>
            <w:tcW w:w="1180" w:type="dxa"/>
            <w:vAlign w:val="bottom"/>
            <w:gridSpan w:val="2"/>
          </w:tcPr>
          <w:p>
            <w:pPr>
              <w:jc w:val="right"/>
              <w:ind w:right="187"/>
              <w:spacing w:after="0"/>
              <w:rPr>
                <w:sz w:val="20"/>
                <w:szCs w:val="20"/>
                <w:color w:val="auto"/>
              </w:rPr>
            </w:pPr>
            <w:r>
              <w:rPr>
                <w:rFonts w:ascii="Arial" w:cs="Arial" w:eastAsia="Arial" w:hAnsi="Arial"/>
                <w:sz w:val="13"/>
                <w:szCs w:val="13"/>
                <w:color w:val="auto"/>
              </w:rPr>
              <w:t>0.44</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paid per common share</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rPr>
              <w:t>0.68</w:t>
            </w:r>
          </w:p>
        </w:tc>
        <w:tc>
          <w:tcPr>
            <w:tcW w:w="100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0.64</w:t>
            </w:r>
          </w:p>
        </w:tc>
        <w:tc>
          <w:tcPr>
            <w:tcW w:w="1380" w:type="dxa"/>
            <w:vAlign w:val="bottom"/>
            <w:gridSpan w:val="3"/>
            <w:shd w:val="clear" w:color="auto" w:fill="CCEEFF"/>
          </w:tcPr>
          <w:p>
            <w:pPr>
              <w:jc w:val="right"/>
              <w:ind w:right="207"/>
              <w:spacing w:after="0"/>
              <w:rPr>
                <w:sz w:val="20"/>
                <w:szCs w:val="20"/>
                <w:color w:val="auto"/>
              </w:rPr>
            </w:pPr>
            <w:r>
              <w:rPr>
                <w:rFonts w:ascii="Arial" w:cs="Arial" w:eastAsia="Arial" w:hAnsi="Arial"/>
                <w:sz w:val="13"/>
                <w:szCs w:val="13"/>
                <w:color w:val="auto"/>
              </w:rPr>
              <w:t>0.50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0.46</w:t>
            </w:r>
          </w:p>
        </w:tc>
        <w:tc>
          <w:tcPr>
            <w:tcW w:w="1180" w:type="dxa"/>
            <w:vAlign w:val="bottom"/>
            <w:gridSpan w:val="2"/>
            <w:shd w:val="clear" w:color="auto" w:fill="CCEEFF"/>
          </w:tcPr>
          <w:p>
            <w:pPr>
              <w:jc w:val="right"/>
              <w:ind w:right="187"/>
              <w:spacing w:after="0"/>
              <w:rPr>
                <w:sz w:val="20"/>
                <w:szCs w:val="20"/>
                <w:color w:val="auto"/>
              </w:rPr>
            </w:pPr>
            <w:r>
              <w:rPr>
                <w:rFonts w:ascii="Arial" w:cs="Arial" w:eastAsia="Arial" w:hAnsi="Arial"/>
                <w:sz w:val="13"/>
                <w:szCs w:val="13"/>
                <w:color w:val="auto"/>
              </w:rPr>
              <w:t>0.42</w:t>
            </w:r>
          </w:p>
        </w:tc>
        <w:tc>
          <w:tcPr>
            <w:tcW w:w="800" w:type="dxa"/>
            <w:vAlign w:val="bottom"/>
          </w:tcPr>
          <w:p>
            <w:pPr>
              <w:spacing w:after="0"/>
              <w:rPr>
                <w:sz w:val="13"/>
                <w:szCs w:val="13"/>
                <w:color w:val="auto"/>
              </w:rPr>
            </w:pPr>
          </w:p>
        </w:tc>
      </w:tr>
      <w:tr>
        <w:trPr>
          <w:trHeight w:val="165"/>
        </w:trPr>
        <w:tc>
          <w:tcPr>
            <w:tcW w:w="70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Arial" w:cs="Arial" w:eastAsia="Arial" w:hAnsi="Arial"/>
                <w:sz w:val="13"/>
                <w:szCs w:val="13"/>
                <w:color w:val="auto"/>
              </w:rPr>
              <w:t>Total assets</w:t>
            </w:r>
          </w:p>
        </w:tc>
        <w:tc>
          <w:tcPr>
            <w:tcW w:w="940" w:type="dxa"/>
            <w:vAlign w:val="bottom"/>
          </w:tcPr>
          <w:p>
            <w:pPr>
              <w:jc w:val="right"/>
              <w:ind w:right="175"/>
              <w:spacing w:after="0"/>
              <w:rPr>
                <w:sz w:val="20"/>
                <w:szCs w:val="20"/>
                <w:color w:val="auto"/>
              </w:rPr>
            </w:pPr>
            <w:r>
              <w:rPr>
                <w:rFonts w:ascii="Arial" w:cs="Arial" w:eastAsia="Arial" w:hAnsi="Arial"/>
                <w:sz w:val="13"/>
                <w:szCs w:val="13"/>
                <w:color w:val="auto"/>
              </w:rPr>
              <w:t>$185,005</w:t>
            </w:r>
          </w:p>
        </w:tc>
        <w:tc>
          <w:tcPr>
            <w:tcW w:w="1000" w:type="dxa"/>
            <w:vAlign w:val="bottom"/>
            <w:gridSpan w:val="2"/>
          </w:tcPr>
          <w:p>
            <w:pPr>
              <w:jc w:val="right"/>
              <w:ind w:right="7"/>
              <w:spacing w:after="0"/>
              <w:rPr>
                <w:sz w:val="20"/>
                <w:szCs w:val="20"/>
                <w:color w:val="auto"/>
              </w:rPr>
            </w:pPr>
            <w:r>
              <w:rPr>
                <w:rFonts w:ascii="Arial" w:cs="Arial" w:eastAsia="Arial" w:hAnsi="Arial"/>
                <w:sz w:val="13"/>
                <w:szCs w:val="13"/>
                <w:color w:val="auto"/>
              </w:rPr>
              <w:t>$160,293</w:t>
            </w:r>
          </w:p>
        </w:tc>
        <w:tc>
          <w:tcPr>
            <w:tcW w:w="1380" w:type="dxa"/>
            <w:vAlign w:val="bottom"/>
            <w:gridSpan w:val="3"/>
          </w:tcPr>
          <w:p>
            <w:pPr>
              <w:jc w:val="right"/>
              <w:ind w:right="207"/>
              <w:spacing w:after="0"/>
              <w:rPr>
                <w:sz w:val="20"/>
                <w:szCs w:val="20"/>
                <w:color w:val="auto"/>
              </w:rPr>
            </w:pPr>
            <w:r>
              <w:rPr>
                <w:rFonts w:ascii="Arial" w:cs="Arial" w:eastAsia="Arial" w:hAnsi="Arial"/>
                <w:sz w:val="13"/>
                <w:szCs w:val="13"/>
                <w:color w:val="auto"/>
              </w:rPr>
              <w:t>$136,290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3"/>
                <w:szCs w:val="13"/>
                <w:color w:val="auto"/>
                <w:w w:val="95"/>
              </w:rPr>
              <w:t>$108,943</w:t>
            </w:r>
          </w:p>
        </w:tc>
        <w:tc>
          <w:tcPr>
            <w:tcW w:w="1180" w:type="dxa"/>
            <w:vAlign w:val="bottom"/>
            <w:gridSpan w:val="2"/>
          </w:tcPr>
          <w:p>
            <w:pPr>
              <w:jc w:val="right"/>
              <w:ind w:right="187"/>
              <w:spacing w:after="0"/>
              <w:rPr>
                <w:sz w:val="20"/>
                <w:szCs w:val="20"/>
                <w:color w:val="auto"/>
              </w:rPr>
            </w:pPr>
            <w:r>
              <w:rPr>
                <w:rFonts w:ascii="Arial" w:cs="Arial" w:eastAsia="Arial" w:hAnsi="Arial"/>
                <w:sz w:val="13"/>
                <w:szCs w:val="13"/>
                <w:color w:val="auto"/>
              </w:rPr>
              <w:t>$101,269</w:t>
            </w:r>
          </w:p>
        </w:tc>
        <w:tc>
          <w:tcPr>
            <w:tcW w:w="800" w:type="dxa"/>
            <w:vAlign w:val="bottom"/>
          </w:tcPr>
          <w:p>
            <w:pPr>
              <w:spacing w:after="0"/>
              <w:rPr>
                <w:sz w:val="14"/>
                <w:szCs w:val="14"/>
                <w:color w:val="auto"/>
              </w:rPr>
            </w:pPr>
          </w:p>
        </w:tc>
      </w:tr>
      <w:tr>
        <w:trPr>
          <w:trHeight w:val="446"/>
        </w:trPr>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40" w:type="dxa"/>
            <w:vAlign w:val="bottom"/>
          </w:tcPr>
          <w:p>
            <w:pPr>
              <w:jc w:val="right"/>
              <w:ind w:right="115"/>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2"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2"/>
          <w:szCs w:val="12"/>
          <w:color w:val="auto"/>
        </w:rPr>
        <w:t>The following is a discussion and analysis of our financial condition and results of operations for our fiscal years ended April 3, 2011, March 28, 2010, and March 29, 2009. This discussion should be read in conjunction with the Financial Statements and Notes to Financial Statements included in Item 8 of this Annual Report on Form 10-K.</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2"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2"/>
          <w:szCs w:val="12"/>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including our food-grade products. We expect this specialty chemical portion of our business to continue to grow.</w:t>
      </w:r>
    </w:p>
    <w:p>
      <w:pPr>
        <w:spacing w:after="0" w:line="53"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We have continued to invest in growing our business. On January 14, 2011, we completed the acquisition of substantially all of the assets of Vertex Chemical Corporation (“Vertex”), for approximately $27.2 million. In addition to the manufacture of sodium hypochlorite bleaches, Vertex distributes and provides terminal services for bulk liquid inorganic chemicals, and contract and private label packaging for household chemicals. We believe the acquisition strengthens our market position in the Midwest. Vertex had revenues of approximately $39 million in calendar 2010. While Vertex’s margins have historically been somewhat lower than ours, we expect that the acquisition will be accretive to earnings. Operating results of Vertex are included in our consolidated results of operations from the date of acquisition in this Annual Report on Form 10-K as part of our Industrial segment. See Note 2 to the Consolidated Financial Statements for further information.</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fiscal 2009 and fiscal 2010, we invested in two new facilities to expand our ability to service our customers and facilitate growth within our Industrial Group. Our facility in Centralia, Illinois began operations in July 2009 and primarily serves our food-grade products business. We closed our Linden, New Jersey food-grade production facility in September 2009 and transferred these operations to our Centralia facility. Also in fiscal 2009, we built a facility in Minneapolis, Minnesota to handle bulk chemicals sold to pharmaceutical manufacturers. The total capital expenditures on these two facilities were approximately $10.0 million through fiscal 2010 of which approximately $7.5 million occurred during fiscal 2009 and approximately $2.5 million occurred in the first six months of fiscal 2010.</w:t>
      </w:r>
    </w:p>
    <w:p>
      <w:pPr>
        <w:spacing w:after="0" w:line="70"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We opened two new branches for our Water Treatment Group in fiscal 2011 and one new branch in fiscal 2010 and expect to continue to invest in existing and new branches to expand our Water Treatment Group’s geographic coverage. The cost of these branch expansions is not expected to be material. In addition, we have selectively added route sales personnel to certain existing Water Treatment Group branch offices to spur growth within our existing geographic coverage area.</w:t>
      </w:r>
    </w:p>
    <w:p>
      <w:pPr>
        <w:spacing w:after="0" w:line="67" w:lineRule="exact"/>
        <w:rPr>
          <w:sz w:val="20"/>
          <w:szCs w:val="20"/>
          <w:color w:val="auto"/>
        </w:rPr>
      </w:pPr>
    </w:p>
    <w:p>
      <w:pPr>
        <w:ind w:left="680" w:firstLine="399"/>
        <w:spacing w:after="0" w:line="337" w:lineRule="auto"/>
        <w:rPr>
          <w:sz w:val="20"/>
          <w:szCs w:val="20"/>
          <w:color w:val="auto"/>
        </w:rPr>
      </w:pPr>
      <w:r>
        <w:rPr>
          <w:rFonts w:ascii="Arial" w:cs="Arial" w:eastAsia="Arial" w:hAnsi="Arial"/>
          <w:sz w:val="11"/>
          <w:szCs w:val="11"/>
          <w:color w:val="auto"/>
        </w:rPr>
        <w:t>In February 2009, we agreed to sell our inventory and entered into a marketing agreement regarding the business of our Pharmaceutical segment, which provided pharmaceutical chemicals to retail pharmacies and small-scale pharmaceutical manufacturers. The transaction closed in May 2009 and we have no significant obligations to fulfill under the agreement. The results of the Pharmaceutical segment have been reported as discontinued operations in our Consolidated Financial Statements for all periods presented in this Annual Report on Form 10-K.</w:t>
      </w:r>
    </w:p>
    <w:p>
      <w:pPr>
        <w:spacing w:after="0" w:line="3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performance in fiscal 2011 was highlighted by:</w:t>
      </w:r>
    </w:p>
    <w:p>
      <w:pPr>
        <w:spacing w:after="0" w:line="98" w:lineRule="exact"/>
        <w:rPr>
          <w:sz w:val="20"/>
          <w:szCs w:val="20"/>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Sales from continuing operations of $297.6 million, a 15.8% increase from fiscal 2010;</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Gross profit from continuing operations of $61.9 million or 20.8% of sales, a $2.5 million decrease in gross profit dollars from fiscal 2010;</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Net cash provided by operating activities of $28.5 million; and</w:t>
      </w:r>
    </w:p>
    <w:p>
      <w:pPr>
        <w:spacing w:after="0" w:line="87" w:lineRule="exact"/>
        <w:rPr>
          <w:rFonts w:ascii="Arial" w:cs="Arial" w:eastAsia="Arial" w:hAnsi="Arial"/>
          <w:sz w:val="13"/>
          <w:szCs w:val="13"/>
          <w:color w:val="auto"/>
        </w:rPr>
      </w:pPr>
    </w:p>
    <w:p>
      <w:pPr>
        <w:ind w:left="1300" w:right="360" w:hanging="207"/>
        <w:spacing w:after="0" w:line="279" w:lineRule="auto"/>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Cash and cash equivalents and investments available for sale were $37.4 million as of the end of fiscal 2011 after expending $25.5 million related to the Vertex acquisition during fiscal 2011.</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329" w:lineRule="exact"/>
        <w:rPr>
          <w:sz w:val="20"/>
          <w:szCs w:val="20"/>
          <w:color w:val="auto"/>
        </w:rPr>
      </w:pPr>
    </w:p>
    <w:p>
      <w:pPr>
        <w:ind w:left="680" w:right="820" w:firstLine="399"/>
        <w:spacing w:after="0" w:line="281" w:lineRule="auto"/>
        <w:rPr>
          <w:sz w:val="20"/>
          <w:szCs w:val="20"/>
          <w:color w:val="auto"/>
        </w:rPr>
      </w:pPr>
      <w:r>
        <w:rPr>
          <w:rFonts w:ascii="Arial" w:cs="Arial" w:eastAsia="Arial" w:hAnsi="Arial"/>
          <w:sz w:val="12"/>
          <w:szCs w:val="12"/>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 We use the last in, first out (“LIFO”) method of valuing Hawkins’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Our LIFO reserve increased by $3.9 million in fiscal 2011 due to rising costs and higher inventory volumes on hand at year-end maintained to meet customer requirements during an anticipated flood. The increased reserve decreased our reported gross profit for the year. Our LIFO reserve decreased by $12.6 million in fiscal 2010 due to rapidly declining costs. This decrease in the reserve increased our reported gross profit in fiscal 2010. Vertex’s inventory cost, which represents approximately 18% of the consolidated first-in, first-out (“FIFO”) inventory balance at April 3, 2011, is determined using the FIFO method.</w:t>
      </w:r>
    </w:p>
    <w:p>
      <w:pPr>
        <w:spacing w:after="0" w:line="59" w:lineRule="exact"/>
        <w:rPr>
          <w:sz w:val="20"/>
          <w:szCs w:val="20"/>
          <w:color w:val="auto"/>
        </w:rPr>
      </w:pPr>
    </w:p>
    <w:p>
      <w:pPr>
        <w:ind w:left="680" w:right="840" w:firstLine="399"/>
        <w:spacing w:after="0" w:line="287" w:lineRule="auto"/>
        <w:rPr>
          <w:sz w:val="20"/>
          <w:szCs w:val="20"/>
          <w:color w:val="auto"/>
        </w:rPr>
      </w:pPr>
      <w:r>
        <w:rPr>
          <w:rFonts w:ascii="Arial" w:cs="Arial" w:eastAsia="Arial" w:hAnsi="Arial"/>
          <w:sz w:val="12"/>
          <w:szCs w:val="12"/>
          <w:color w:val="auto"/>
        </w:rPr>
        <w:t>Our raw material costs fluctuated dramatically during fiscal 2009 and fiscal 2010. The costs of the majority of our primary raw materials began to increase rapidly and substantially in the first quarter of fiscal 2009 due to high demand and, in some cases, constrained supply. We continued to experience those cost trends through the third quarter of fiscal 2009. The costs for these raw materials leveled off in the fourth quarter of fiscal 2009, before declining significantly during fiscal 2010, with the costs at the end of fiscal 2010 substantially lower than they were in the at the end of fiscal 2009. Our raw material costs have been generally increasing throughout fiscal 2011, although they have been significantly more stable than in fiscal years 2009 and 2010. Current raw material costs are at levels significantly below the peak that occurred during the third and fourth quarters of fiscal 2009.</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certain items from our statement of income as a percentage of sales from period to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240" w:type="dxa"/>
            <w:vAlign w:val="bottom"/>
            <w:gridSpan w:val="2"/>
          </w:tcPr>
          <w:p>
            <w:pPr>
              <w:jc w:val="center"/>
              <w:ind w:right="860"/>
              <w:spacing w:after="0"/>
              <w:rPr>
                <w:sz w:val="20"/>
                <w:szCs w:val="20"/>
                <w:color w:val="auto"/>
              </w:rPr>
            </w:pPr>
            <w:r>
              <w:rPr>
                <w:rFonts w:ascii="Arial" w:cs="Arial" w:eastAsia="Arial" w:hAnsi="Arial"/>
                <w:sz w:val="11"/>
                <w:szCs w:val="11"/>
                <w:b w:val="1"/>
                <w:bCs w:val="1"/>
                <w:color w:val="auto"/>
                <w:w w:val="83"/>
              </w:rPr>
              <w:t>Fiscal</w:t>
            </w:r>
          </w:p>
        </w:tc>
        <w:tc>
          <w:tcPr>
            <w:tcW w:w="1240" w:type="dxa"/>
            <w:vAlign w:val="bottom"/>
            <w:gridSpan w:val="2"/>
          </w:tcPr>
          <w:p>
            <w:pPr>
              <w:jc w:val="center"/>
              <w:ind w:right="860"/>
              <w:spacing w:after="0"/>
              <w:rPr>
                <w:sz w:val="20"/>
                <w:szCs w:val="20"/>
                <w:color w:val="auto"/>
              </w:rPr>
            </w:pPr>
            <w:r>
              <w:rPr>
                <w:rFonts w:ascii="Arial" w:cs="Arial" w:eastAsia="Arial" w:hAnsi="Arial"/>
                <w:sz w:val="11"/>
                <w:szCs w:val="11"/>
                <w:b w:val="1"/>
                <w:bCs w:val="1"/>
                <w:color w:val="auto"/>
                <w:w w:val="83"/>
              </w:rPr>
              <w:t>Fiscal</w:t>
            </w: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Fiscal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420" w:type="dxa"/>
            <w:vAlign w:val="bottom"/>
            <w:gridSpan w:val="2"/>
          </w:tcPr>
          <w:p>
            <w:pPr>
              <w:jc w:val="right"/>
              <w:ind w:right="35"/>
              <w:spacing w:after="0"/>
              <w:rPr>
                <w:sz w:val="20"/>
                <w:szCs w:val="20"/>
                <w:color w:val="auto"/>
              </w:rPr>
            </w:pPr>
            <w:r>
              <w:rPr>
                <w:rFonts w:ascii="Arial" w:cs="Arial" w:eastAsia="Arial" w:hAnsi="Arial"/>
                <w:sz w:val="11"/>
                <w:szCs w:val="11"/>
                <w:b w:val="1"/>
                <w:bCs w:val="1"/>
                <w:color w:val="auto"/>
              </w:rPr>
              <w:t>2011</w:t>
            </w:r>
          </w:p>
        </w:tc>
        <w:tc>
          <w:tcPr>
            <w:tcW w:w="840" w:type="dxa"/>
            <w:vAlign w:val="bottom"/>
          </w:tcPr>
          <w:p>
            <w:pPr>
              <w:spacing w:after="0"/>
              <w:rPr>
                <w:sz w:val="10"/>
                <w:szCs w:val="10"/>
                <w:color w:val="auto"/>
              </w:rPr>
            </w:pPr>
          </w:p>
        </w:tc>
        <w:tc>
          <w:tcPr>
            <w:tcW w:w="400" w:type="dxa"/>
            <w:vAlign w:val="bottom"/>
          </w:tcPr>
          <w:p>
            <w:pPr>
              <w:jc w:val="right"/>
              <w:ind w:right="36"/>
              <w:spacing w:after="0"/>
              <w:rPr>
                <w:sz w:val="20"/>
                <w:szCs w:val="20"/>
                <w:color w:val="auto"/>
              </w:rPr>
            </w:pPr>
            <w:r>
              <w:rPr>
                <w:rFonts w:ascii="Arial" w:cs="Arial" w:eastAsia="Arial" w:hAnsi="Arial"/>
                <w:sz w:val="11"/>
                <w:szCs w:val="11"/>
                <w:b w:val="1"/>
                <w:bCs w:val="1"/>
                <w:color w:val="auto"/>
              </w:rPr>
              <w:t>2010</w:t>
            </w:r>
          </w:p>
        </w:tc>
        <w:tc>
          <w:tcPr>
            <w:tcW w:w="840" w:type="dxa"/>
            <w:vAlign w:val="bottom"/>
          </w:tcPr>
          <w:p>
            <w:pPr>
              <w:spacing w:after="0"/>
              <w:rPr>
                <w:sz w:val="10"/>
                <w:szCs w:val="10"/>
                <w:color w:val="auto"/>
              </w:rPr>
            </w:pPr>
          </w:p>
        </w:tc>
        <w:tc>
          <w:tcPr>
            <w:tcW w:w="380" w:type="dxa"/>
            <w:vAlign w:val="bottom"/>
          </w:tcPr>
          <w:p>
            <w:pPr>
              <w:jc w:val="right"/>
              <w:ind w:right="16"/>
              <w:spacing w:after="0"/>
              <w:rPr>
                <w:sz w:val="20"/>
                <w:szCs w:val="20"/>
                <w:color w:val="auto"/>
              </w:rPr>
            </w:pPr>
            <w:r>
              <w:rPr>
                <w:rFonts w:ascii="Arial" w:cs="Arial" w:eastAsia="Arial" w:hAnsi="Arial"/>
                <w:sz w:val="11"/>
                <w:szCs w:val="11"/>
                <w:b w:val="1"/>
                <w:bCs w:val="1"/>
                <w:color w:val="auto"/>
              </w:rPr>
              <w:t>2009</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4260" w:type="dxa"/>
            <w:vAlign w:val="bottom"/>
            <w:gridSpan w:val="3"/>
            <w:shd w:val="clear" w:color="auto" w:fill="CCEEFF"/>
          </w:tcPr>
          <w:p>
            <w:pPr>
              <w:jc w:val="right"/>
              <w:ind w:right="740"/>
              <w:spacing w:after="0"/>
              <w:rPr>
                <w:sz w:val="20"/>
                <w:szCs w:val="20"/>
                <w:color w:val="auto"/>
              </w:rPr>
            </w:pPr>
            <w:r>
              <w:rPr>
                <w:rFonts w:ascii="Arial" w:cs="Arial" w:eastAsia="Arial" w:hAnsi="Arial"/>
                <w:sz w:val="13"/>
                <w:szCs w:val="13"/>
                <w:color w:val="auto"/>
              </w:rPr>
              <w:t>100.0%</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100.0%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Cost of sales</w:t>
            </w:r>
          </w:p>
        </w:tc>
        <w:tc>
          <w:tcPr>
            <w:tcW w:w="302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(79.2)%</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(74.9)%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30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20.8%</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25.1%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302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(10.1)%</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(10.0)%</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30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10.7%</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15.1%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Investment income</w:t>
            </w:r>
          </w:p>
        </w:tc>
        <w:tc>
          <w:tcPr>
            <w:tcW w:w="3020" w:type="dxa"/>
            <w:vAlign w:val="bottom"/>
          </w:tcPr>
          <w:p>
            <w:pPr>
              <w:spacing w:after="0"/>
              <w:rPr>
                <w:sz w:val="13"/>
                <w:szCs w:val="13"/>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3"/>
                <w:szCs w:val="13"/>
                <w:color w:val="auto"/>
              </w:rPr>
              <w:t>0.1%</w:t>
            </w:r>
          </w:p>
        </w:tc>
        <w:tc>
          <w:tcPr>
            <w:tcW w:w="1240" w:type="dxa"/>
            <w:vAlign w:val="bottom"/>
            <w:gridSpan w:val="2"/>
          </w:tcPr>
          <w:p>
            <w:pPr>
              <w:jc w:val="right"/>
              <w:ind w:right="740"/>
              <w:spacing w:after="0"/>
              <w:rPr>
                <w:sz w:val="20"/>
                <w:szCs w:val="20"/>
                <w:color w:val="auto"/>
              </w:rPr>
            </w:pPr>
            <w:r>
              <w:rPr>
                <w:rFonts w:ascii="Arial" w:cs="Arial" w:eastAsia="Arial" w:hAnsi="Arial"/>
                <w:sz w:val="13"/>
                <w:szCs w:val="13"/>
                <w:color w:val="auto"/>
              </w:rPr>
              <w:t>0.1%</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 before income taxes</w:t>
            </w:r>
          </w:p>
        </w:tc>
        <w:tc>
          <w:tcPr>
            <w:tcW w:w="30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10.8%</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15.2%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302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(4.0)%</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(6.1)%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30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6.8%</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9.1%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Income from discontinued operations, net of tax</w:t>
            </w:r>
          </w:p>
        </w:tc>
        <w:tc>
          <w:tcPr>
            <w:tcW w:w="3020" w:type="dxa"/>
            <w:vAlign w:val="bottom"/>
          </w:tcPr>
          <w:p>
            <w:pPr>
              <w:spacing w:after="0"/>
              <w:rPr>
                <w:sz w:val="13"/>
                <w:szCs w:val="13"/>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3"/>
                <w:szCs w:val="13"/>
                <w:color w:val="auto"/>
              </w:rPr>
              <w:t>0.0%</w:t>
            </w:r>
          </w:p>
        </w:tc>
        <w:tc>
          <w:tcPr>
            <w:tcW w:w="1240" w:type="dxa"/>
            <w:vAlign w:val="bottom"/>
            <w:gridSpan w:val="2"/>
          </w:tcPr>
          <w:p>
            <w:pPr>
              <w:jc w:val="right"/>
              <w:ind w:right="740"/>
              <w:spacing w:after="0"/>
              <w:rPr>
                <w:sz w:val="20"/>
                <w:szCs w:val="20"/>
                <w:color w:val="auto"/>
              </w:rPr>
            </w:pPr>
            <w:r>
              <w:rPr>
                <w:rFonts w:ascii="Arial" w:cs="Arial" w:eastAsia="Arial" w:hAnsi="Arial"/>
                <w:sz w:val="13"/>
                <w:szCs w:val="13"/>
                <w:color w:val="auto"/>
              </w:rPr>
              <w:t>0.1%</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vMerge w:val="continue"/>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0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6.8%</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9.2%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20" w:type="dxa"/>
            <w:vAlign w:val="bottom"/>
          </w:tcPr>
          <w:p>
            <w:pPr>
              <w:jc w:val="right"/>
              <w:ind w:right="1838"/>
              <w:spacing w:after="0"/>
              <w:rPr>
                <w:sz w:val="20"/>
                <w:szCs w:val="20"/>
                <w:color w:val="auto"/>
              </w:rPr>
            </w:pPr>
            <w:r>
              <w:rPr>
                <w:rFonts w:ascii="Arial" w:cs="Arial" w:eastAsia="Arial" w:hAnsi="Arial"/>
                <w:sz w:val="13"/>
                <w:szCs w:val="13"/>
                <w:color w:val="auto"/>
              </w:rPr>
              <w:t>15</w:t>
            </w:r>
          </w:p>
        </w:tc>
        <w:tc>
          <w:tcPr>
            <w:tcW w:w="40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920" w:type="dxa"/>
            <w:vAlign w:val="bottom"/>
            <w:tcBorders>
              <w:bottom w:val="single" w:sz="8" w:color="808080"/>
            </w:tcBorders>
          </w:tcPr>
          <w:p>
            <w:pPr>
              <w:spacing w:after="0"/>
              <w:rPr>
                <w:sz w:val="14"/>
                <w:szCs w:val="14"/>
                <w:color w:val="auto"/>
              </w:rPr>
            </w:pPr>
          </w:p>
        </w:tc>
        <w:tc>
          <w:tcPr>
            <w:tcW w:w="30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2011 Compared to Fiscal 2010</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Sales</w:t>
      </w:r>
    </w:p>
    <w:p>
      <w:pPr>
        <w:spacing w:after="0" w:line="98"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Sales increased $40.5 million, or 15.8%, to $297.6 million for fiscal 2011, as compared to sales of $257.1 million for fiscal 2010. The sales increase was primarily driven by higher sales of manufactured and specialty chemical products and somewhat higher selling prices for bulk chemicals due to increasing commodity chemical costs. Sales of these bulk products were approximately 20% of sales compared to approximately 19% in the previous year. Additionally, the acquisition of Vertex, which closed in the fourth quarter of fiscal 2011, contributed $9.2 million in revenue.</w:t>
      </w:r>
    </w:p>
    <w:p>
      <w:pPr>
        <w:spacing w:after="0" w:line="69"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i w:val="1"/>
          <w:iCs w:val="1"/>
          <w:color w:val="auto"/>
        </w:rPr>
        <w:t xml:space="preserve">Industrial Segment. </w:t>
      </w:r>
      <w:r>
        <w:rPr>
          <w:rFonts w:ascii="Arial" w:cs="Arial" w:eastAsia="Arial" w:hAnsi="Arial"/>
          <w:sz w:val="13"/>
          <w:szCs w:val="13"/>
          <w:color w:val="auto"/>
        </w:rPr>
        <w:t>Industrial segment sales increased $33.8 million, or 19.3%, to $208.7 million for fiscal 2011. The sales increase was primarily attributable to higher sales of</w:t>
      </w:r>
      <w:r>
        <w:rPr>
          <w:rFonts w:ascii="Arial" w:cs="Arial" w:eastAsia="Arial" w:hAnsi="Arial"/>
          <w:sz w:val="13"/>
          <w:szCs w:val="13"/>
          <w:i w:val="1"/>
          <w:iCs w:val="1"/>
          <w:color w:val="auto"/>
        </w:rPr>
        <w:t xml:space="preserve"> </w:t>
      </w:r>
      <w:r>
        <w:rPr>
          <w:rFonts w:ascii="Arial" w:cs="Arial" w:eastAsia="Arial" w:hAnsi="Arial"/>
          <w:sz w:val="13"/>
          <w:szCs w:val="13"/>
          <w:color w:val="auto"/>
        </w:rPr>
        <w:t>manufactured and specialty chemical products and somewhat higher selling prices for commodity bulk chemicals due to increased commodity chemical costs. In addition, Vertex revenues of $9.2 million are included in fiscal 2011 Industrial segment sales.</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i w:val="1"/>
          <w:iCs w:val="1"/>
          <w:color w:val="auto"/>
        </w:rPr>
        <w:t xml:space="preserve">Water Treatment Segment. </w:t>
      </w:r>
      <w:r>
        <w:rPr>
          <w:rFonts w:ascii="Arial" w:cs="Arial" w:eastAsia="Arial" w:hAnsi="Arial"/>
          <w:sz w:val="13"/>
          <w:szCs w:val="13"/>
          <w:color w:val="auto"/>
        </w:rPr>
        <w:t>Water Treatment segment sales increased $6.7 million, or 8.2%, to $88.9 million for fiscal 2011. The sales increase was primarily attributable to increased</w:t>
      </w:r>
      <w:r>
        <w:rPr>
          <w:rFonts w:ascii="Arial" w:cs="Arial" w:eastAsia="Arial" w:hAnsi="Arial"/>
          <w:sz w:val="13"/>
          <w:szCs w:val="13"/>
          <w:i w:val="1"/>
          <w:iCs w:val="1"/>
          <w:color w:val="auto"/>
        </w:rPr>
        <w:t xml:space="preserve"> </w:t>
      </w:r>
      <w:r>
        <w:rPr>
          <w:rFonts w:ascii="Arial" w:cs="Arial" w:eastAsia="Arial" w:hAnsi="Arial"/>
          <w:sz w:val="13"/>
          <w:szCs w:val="13"/>
          <w:color w:val="auto"/>
        </w:rPr>
        <w:t>sales of manufactured and specialty chemical products.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Gross Profit</w:t>
      </w:r>
    </w:p>
    <w:p>
      <w:pPr>
        <w:spacing w:after="0" w:line="9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Gross profit was $61.9 million, or 20.8% of sales, for fiscal 2011, as compared to $64.4 million, or 25.1% of sales, for fiscal 2010. The LIFO method of valuing inventory negatively impacted gross profit by $3.9 million for fiscal 2011 due to increased raw material costs and higher volumes of inventory at year end maintained to meet customer requirements during an anticipated flood. In the prior year, LIFO positively impacted gross profit by $12.6 million due to decreases in certain raw material costs during that period.</w:t>
      </w:r>
    </w:p>
    <w:p>
      <w:pPr>
        <w:spacing w:after="0" w:line="48"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Industrial Segment. </w:t>
      </w:r>
      <w:r>
        <w:rPr>
          <w:rFonts w:ascii="Arial" w:cs="Arial" w:eastAsia="Arial" w:hAnsi="Arial"/>
          <w:sz w:val="13"/>
          <w:szCs w:val="13"/>
          <w:color w:val="auto"/>
        </w:rPr>
        <w:t>Gross profit for the Industrial segment was $36.9 million, or 17.7% of sales, for fiscal 2011, as compared to $37.3 million, or 21.3% of sales, for fiscal 2010.</w:t>
      </w:r>
      <w:r>
        <w:rPr>
          <w:rFonts w:ascii="Arial" w:cs="Arial" w:eastAsia="Arial" w:hAnsi="Arial"/>
          <w:sz w:val="13"/>
          <w:szCs w:val="13"/>
          <w:i w:val="1"/>
          <w:iCs w:val="1"/>
          <w:color w:val="auto"/>
        </w:rPr>
        <w:t xml:space="preserve"> </w:t>
      </w:r>
      <w:r>
        <w:rPr>
          <w:rFonts w:ascii="Arial" w:cs="Arial" w:eastAsia="Arial" w:hAnsi="Arial"/>
          <w:sz w:val="13"/>
          <w:szCs w:val="13"/>
          <w:color w:val="auto"/>
        </w:rPr>
        <w:t>Competitive pricing pressures and increased operational overhead costs contributed to the lower gross profit levels in the Industrial segment. This group incurred $0.3 million of overhead costs associated with flood control efforts in the fourth quarter of fiscal 2011. These reductions in gross profit were partially offset by higher sales of higher margin manufactured and specialty chemical products. The LIFO method of valuing inventory negatively impacted gross profit in this segment by $2.9 million in fiscal 2011, as compared to positively impacting gross profit by $10.2 million in fiscal 2010.</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Water Treatment Segment. </w:t>
      </w:r>
      <w:r>
        <w:rPr>
          <w:rFonts w:ascii="Arial" w:cs="Arial" w:eastAsia="Arial" w:hAnsi="Arial"/>
          <w:sz w:val="13"/>
          <w:szCs w:val="13"/>
          <w:color w:val="auto"/>
        </w:rPr>
        <w:t>Gross profit for the Water Treatment segment was $25.0 million, or 28.1% of sales, for fiscal 2011, as compared to $27.2 million, or 33.0% of sales, for</w:t>
      </w:r>
      <w:r>
        <w:rPr>
          <w:rFonts w:ascii="Arial" w:cs="Arial" w:eastAsia="Arial" w:hAnsi="Arial"/>
          <w:sz w:val="13"/>
          <w:szCs w:val="13"/>
          <w:i w:val="1"/>
          <w:iCs w:val="1"/>
          <w:color w:val="auto"/>
        </w:rPr>
        <w:t xml:space="preserve"> </w:t>
      </w:r>
      <w:r>
        <w:rPr>
          <w:rFonts w:ascii="Arial" w:cs="Arial" w:eastAsia="Arial" w:hAnsi="Arial"/>
          <w:sz w:val="13"/>
          <w:szCs w:val="13"/>
          <w:color w:val="auto"/>
        </w:rPr>
        <w:t>fiscal 2010. The decrease in gross profit dollars was primarily due to competitive pricing pressures and increased operational overhead costs, partially offset by increased sales. Additionally, the LIFO method of valuing inventory negatively impacted gross profit in this segment by $1.1 million in fiscal 2011, as compared to positively impacting gross profit by $2.4 million in fiscal 2010.</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98"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2"/>
          <w:szCs w:val="12"/>
          <w:color w:val="auto"/>
        </w:rPr>
        <w:t>Selling, general and administrative (“SG&amp;A”) expenses increased $4.3 million to $29.9 million, or 10.1% of sales, for fiscal 2011, as compared to $25.6 million, or 10.0% of sales, for fiscal 2010. We incurred approximately $1.0 million in additional expense as a result of the death of John Hawkins, our former Chief Executive Officer, through the accelerated vesting of his previously granted performance-based restricted stock units and stock options, as well as his retention bonus agreement. Other items driving the increased expenses include acquisition costs of approximately $0.7 million relating to the Vertex acquisition in addition to higher equity incentive plan costs and litigation defense costs.</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Income</w:t>
      </w:r>
    </w:p>
    <w:p>
      <w:pPr>
        <w:spacing w:after="0" w:line="98"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Operating income was $32.0 million, or 10.7% of sales, for fiscal 2011, as compared to $38.8 million, or 15.1% of sales, for fiscal 2010. The decrease in operating income was the result of reduced gross profits and increased SG&amp;A expenses. Both reporting segments saw a decline in their gross profit dollars due to competitive pricing pressures and higher operational overhead costs. Both segments were also negatively impacted by the LIFO method of valuing inventory in fiscal 2011.</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Investment Income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Investment income was $0.3 million for fiscal 2011 and fiscal 2010.</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Provision for Income Taxes</w:t>
      </w:r>
    </w:p>
    <w:p>
      <w:pPr>
        <w:spacing w:after="0" w:line="98"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Our effective income tax rate was 37.1% for fiscal 2011 compared to 39.3% for fiscal 2010. The lower effective tax rate for fiscal 2011 was primarily due to increased permanent tax differences, lower taxable income levels and somewhat lower effective state tax rates.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2010 Compared to Fiscal 2009</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Sales</w:t>
      </w:r>
    </w:p>
    <w:p>
      <w:pPr>
        <w:spacing w:after="0" w:line="98"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Sales decreased $27.3 million, or 9.6%, to $257.1 million for fiscal 2010, as compared to sales of $284.4 million for fiscal 2009. The sales decrease was primarily driven by lower selling prices for commodity bulk chemicals, including caustic soda, due to lower commodity chemical costs in fiscal 2010 as compared to the prior year. Sales of these products were approximately 19% of sales compared to approximately 29% in the previous year. The decline in bulk chemical sales was partially offset by higher sales of our manufactured and specialty chemical products.</w:t>
      </w:r>
    </w:p>
    <w:p>
      <w:pPr>
        <w:spacing w:after="0" w:line="69" w:lineRule="exact"/>
        <w:rPr>
          <w:sz w:val="20"/>
          <w:szCs w:val="20"/>
          <w:color w:val="auto"/>
        </w:rPr>
      </w:pPr>
    </w:p>
    <w:p>
      <w:pPr>
        <w:ind w:left="680" w:right="280" w:firstLine="399"/>
        <w:spacing w:after="0" w:line="266" w:lineRule="auto"/>
        <w:rPr>
          <w:sz w:val="20"/>
          <w:szCs w:val="20"/>
          <w:color w:val="auto"/>
        </w:rPr>
      </w:pPr>
      <w:r>
        <w:rPr>
          <w:rFonts w:ascii="Arial" w:cs="Arial" w:eastAsia="Arial" w:hAnsi="Arial"/>
          <w:sz w:val="13"/>
          <w:szCs w:val="13"/>
          <w:i w:val="1"/>
          <w:iCs w:val="1"/>
          <w:color w:val="auto"/>
        </w:rPr>
        <w:t xml:space="preserve">Industrial Segment. </w:t>
      </w:r>
      <w:r>
        <w:rPr>
          <w:rFonts w:ascii="Arial" w:cs="Arial" w:eastAsia="Arial" w:hAnsi="Arial"/>
          <w:sz w:val="13"/>
          <w:szCs w:val="13"/>
          <w:color w:val="auto"/>
        </w:rPr>
        <w:t>Industrial segment sales decreased $26.7 million, or 13.2%, to $174.9 million for fiscal 2010. The sales decrease was primarily attributable to lower selling</w:t>
      </w:r>
      <w:r>
        <w:rPr>
          <w:rFonts w:ascii="Arial" w:cs="Arial" w:eastAsia="Arial" w:hAnsi="Arial"/>
          <w:sz w:val="13"/>
          <w:szCs w:val="13"/>
          <w:i w:val="1"/>
          <w:iCs w:val="1"/>
          <w:color w:val="auto"/>
        </w:rPr>
        <w:t xml:space="preserve"> </w:t>
      </w:r>
      <w:r>
        <w:rPr>
          <w:rFonts w:ascii="Arial" w:cs="Arial" w:eastAsia="Arial" w:hAnsi="Arial"/>
          <w:sz w:val="13"/>
          <w:szCs w:val="13"/>
          <w:color w:val="auto"/>
        </w:rPr>
        <w:t>prices for commodity bulk chemicals due to lower commodity chemical costs in fiscal 2010 compared to the prior year. This was partially offset by higher sales of manufactured and specialty chemical products.</w:t>
      </w:r>
    </w:p>
    <w:p>
      <w:pPr>
        <w:spacing w:after="0" w:line="67"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2"/>
          <w:szCs w:val="12"/>
          <w:i w:val="1"/>
          <w:iCs w:val="1"/>
          <w:color w:val="auto"/>
        </w:rPr>
        <w:t xml:space="preserve">Water Treatment Segment. </w:t>
      </w:r>
      <w:r>
        <w:rPr>
          <w:rFonts w:ascii="Arial" w:cs="Arial" w:eastAsia="Arial" w:hAnsi="Arial"/>
          <w:sz w:val="12"/>
          <w:szCs w:val="12"/>
          <w:color w:val="auto"/>
        </w:rPr>
        <w:t>Water Treatment segment sales decreased $0.6 million, or 0.7%, to $82.2 million for fiscal 2010. Increased sales of manufactured and specialty chemical</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were offset by decreases in selling prices for commodity chemicals due to lower commodity chemical costs in fiscal 2010 compared to the prior year.</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Gross Profit</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Gross profit was $64.4 million, or 25.1% of sales, for fiscal 2010, as compared to $62.4 million, or 22.0% of sales, for fiscal 2009. The LIFO method of valuing inventory increased gross profit by $12.6 million for fiscal 2010 due to decreases in certain raw material costs, whereas LIFO decreased gross profit by $10.0 million in the prior year due to increases in certain raw material costs during that period. The increase in gross profit as a percentage of sales was primarily driven by our ability to maintain relatively stable margin dollars on lower selling prices compared to the prior year, in addition to an increase in sales of higher margin manufactured and specialty chemical products and the LIFO reserve adjustments.</w:t>
      </w:r>
    </w:p>
    <w:p>
      <w:pPr>
        <w:spacing w:after="0" w:line="53"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Industrial Segment. </w:t>
      </w:r>
      <w:r>
        <w:rPr>
          <w:rFonts w:ascii="Arial" w:cs="Arial" w:eastAsia="Arial" w:hAnsi="Arial"/>
          <w:sz w:val="12"/>
          <w:szCs w:val="12"/>
          <w:color w:val="auto"/>
        </w:rPr>
        <w:t>Gross profit for the Industrial segment was $37.3 million, or 21.3% of sales, for fiscal 2010, as compared to $41.5 million, or 20.6% of sales, for fiscal 2009. In</w:t>
      </w:r>
      <w:r>
        <w:rPr>
          <w:rFonts w:ascii="Arial" w:cs="Arial" w:eastAsia="Arial" w:hAnsi="Arial"/>
          <w:sz w:val="12"/>
          <w:szCs w:val="12"/>
          <w:i w:val="1"/>
          <w:iCs w:val="1"/>
          <w:color w:val="auto"/>
        </w:rPr>
        <w:t xml:space="preserve"> </w:t>
      </w:r>
      <w:r>
        <w:rPr>
          <w:rFonts w:ascii="Arial" w:cs="Arial" w:eastAsia="Arial" w:hAnsi="Arial"/>
          <w:sz w:val="12"/>
          <w:szCs w:val="12"/>
          <w:color w:val="auto"/>
        </w:rPr>
        <w:t>fiscal 2009, the gross profit dollars were significantly higher than historical levels due to the sale of lower-cost inventory on hand during that period of rapidly escalating commodity chemical prices as well as an increase in profits realized on certain products where we had inventory available to meet escalated demand during a period of constrained supply. By contrast, in fiscal 2010, market conditions returned to levels more in line with our historical experience and, as a result, our gross profit dollars were lower for that period. Increased operational overhead costs, primarily related to the two new facilities, also contributed to the lower gross profit levels in the Industrial segment. The reductions were partially offset by higher profits realized from the sale of manufactured and specialty chemical products. The increase in gross profit margin as a percent of sales was primarily driven by our ability to maintain relatively stable margin dollars on lower selling prices compared to the prior year. The LIFO method of valuing inventory positively impacted gross profit in this segment by $10.2 million in fiscal 2010, as compared to negatively impacting gross profit by $6.9 million in fiscal 2009.</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i w:val="1"/>
          <w:iCs w:val="1"/>
          <w:color w:val="auto"/>
        </w:rPr>
        <w:t xml:space="preserve">Water Treatment Segment. </w:t>
      </w:r>
      <w:r>
        <w:rPr>
          <w:rFonts w:ascii="Arial" w:cs="Arial" w:eastAsia="Arial" w:hAnsi="Arial"/>
          <w:sz w:val="12"/>
          <w:szCs w:val="12"/>
          <w:color w:val="auto"/>
        </w:rPr>
        <w:t>Gross profit for the Water Treatment segment was $27.2 million, or 33.0% of sales, for fiscal 2010, as compared to $21.0 million, or 25.3% of sales, for</w:t>
      </w:r>
      <w:r>
        <w:rPr>
          <w:rFonts w:ascii="Arial" w:cs="Arial" w:eastAsia="Arial" w:hAnsi="Arial"/>
          <w:sz w:val="12"/>
          <w:szCs w:val="12"/>
          <w:i w:val="1"/>
          <w:iCs w:val="1"/>
          <w:color w:val="auto"/>
        </w:rPr>
        <w:t xml:space="preserve"> </w:t>
      </w:r>
      <w:r>
        <w:rPr>
          <w:rFonts w:ascii="Arial" w:cs="Arial" w:eastAsia="Arial" w:hAnsi="Arial"/>
          <w:sz w:val="12"/>
          <w:szCs w:val="12"/>
          <w:color w:val="auto"/>
        </w:rPr>
        <w:t>fiscal 2009. The higher gross profit dollars were primarily driven by a favorable product mix change as sales of higher-margin manufactured and specialty chemical products increased, and we experienced favorable weather conditions in the first quarter of fiscal 2010 as compare to the first quarter of fiscal 2009. The increase in gross profit margin as a percent of sales was primarily driven by our ability to maintain relatively stable margin dollars on lower selling prices compared to the prior year. Additionally, the LIFO method of valuing inventory positively impacted gross profit in this segment by $2.4 million in fiscal 2010, as compared to negatively impacting gross profit by $3.1 million in fiscal 2009.</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98" w:lineRule="exact"/>
        <w:rPr>
          <w:sz w:val="20"/>
          <w:szCs w:val="20"/>
          <w:color w:val="auto"/>
        </w:rPr>
      </w:pPr>
    </w:p>
    <w:p>
      <w:pPr>
        <w:ind w:left="680" w:right="320" w:firstLine="399"/>
        <w:spacing w:after="0" w:line="266" w:lineRule="auto"/>
        <w:rPr>
          <w:sz w:val="20"/>
          <w:szCs w:val="20"/>
          <w:color w:val="auto"/>
        </w:rPr>
      </w:pPr>
      <w:r>
        <w:rPr>
          <w:rFonts w:ascii="Arial" w:cs="Arial" w:eastAsia="Arial" w:hAnsi="Arial"/>
          <w:sz w:val="13"/>
          <w:szCs w:val="13"/>
          <w:color w:val="auto"/>
        </w:rPr>
        <w:t>SG&amp;A expenses were $25.6 million, or 10.0% of sales, for fiscal 2010, as compared to $25.1 million, or 8.8% of sales, for fiscal 2009. The increase in SG&amp;A expenses was primarily the result of higher equity incentive plan, variable pay plan and medical insurance costs partially offset by lower bad debt expense. The increase as a percentage of sales was primarily the result of the decrease in sales from fiscal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Income</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Operating income was $38.8 million, or 15.1% of sales, for fiscal 2010, as compared to $37.3 million, or 13.1% of sales, for fiscal 2009. A $6.1 million increase in operating income for the Water Treatment segment, which was driven by higher sales volumes for manufactured and specialty chemical products, was partially offset by a $4.6 million decrease in operating income for the Industrial segment. Both segments benefited from the LIFO method of valuing inventory in fiscal 2010.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Investment Income</w:t>
      </w:r>
    </w:p>
    <w:p>
      <w:pPr>
        <w:spacing w:after="0" w:line="98"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color w:val="auto"/>
        </w:rPr>
        <w:t>Investment income was $0.3 million for fiscal 2010 and fiscal 2009. Investment income remained flat year-over-year primarily due to lower yields on investments as compared to the prior year.</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Provision for Income Taxes</w:t>
      </w:r>
    </w:p>
    <w:p>
      <w:pPr>
        <w:spacing w:after="0" w:line="98"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3"/>
          <w:szCs w:val="13"/>
          <w:color w:val="auto"/>
        </w:rPr>
        <w:t>Our effective income tax rate was 39.3% for fiscal 2010 compared to 37.8% for fiscal 2009. The higher effective tax rate for fiscal 2010 was primarily due to decreased permanent tax differences that served to reduce the effective tax rate in fiscal 2009.</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98"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Cash provided by operations in fiscal 2011 was $28.5 million compared to $38.8 million in fiscal 2010 and $24.4 million in fiscal 2009. The decrease in cash provided by operating activities in fiscal 2011 from fiscal 2010 was primarily due to a decrease in net income, fluctuations in working capital balances and lower deferred tax liabilities. Higher working capital balances used $0.4 million in cash in fiscal 2011 whereas lower working capital balances provided $0.8 million in cash in fiscal 2010. The net increase in working capital balances in fiscal 2011 was primarily due to increasing commodity chemical costs and the resulting increase in selling prices, which resulted in an increase in trade receivables and inventories partially offset by an increase in accounts payable and income tax payable balance due to the timing of tax payments. The increase in cash provided by operating activities in fiscal 2010 from fiscal 2009 was primarily due to the fluctuations in working capital balances and increased deferred tax liabilities in fiscal 2010. Due to the nature of our operations, which includes purchases of large quantities of bulk chemicals, the timing of purchases can result in significant changes in working capital investment and the resulting operating cash flow. Historically, our cash requirements for working capital increase during the period from April through November as caustic soda inventory levels increase as the majority of barges are received during this period.</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jc w:val="both"/>
        <w:ind w:left="680" w:right="280" w:firstLine="399"/>
        <w:spacing w:after="0" w:line="266" w:lineRule="auto"/>
        <w:rPr>
          <w:sz w:val="20"/>
          <w:szCs w:val="20"/>
          <w:color w:val="auto"/>
        </w:rPr>
      </w:pPr>
      <w:r>
        <w:rPr>
          <w:rFonts w:ascii="Arial" w:cs="Arial" w:eastAsia="Arial" w:hAnsi="Arial"/>
          <w:sz w:val="13"/>
          <w:szCs w:val="13"/>
          <w:color w:val="auto"/>
        </w:rPr>
        <w:t>Cash and investments available-for-sale of $37.4 million at April 3, 2011 decreased by $16.3 million as compared with March 28, 2010, due to the acquisition of Vertex, capital expenditures and dividend payments, which were partially offset by cash generated from operations. Investments available-for-sale as of April 3, 2011 and March 28, 2010 consisted of certificates of deposit with maturities ranging from three months to two years.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9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Capital expenditures were $12.4 million in fiscal 2011, $8.3 million in fiscal 2010 and $14.2 million in fiscal 2009. The total capital expenditures in fiscal 2011 for new facilities were approximately $1.6 million compared to $2.5 million and $7.5 million in fiscal 2010 and 2009, respectively. Additional significant capital expenditures during fiscal 2011 consisted of approximately $3.8 million for business expansion and process improvement projects, $3.2 million for other facility improvements and new cylinders, $2.9 million for regulatory and safety improvements and $0.9 million for new and replacement route sales trucks for the Water Treatment segment. We expect that recurring capital expenditures for storage, facilities improvements, returnable containers, and route sales trucks in fiscal 2012 will be comparable with the fiscal 2011 spend rate, although we are projecting higher capital spending for business expansion and project improvement processes in fiscal 2012, with total capital spending in fiscal 2012 currently projected to be approximately $20 million. We expect our cash flows from operations will be sufficient to fund our capital expenditures in fiscal 2012.</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Dividends</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During the second quarter of fiscal 2011, our Board of Directors increased our semi-annual cash dividend by 7.1% to $0.30 per share from $0.28 per share. In addition, due to the Company’s strong cash position driven by its financial performance in fiscal 2010, the Board of Directors authorized a special dividend of $0.10 per share to be paid concurrently with the semi-annual regular dividend in October 2010. We first started paying cash dividends in 1985 and have continued to do so since. Future dividend levels will be dependent upon our results of operations, financial position, cash flows and other factors, and will be evaluated by our Board of Directors.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have any off-balance sheet arrangements.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 and Commercial Commitments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aggregate information about our contractual payment obligations and the periods in which payments are due:</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center"/>
              <w:ind w:left="21"/>
              <w:spacing w:after="0"/>
              <w:rPr>
                <w:sz w:val="20"/>
                <w:szCs w:val="20"/>
                <w:color w:val="auto"/>
              </w:rPr>
            </w:pPr>
            <w:r>
              <w:rPr>
                <w:rFonts w:ascii="Arial" w:cs="Arial" w:eastAsia="Arial" w:hAnsi="Arial"/>
                <w:sz w:val="11"/>
                <w:szCs w:val="11"/>
                <w:b w:val="1"/>
                <w:bCs w:val="1"/>
                <w:color w:val="auto"/>
                <w:w w:val="85"/>
              </w:rPr>
              <w:t>Payments Due by Period</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2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ontractual Obligation</w:t>
            </w: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gridSpan w:val="2"/>
          </w:tcPr>
          <w:p>
            <w:pPr>
              <w:jc w:val="center"/>
              <w:spacing w:after="0" w:line="92" w:lineRule="exact"/>
              <w:rPr>
                <w:sz w:val="20"/>
                <w:szCs w:val="20"/>
                <w:color w:val="auto"/>
              </w:rPr>
            </w:pPr>
            <w:r>
              <w:rPr>
                <w:rFonts w:ascii="Arial" w:cs="Arial" w:eastAsia="Arial" w:hAnsi="Arial"/>
                <w:sz w:val="9"/>
                <w:szCs w:val="9"/>
                <w:b w:val="1"/>
                <w:bCs w:val="1"/>
                <w:color w:val="auto"/>
              </w:rPr>
              <w:t>More than</w:t>
            </w: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24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7"/>
              </w:rPr>
              <w:t>2012</w:t>
            </w:r>
          </w:p>
        </w:tc>
        <w:tc>
          <w:tcPr>
            <w:tcW w:w="400" w:type="dxa"/>
            <w:vAlign w:val="bottom"/>
          </w:tcPr>
          <w:p>
            <w:pPr>
              <w:spacing w:after="0"/>
              <w:rPr>
                <w:sz w:val="10"/>
                <w:szCs w:val="10"/>
                <w:color w:val="auto"/>
              </w:rPr>
            </w:pPr>
          </w:p>
        </w:tc>
        <w:tc>
          <w:tcPr>
            <w:tcW w:w="3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89"/>
              </w:rPr>
              <w:t>2013</w:t>
            </w:r>
          </w:p>
        </w:tc>
        <w:tc>
          <w:tcPr>
            <w:tcW w:w="38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2014</w:t>
            </w:r>
          </w:p>
        </w:tc>
        <w:tc>
          <w:tcPr>
            <w:tcW w:w="40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2015</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2016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81"/>
              </w:rPr>
              <w:t>5 Years</w:t>
            </w:r>
          </w:p>
        </w:tc>
        <w:tc>
          <w:tcPr>
            <w:tcW w:w="400" w:type="dxa"/>
            <w:vAlign w:val="bottom"/>
          </w:tcPr>
          <w:p>
            <w:pPr>
              <w:spacing w:after="0"/>
              <w:rPr>
                <w:sz w:val="10"/>
                <w:szCs w:val="10"/>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7"/>
              </w:rPr>
              <w:t>(In thousands)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2100" w:type="dxa"/>
            <w:vAlign w:val="bottom"/>
            <w:gridSpan w:val="2"/>
          </w:tcPr>
          <w:p>
            <w:pPr>
              <w:jc w:val="right"/>
              <w:spacing w:after="0"/>
              <w:rPr>
                <w:sz w:val="20"/>
                <w:szCs w:val="20"/>
                <w:color w:val="auto"/>
              </w:rPr>
            </w:pPr>
            <w:r>
              <w:rPr>
                <w:rFonts w:ascii="Arial" w:cs="Arial" w:eastAsia="Arial" w:hAnsi="Arial"/>
                <w:sz w:val="13"/>
                <w:szCs w:val="13"/>
                <w:color w:val="auto"/>
              </w:rPr>
              <w:t>$ 669</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$ 668</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$ 682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$ 670</w:t>
            </w:r>
          </w:p>
        </w:tc>
        <w:tc>
          <w:tcPr>
            <w:tcW w:w="38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w w:val="85"/>
              </w:rPr>
              <w:t>$ 622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3,739</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$ 7,050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Policies</w:t>
      </w:r>
    </w:p>
    <w:p>
      <w:pPr>
        <w:spacing w:after="0" w:line="98" w:lineRule="exact"/>
        <w:rPr>
          <w:sz w:val="20"/>
          <w:szCs w:val="20"/>
          <w:color w:val="auto"/>
        </w:rPr>
      </w:pPr>
    </w:p>
    <w:p>
      <w:pPr>
        <w:ind w:left="680" w:right="100" w:firstLine="399"/>
        <w:spacing w:after="0" w:line="324" w:lineRule="auto"/>
        <w:rPr>
          <w:sz w:val="20"/>
          <w:szCs w:val="20"/>
          <w:color w:val="auto"/>
        </w:rPr>
      </w:pPr>
      <w:r>
        <w:rPr>
          <w:rFonts w:ascii="Arial" w:cs="Arial" w:eastAsia="Arial" w:hAnsi="Arial"/>
          <w:sz w:val="11"/>
          <w:szCs w:val="11"/>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 We recognize revenue when there is evidence that the customer has agreed to purchase the product, the price and terms of the sale are fixed, the product has</w:t>
      </w:r>
      <w:r>
        <w:rPr>
          <w:rFonts w:ascii="Arial" w:cs="Arial" w:eastAsia="Arial" w:hAnsi="Arial"/>
          <w:sz w:val="13"/>
          <w:szCs w:val="13"/>
          <w:i w:val="1"/>
          <w:iCs w:val="1"/>
          <w:color w:val="auto"/>
        </w:rPr>
        <w:t xml:space="preserve"> </w:t>
      </w:r>
      <w:r>
        <w:rPr>
          <w:rFonts w:ascii="Arial" w:cs="Arial" w:eastAsia="Arial" w:hAnsi="Arial"/>
          <w:sz w:val="13"/>
          <w:szCs w:val="13"/>
          <w:color w:val="auto"/>
        </w:rPr>
        <w:t>shipped and title passes to our customer, performance has occurred, and collection of the receivable is reasonably assured.</w:t>
      </w:r>
    </w:p>
    <w:p>
      <w:pPr>
        <w:spacing w:after="0" w:line="58"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i w:val="1"/>
          <w:iCs w:val="1"/>
          <w:color w:val="auto"/>
        </w:rPr>
        <w:t xml:space="preserve">Inventories </w:t>
      </w:r>
      <w:r>
        <w:rPr>
          <w:rFonts w:ascii="Arial" w:cs="Arial" w:eastAsia="Arial" w:hAnsi="Arial"/>
          <w:sz w:val="12"/>
          <w:szCs w:val="12"/>
          <w:color w:val="auto"/>
        </w:rPr>
        <w:t>— Inventories are valued at the lower of cost or market. On a quarterly basis, management assesses the inventory quantities on hand to estimated future usage and sales</w:t>
      </w:r>
      <w:r>
        <w:rPr>
          <w:rFonts w:ascii="Arial" w:cs="Arial" w:eastAsia="Arial" w:hAnsi="Arial"/>
          <w:sz w:val="12"/>
          <w:szCs w:val="12"/>
          <w:i w:val="1"/>
          <w:iCs w:val="1"/>
          <w:color w:val="auto"/>
        </w:rPr>
        <w:t xml:space="preserve"> </w:t>
      </w:r>
      <w:r>
        <w:rPr>
          <w:rFonts w:ascii="Arial" w:cs="Arial" w:eastAsia="Arial" w:hAnsi="Arial"/>
          <w:sz w:val="12"/>
          <w:szCs w:val="12"/>
          <w:color w:val="auto"/>
        </w:rPr>
        <w:t>and, if necessary, writes down to net realizable the value of inventory deemed obsolete or excess. Though management considers these reserves adequate and proper, changes in sales volumes due to unexpected economic or competitive conditions are among the factors that could materially affect the adequacy of this reserve.</w:t>
      </w:r>
    </w:p>
    <w:p>
      <w:pPr>
        <w:spacing w:after="0" w:line="48" w:lineRule="exact"/>
        <w:rPr>
          <w:sz w:val="20"/>
          <w:szCs w:val="20"/>
          <w:color w:val="auto"/>
        </w:rPr>
      </w:pPr>
    </w:p>
    <w:p>
      <w:pPr>
        <w:jc w:val="both"/>
        <w:ind w:left="680" w:right="180" w:firstLine="399"/>
        <w:spacing w:after="0" w:line="262" w:lineRule="auto"/>
        <w:rPr>
          <w:sz w:val="20"/>
          <w:szCs w:val="20"/>
          <w:color w:val="auto"/>
        </w:rPr>
      </w:pPr>
      <w:r>
        <w:rPr>
          <w:rFonts w:ascii="Arial" w:cs="Arial" w:eastAsia="Arial" w:hAnsi="Arial"/>
          <w:sz w:val="13"/>
          <w:szCs w:val="13"/>
          <w:i w:val="1"/>
          <w:iCs w:val="1"/>
          <w:color w:val="auto"/>
        </w:rPr>
        <w:t xml:space="preserve">LIFO Reserve </w:t>
      </w:r>
      <w:r>
        <w:rPr>
          <w:rFonts w:ascii="Arial" w:cs="Arial" w:eastAsia="Arial" w:hAnsi="Arial"/>
          <w:sz w:val="13"/>
          <w:szCs w:val="13"/>
          <w:color w:val="auto"/>
        </w:rPr>
        <w:t>— Inventories, with the exception of Vertex inventories, are primarily valued at the lower of cost or market with cost being determined using the LIFO method. We</w:t>
      </w:r>
      <w:r>
        <w:rPr>
          <w:rFonts w:ascii="Arial" w:cs="Arial" w:eastAsia="Arial" w:hAnsi="Arial"/>
          <w:sz w:val="13"/>
          <w:szCs w:val="13"/>
          <w:i w:val="1"/>
          <w:iCs w:val="1"/>
          <w:color w:val="auto"/>
        </w:rPr>
        <w:t xml:space="preserve"> </w:t>
      </w:r>
      <w:r>
        <w:rPr>
          <w:rFonts w:ascii="Arial" w:cs="Arial" w:eastAsia="Arial" w:hAnsi="Arial"/>
          <w:sz w:val="13"/>
          <w:szCs w:val="13"/>
          <w:color w:val="auto"/>
        </w:rPr>
        <w:t>may incur significant fluctuations in our gross margins due primarily to changes in the cost of a single, large-volume component of inventory. The price of this inventory component may fluctuate depending on the balance between supply and demand. Management reviews the LIFO reserve on a quarterly basis. Vertex inventories are valued at the lower of cost or market with cost being determined using the FIFO method.</w:t>
      </w:r>
    </w:p>
    <w:p>
      <w:pPr>
        <w:spacing w:after="0" w:line="69"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Impairment of Long-Lived Assets </w:t>
      </w:r>
      <w:r>
        <w:rPr>
          <w:rFonts w:ascii="Arial" w:cs="Arial" w:eastAsia="Arial" w:hAnsi="Arial"/>
          <w:sz w:val="12"/>
          <w:szCs w:val="12"/>
          <w:color w:val="auto"/>
        </w:rPr>
        <w:t>— We review the recoverability of long-lived assets to be held and used, such as property, plant and equipment and intangible assets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amortization,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of the related operations. If these cash flows are less than the carrying value of such asset or asset group, an impairment is recognized equal to the amount by which the carrying value exceeds the fair value of the long-lived assets. The measurement of impairment requires us to estimate future cash flows and the fair value of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 subject to amortization. There were no triggering events that required material assets to be evaluated for impairment during fiscal 2011.</w:t>
      </w:r>
    </w:p>
    <w:p>
      <w:pPr>
        <w:spacing w:after="0" w:line="62"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 In the preparation of our financial statements, management calculates income taxes. This includes estimating the current tax liability as well as assessing temporary</w:t>
      </w:r>
      <w:r>
        <w:rPr>
          <w:rFonts w:ascii="Arial" w:cs="Arial" w:eastAsia="Arial" w:hAnsi="Arial"/>
          <w:sz w:val="12"/>
          <w:szCs w:val="12"/>
          <w:i w:val="1"/>
          <w:iCs w:val="1"/>
          <w:color w:val="auto"/>
        </w:rPr>
        <w:t xml:space="preserve"> </w:t>
      </w:r>
      <w:r>
        <w:rPr>
          <w:rFonts w:ascii="Arial" w:cs="Arial" w:eastAsia="Arial" w:hAnsi="Arial"/>
          <w:sz w:val="12"/>
          <w:szCs w:val="12"/>
          <w:color w:val="auto"/>
        </w:rPr>
        <w:t>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We routinely monitor the potential impact of such situations and believe that it is properly reserved. Valuations related to amounts owed and tax rates could be impacted by changes to tax codes, changes in statutory tax rates, our future taxable income levels and the results of tax audits.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8"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See Item 8, “Note 1 — Nature of Business and Significant Accounting Policies” of the Notes to Consolidated Financial Statements for information regarding recently adopted accounting standards or accounting standards to be adopted in the future.</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 ABOUT MARKET RISK</w:t>
      </w:r>
    </w:p>
    <w:p>
      <w:pPr>
        <w:spacing w:after="0" w:line="102"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256"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Shareholders of Hawkins, Inc.:</w:t>
      </w:r>
    </w:p>
    <w:p>
      <w:pPr>
        <w:spacing w:after="0" w:line="98"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 xml:space="preserve">We have audited the accompanying consolidated balance sheets of Hawkins, Inc. and subsidiaries (the Company) as of April 3, 2011, and March 28, 2010, and the related consolidated statements of income, shareholders’ equity, and cash flows for each of the years in the two-year period ended April 3, 2011. In connection with our audits of the financial statements, we have also audited the financial statement schedule listed in the Index at Item 15, as of and for the years ended April 3, 2011 and March 28, 2010. We also have audited the Company’s internal control over financial reporting as of April 3, 2011,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financial statement schedule and an opinion on the Company’s internal control over financial reporting based on our audits.</w:t>
      </w:r>
    </w:p>
    <w:p>
      <w:pPr>
        <w:spacing w:after="0" w:line="74"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includes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includes obtaining an understanding of internal control over financial reporting, assessing the risk that a material weakness exists, and testing and evaluating the design and operating effectiveness of internal control based on the assessed risk. Our audit also includes performing such other procedures as we considered necessary in the circumstances. We believe that our audits provide a reasonable basis for our opinions.</w:t>
      </w:r>
    </w:p>
    <w:p>
      <w:pPr>
        <w:spacing w:after="0" w:line="71" w:lineRule="exact"/>
        <w:rPr>
          <w:sz w:val="20"/>
          <w:szCs w:val="20"/>
          <w:color w:val="auto"/>
        </w:rPr>
      </w:pPr>
    </w:p>
    <w:p>
      <w:pPr>
        <w:ind w:left="680" w:right="80" w:firstLine="399"/>
        <w:spacing w:after="0" w:line="284"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left="680" w:right="200" w:firstLine="399"/>
        <w:spacing w:after="0" w:line="32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 xml:space="preserve">In our opinion, the consolidated financial statements referred to above present fairly, in all material respects, the financial position of Hawkins, Inc. and subsidiaries as of April 3, 2011 and March 28, 2010, and the results of their operations and their cash flows for each of the years in the two-year period ended April 3, 2011, in conformity with U.S. generally accepted accounting principles. Also, in our opinion, such financial statement schedule, when considered in relation to the basic consolidated financial statements taken as a whole, presents fairly, in all material respects, the information set forth therein as of April 3, 2011 and March 28, 2010 and for each of the years in the two-year period ended April 3, 2011. Furthermore, in our opinion, Hawkins, Inc. maintained, in all material respects, effective internal control over financial reporting as of April 3, 2011,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w:t>
      </w:r>
      <w:r>
        <w:rPr>
          <w:rFonts w:ascii="Arial" w:cs="Arial" w:eastAsia="Arial" w:hAnsi="Arial"/>
          <w:sz w:val="13"/>
          <w:szCs w:val="13"/>
          <w:color w:val="auto"/>
        </w:rPr>
        <w:t>issued by the Committee of Sponsoring Organizations of the Treadway Commission.</w:t>
      </w:r>
    </w:p>
    <w:p>
      <w:pPr>
        <w:spacing w:after="0" w:line="70" w:lineRule="exact"/>
        <w:rPr>
          <w:sz w:val="20"/>
          <w:szCs w:val="20"/>
          <w:color w:val="auto"/>
        </w:rPr>
      </w:pPr>
    </w:p>
    <w:p>
      <w:pPr>
        <w:ind w:left="680" w:right="180" w:firstLine="399"/>
        <w:spacing w:after="0" w:line="262" w:lineRule="auto"/>
        <w:rPr>
          <w:sz w:val="20"/>
          <w:szCs w:val="20"/>
          <w:color w:val="auto"/>
        </w:rPr>
      </w:pPr>
      <w:r>
        <w:rPr>
          <w:rFonts w:ascii="Arial" w:cs="Arial" w:eastAsia="Arial" w:hAnsi="Arial"/>
          <w:sz w:val="13"/>
          <w:szCs w:val="13"/>
          <w:color w:val="auto"/>
        </w:rPr>
        <w:t>The Company acquired Vertex Chemical Corporation (“Vertex”) during fiscal year 2011, and management excluded from its assessment of the effectiveness of the Company’s internal control over financial reporting as of April 3, 2011, Vertex’s internal control over financial reporting associated with approximately 12% of total assets and approximately 3% of total revenues included in the consolidated financial statements of the Company as of and for the year ended April 3, 2011. Our audit of internal control over financial reporting for the Company also excluded an evaluation of the internal control over financial reporting of Vertex.</w:t>
      </w:r>
    </w:p>
    <w:p>
      <w:pPr>
        <w:spacing w:after="0" w:line="30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KPMG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Minneapolis, Minnesota</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9, 2011</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Shareholders of Hawkins, Inc.</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Minneapolis, Minnesota</w:t>
      </w:r>
    </w:p>
    <w:p>
      <w:pPr>
        <w:spacing w:after="0" w:line="90"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We have audited the accompanying consolidated statements of income, shareholders’ equity, and cash flows of Hawkins, Inc. (the “Company”) for the year ended March 29, 2009. These financial statements are the responsibility of the Company’s Management. Our audit also included the financial statement schedule for the year ended March 29, 2009, listed in the Index at Item 15. These financial statements are the responsibility of the Company’s management. Our responsibility is to express an opinion on these financial statements and financial statement schedule based on our audit.</w:t>
      </w:r>
    </w:p>
    <w:p>
      <w:pPr>
        <w:spacing w:after="0" w:line="6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69"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results of the Company’s operations and their cash flows for the year ended March 29, 2009, in conformity with accounting principles generally accepted in the United States of America. Also, in our opinion, such financial statement schedule, when considered in relation to the basic financial statements taken as a whole, present fairly, in all material respects, the information set forth therein as of March 29, 2009.</w:t>
      </w:r>
    </w:p>
    <w:p>
      <w:pPr>
        <w:spacing w:after="0" w:line="28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Deloitte &amp; Touche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Minneapolis, Minnesota</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5, 2009</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167"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w w:val="89"/>
              </w:rPr>
              <w:t>April 3, 2011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91"/>
              </w:rPr>
              <w:t>March 28, 2010</w:t>
            </w:r>
          </w:p>
        </w:tc>
        <w:tc>
          <w:tcPr>
            <w:tcW w:w="100" w:type="dxa"/>
            <w:vAlign w:val="bottom"/>
          </w:tcPr>
          <w:p>
            <w:pPr>
              <w:spacing w:after="0"/>
              <w:rPr>
                <w:sz w:val="10"/>
                <w:szCs w:val="10"/>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gridSpan w:val="6"/>
          </w:tcPr>
          <w:p>
            <w:pPr>
              <w:ind w:left="260"/>
              <w:spacing w:after="0"/>
              <w:rPr>
                <w:sz w:val="20"/>
                <w:szCs w:val="20"/>
                <w:color w:val="auto"/>
              </w:rPr>
            </w:pPr>
            <w:r>
              <w:rPr>
                <w:rFonts w:ascii="Arial" w:cs="Arial" w:eastAsia="Arial" w:hAnsi="Arial"/>
                <w:sz w:val="11"/>
                <w:szCs w:val="11"/>
                <w:b w:val="1"/>
                <w:bCs w:val="1"/>
                <w:color w:val="auto"/>
              </w:rPr>
              <w:t>(In thousands, except share data)</w:t>
            </w:r>
          </w:p>
        </w:tc>
      </w:tr>
      <w:tr>
        <w:trPr>
          <w:trHeight w:val="164"/>
        </w:trPr>
        <w:tc>
          <w:tcPr>
            <w:tcW w:w="20" w:type="dxa"/>
            <w:vAlign w:val="bottom"/>
          </w:tcPr>
          <w:p>
            <w:pPr>
              <w:spacing w:after="0"/>
              <w:rPr>
                <w:sz w:val="14"/>
                <w:szCs w:val="14"/>
                <w:color w:val="auto"/>
              </w:rPr>
            </w:pPr>
          </w:p>
        </w:tc>
        <w:tc>
          <w:tcPr>
            <w:tcW w:w="7520" w:type="dxa"/>
            <w:vAlign w:val="bottom"/>
            <w:shd w:val="clear" w:color="auto" w:fill="CCEEFF"/>
          </w:tcPr>
          <w:p>
            <w:pPr>
              <w:ind w:left="4740"/>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752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18,940</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18,772</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Investments available-for-sale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15,286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25,928</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Trade receivables — less allowance for doubtful accounts: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260"/>
              <w:spacing w:after="0"/>
              <w:rPr>
                <w:sz w:val="20"/>
                <w:szCs w:val="20"/>
                <w:color w:val="auto"/>
              </w:rPr>
            </w:pPr>
            <w:r>
              <w:rPr>
                <w:rFonts w:ascii="Arial" w:cs="Arial" w:eastAsia="Arial" w:hAnsi="Arial"/>
                <w:sz w:val="13"/>
                <w:szCs w:val="13"/>
                <w:color w:val="auto"/>
              </w:rPr>
              <w:t>$406 for 2011 and $300 for 2010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35,736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24,832</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29,217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21,327</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Income taxes receivable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2,197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4,430</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2,209</w:t>
            </w:r>
          </w:p>
        </w:tc>
        <w:tc>
          <w:tcPr>
            <w:tcW w:w="10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520" w:type="dxa"/>
            <w:vAlign w:val="bottom"/>
          </w:tcPr>
          <w:p>
            <w:pPr>
              <w:ind w:left="38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104,248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97,498</w:t>
            </w: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Land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4,362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1,840</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Buildings and improvements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47,107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39,235</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Machinery and equipment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35,740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28,476</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Transportation equipment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11,933</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Office furniture and equipment including computer systems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11,237</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112,974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92,721</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260"/>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50,579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44,965</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property, plant, and equipment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62,395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47,756</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spacing w:after="0"/>
              <w:rPr>
                <w:sz w:val="20"/>
                <w:szCs w:val="20"/>
                <w:color w:val="auto"/>
              </w:rPr>
            </w:pPr>
            <w:r>
              <w:rPr>
                <w:rFonts w:ascii="Arial" w:cs="Arial" w:eastAsia="Arial" w:hAnsi="Arial"/>
                <w:sz w:val="13"/>
                <w:szCs w:val="13"/>
                <w:color w:val="auto"/>
              </w:rPr>
              <w:t>OTHER ASSETS: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Intangible assets — less accumulated amortization: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$1,165 for 2011 and $851 for 2010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3,635</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Long-term investments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8,972</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1,228</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380"/>
              <w:spacing w:after="0"/>
              <w:rPr>
                <w:sz w:val="20"/>
                <w:szCs w:val="20"/>
                <w:color w:val="auto"/>
              </w:rPr>
            </w:pPr>
            <w:r>
              <w:rPr>
                <w:rFonts w:ascii="Arial" w:cs="Arial" w:eastAsia="Arial" w:hAnsi="Arial"/>
                <w:sz w:val="13"/>
                <w:szCs w:val="13"/>
                <w:color w:val="auto"/>
              </w:rPr>
              <w:t>Total other assets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15,039</w:t>
            </w:r>
          </w:p>
        </w:tc>
        <w:tc>
          <w:tcPr>
            <w:tcW w:w="10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5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185,005</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160,293</w:t>
            </w:r>
          </w:p>
        </w:tc>
        <w:tc>
          <w:tcPr>
            <w:tcW w:w="100" w:type="dxa"/>
            <w:vAlign w:val="bottom"/>
            <w:shd w:val="clear" w:color="auto" w:fill="CCEEFF"/>
          </w:tcPr>
          <w:p>
            <w:pPr>
              <w:spacing w:after="0"/>
              <w:rPr>
                <w:sz w:val="14"/>
                <w:szCs w:val="14"/>
                <w:color w:val="auto"/>
              </w:rPr>
            </w:pPr>
          </w:p>
        </w:tc>
      </w:tr>
      <w:tr>
        <w:trPr>
          <w:trHeight w:val="285"/>
        </w:trPr>
        <w:tc>
          <w:tcPr>
            <w:tcW w:w="20" w:type="dxa"/>
            <w:vAlign w:val="bottom"/>
          </w:tcPr>
          <w:p>
            <w:pPr>
              <w:spacing w:after="0"/>
              <w:rPr>
                <w:sz w:val="24"/>
                <w:szCs w:val="24"/>
                <w:color w:val="auto"/>
              </w:rPr>
            </w:pPr>
          </w:p>
        </w:tc>
        <w:tc>
          <w:tcPr>
            <w:tcW w:w="7520" w:type="dxa"/>
            <w:vAlign w:val="bottom"/>
          </w:tcPr>
          <w:p>
            <w:pPr>
              <w:ind w:left="3540"/>
              <w:spacing w:after="0"/>
              <w:rPr>
                <w:sz w:val="20"/>
                <w:szCs w:val="20"/>
                <w:color w:val="auto"/>
              </w:rPr>
            </w:pPr>
            <w:r>
              <w:rPr>
                <w:rFonts w:ascii="Arial" w:cs="Arial" w:eastAsia="Arial" w:hAnsi="Arial"/>
                <w:sz w:val="13"/>
                <w:szCs w:val="13"/>
                <w:b w:val="1"/>
                <w:bCs w:val="1"/>
                <w:color w:val="auto"/>
              </w:rPr>
              <w:t>LIABILITIES AND SHAREHOLDERS’ EQUITY</w:t>
            </w: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Accounts payable — trade</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23,350</w:t>
            </w:r>
          </w:p>
        </w:tc>
        <w:tc>
          <w:tcPr>
            <w:tcW w:w="22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13,940</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Dividends payable</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2,879</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Accrued payroll and employee benefits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7,760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7,908</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Container deposits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924</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accruals</w:t>
            </w: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1,592</w:t>
            </w:r>
          </w:p>
        </w:tc>
        <w:tc>
          <w:tcPr>
            <w:tcW w:w="10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520" w:type="dxa"/>
            <w:vAlign w:val="bottom"/>
          </w:tcPr>
          <w:p>
            <w:pPr>
              <w:ind w:left="38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39,471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30,607</w:t>
            </w:r>
          </w:p>
        </w:tc>
        <w:tc>
          <w:tcPr>
            <w:tcW w:w="10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7,555</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liabilities</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48,562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38,795</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3"/>
                <w:szCs w:val="13"/>
                <w:color w:val="auto"/>
              </w:rPr>
              <w:t>SHAREHOLDERS’ EQUITY:</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w w:val="92"/>
              </w:rPr>
              <w:t>Common stock; authorized: 30,000,000 shares of $0.05 par value; 10,307,177 and 10,253,458 shares issued and outstanding for 2011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7520" w:type="dxa"/>
            <w:vAlign w:val="bottom"/>
          </w:tcPr>
          <w:p>
            <w:pPr>
              <w:ind w:left="260"/>
              <w:spacing w:after="0"/>
              <w:rPr>
                <w:sz w:val="20"/>
                <w:szCs w:val="20"/>
                <w:color w:val="auto"/>
              </w:rPr>
            </w:pPr>
            <w:r>
              <w:rPr>
                <w:rFonts w:ascii="Arial" w:cs="Arial" w:eastAsia="Arial" w:hAnsi="Arial"/>
                <w:sz w:val="13"/>
                <w:szCs w:val="13"/>
                <w:color w:val="auto"/>
              </w:rPr>
              <w:t>2010, respectively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41,060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39,027</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95,013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81,921</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other comprehensive (loss) income</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(145)</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tcPr>
          <w:p>
            <w:pPr>
              <w:ind w:left="380"/>
              <w:spacing w:after="0"/>
              <w:rPr>
                <w:sz w:val="20"/>
                <w:szCs w:val="20"/>
                <w:color w:val="auto"/>
              </w:rPr>
            </w:pPr>
            <w:r>
              <w:rPr>
                <w:rFonts w:ascii="Arial" w:cs="Arial" w:eastAsia="Arial" w:hAnsi="Arial"/>
                <w:sz w:val="13"/>
                <w:szCs w:val="13"/>
                <w:color w:val="auto"/>
              </w:rPr>
              <w:t>Total shareholders’ equity</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136,443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121,498</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7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185,005</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160,293</w:t>
            </w:r>
          </w:p>
        </w:tc>
        <w:tc>
          <w:tcPr>
            <w:tcW w:w="100" w:type="dxa"/>
            <w:vAlign w:val="bottom"/>
            <w:shd w:val="clear" w:color="auto" w:fill="CCEEFF"/>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1"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INCOME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Fiscal Year Ended</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31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95"/>
              <w:spacing w:after="0" w:line="99" w:lineRule="exact"/>
              <w:rPr>
                <w:sz w:val="20"/>
                <w:szCs w:val="20"/>
                <w:color w:val="auto"/>
              </w:rPr>
            </w:pPr>
            <w:r>
              <w:rPr>
                <w:rFonts w:ascii="Arial" w:cs="Arial" w:eastAsia="Arial" w:hAnsi="Arial"/>
                <w:sz w:val="11"/>
                <w:szCs w:val="11"/>
                <w:b w:val="1"/>
                <w:bCs w:val="1"/>
                <w:color w:val="auto"/>
                <w:w w:val="95"/>
              </w:rPr>
              <w:t>April 3, 2011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ind w:left="60"/>
              <w:spacing w:after="0" w:line="99" w:lineRule="exact"/>
              <w:rPr>
                <w:sz w:val="20"/>
                <w:szCs w:val="20"/>
                <w:color w:val="auto"/>
              </w:rPr>
            </w:pPr>
            <w:r>
              <w:rPr>
                <w:rFonts w:ascii="Arial" w:cs="Arial" w:eastAsia="Arial" w:hAnsi="Arial"/>
                <w:sz w:val="11"/>
                <w:szCs w:val="11"/>
                <w:b w:val="1"/>
                <w:bCs w:val="1"/>
                <w:color w:val="auto"/>
              </w:rPr>
              <w:t>March 28, 2010</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75"/>
              <w:spacing w:after="0" w:line="99" w:lineRule="exact"/>
              <w:rPr>
                <w:sz w:val="20"/>
                <w:szCs w:val="20"/>
                <w:color w:val="auto"/>
              </w:rPr>
            </w:pPr>
            <w:r>
              <w:rPr>
                <w:rFonts w:ascii="Arial" w:cs="Arial" w:eastAsia="Arial" w:hAnsi="Arial"/>
                <w:sz w:val="11"/>
                <w:szCs w:val="11"/>
                <w:b w:val="1"/>
                <w:bCs w:val="1"/>
                <w:color w:val="auto"/>
                <w:w w:val="91"/>
              </w:rPr>
              <w:t>March 29, 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gridSpan w:val="2"/>
          </w:tcPr>
          <w:p>
            <w:pPr>
              <w:ind w:left="20"/>
              <w:spacing w:after="0"/>
              <w:rPr>
                <w:sz w:val="20"/>
                <w:szCs w:val="20"/>
                <w:color w:val="auto"/>
              </w:rPr>
            </w:pPr>
            <w:r>
              <w:rPr>
                <w:rFonts w:ascii="Arial" w:cs="Arial" w:eastAsia="Arial" w:hAnsi="Arial"/>
                <w:sz w:val="9"/>
                <w:szCs w:val="9"/>
                <w:b w:val="1"/>
                <w:bCs w:val="1"/>
                <w:color w:val="auto"/>
                <w:w w:val="74"/>
              </w:rPr>
              <w:t>thousands,</w:t>
            </w:r>
          </w:p>
        </w:tc>
        <w:tc>
          <w:tcPr>
            <w:tcW w:w="2460" w:type="dxa"/>
            <w:vAlign w:val="bottom"/>
            <w:gridSpan w:val="7"/>
          </w:tcPr>
          <w:p>
            <w:pPr>
              <w:ind w:left="120"/>
              <w:spacing w:after="0"/>
              <w:rPr>
                <w:sz w:val="20"/>
                <w:szCs w:val="20"/>
                <w:color w:val="auto"/>
              </w:rPr>
            </w:pPr>
            <w:r>
              <w:rPr>
                <w:rFonts w:ascii="Arial" w:cs="Arial" w:eastAsia="Arial" w:hAnsi="Arial"/>
                <w:sz w:val="11"/>
                <w:szCs w:val="11"/>
                <w:b w:val="1"/>
                <w:bCs w:val="1"/>
                <w:color w:val="auto"/>
              </w:rPr>
              <w:t>except share and per-share data)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297,641</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257,099</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284,356</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Cost of sales</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33"/>
              <w:spacing w:after="0"/>
              <w:rPr>
                <w:sz w:val="20"/>
                <w:szCs w:val="20"/>
                <w:color w:val="auto"/>
              </w:rPr>
            </w:pPr>
            <w:r>
              <w:rPr>
                <w:rFonts w:ascii="Arial" w:cs="Arial" w:eastAsia="Arial" w:hAnsi="Arial"/>
                <w:sz w:val="13"/>
                <w:szCs w:val="13"/>
                <w:color w:val="auto"/>
              </w:rPr>
              <w:t>(235,739)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(192,654)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(221,936)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3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61,902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64,445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62,420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33"/>
              <w:spacing w:after="0"/>
              <w:rPr>
                <w:sz w:val="20"/>
                <w:szCs w:val="20"/>
                <w:color w:val="auto"/>
              </w:rPr>
            </w:pPr>
            <w:r>
              <w:rPr>
                <w:rFonts w:ascii="Arial" w:cs="Arial" w:eastAsia="Arial" w:hAnsi="Arial"/>
                <w:sz w:val="13"/>
                <w:szCs w:val="13"/>
                <w:color w:val="auto"/>
              </w:rPr>
              <w:t>(29,940)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(25,605)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(25,083)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3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31,962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38,840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37,337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Investment income</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w w:val="97"/>
              </w:rPr>
              <w:t>Income from continuing operations before income taxes</w:t>
            </w:r>
          </w:p>
        </w:tc>
        <w:tc>
          <w:tcPr>
            <w:tcW w:w="3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32,295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39,126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37,675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33"/>
              <w:spacing w:after="0"/>
              <w:rPr>
                <w:sz w:val="20"/>
                <w:szCs w:val="20"/>
                <w:color w:val="auto"/>
              </w:rPr>
            </w:pPr>
            <w:r>
              <w:rPr>
                <w:rFonts w:ascii="Arial" w:cs="Arial" w:eastAsia="Arial" w:hAnsi="Arial"/>
                <w:sz w:val="13"/>
                <w:szCs w:val="13"/>
                <w:color w:val="auto"/>
              </w:rPr>
              <w:t>(11,981)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(15,388)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(14,251)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3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20,314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23,738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23,424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Arial" w:cs="Arial" w:eastAsia="Arial" w:hAnsi="Arial"/>
                <w:sz w:val="13"/>
                <w:szCs w:val="13"/>
                <w:color w:val="auto"/>
              </w:rPr>
              <w:t>Income from discontinued operations, net of tax</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20,314</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23,847</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23,764</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gridSpan w:val="2"/>
          </w:tcPr>
          <w:p>
            <w:pPr>
              <w:ind w:left="680"/>
              <w:spacing w:after="0"/>
              <w:rPr>
                <w:sz w:val="20"/>
                <w:szCs w:val="20"/>
                <w:color w:val="auto"/>
              </w:rPr>
            </w:pPr>
            <w:r>
              <w:rPr>
                <w:rFonts w:ascii="Arial" w:cs="Arial" w:eastAsia="Arial" w:hAnsi="Arial"/>
                <w:sz w:val="13"/>
                <w:szCs w:val="13"/>
                <w:color w:val="auto"/>
                <w:w w:val="99"/>
              </w:rPr>
              <w:t>Weighted average number of shares outstanding-basic</w:t>
            </w: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10,260,135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10,250,978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10,243,970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w w:val="96"/>
              </w:rPr>
              <w:t>Weighted average number of shares outstanding-diluted</w:t>
            </w:r>
          </w:p>
        </w:tc>
        <w:tc>
          <w:tcPr>
            <w:tcW w:w="3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10,352,633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10,282,993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10,249,027</w:t>
            </w: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40" w:type="dxa"/>
            <w:vAlign w:val="bottom"/>
            <w:gridSpan w:val="2"/>
          </w:tcPr>
          <w:p>
            <w:pPr>
              <w:ind w:left="680"/>
              <w:spacing w:after="0"/>
              <w:rPr>
                <w:sz w:val="20"/>
                <w:szCs w:val="20"/>
                <w:color w:val="auto"/>
              </w:rPr>
            </w:pPr>
            <w:r>
              <w:rPr>
                <w:rFonts w:ascii="Arial" w:cs="Arial" w:eastAsia="Arial" w:hAnsi="Arial"/>
                <w:sz w:val="13"/>
                <w:szCs w:val="13"/>
                <w:color w:val="auto"/>
              </w:rPr>
              <w:t>Basic earnings per share</w:t>
            </w: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per share from continuing operations</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ind w:left="120"/>
              <w:spacing w:after="0"/>
              <w:rPr>
                <w:sz w:val="20"/>
                <w:szCs w:val="20"/>
                <w:color w:val="auto"/>
              </w:rPr>
            </w:pPr>
            <w:r>
              <w:rPr>
                <w:rFonts w:ascii="Arial" w:cs="Arial" w:eastAsia="Arial" w:hAnsi="Arial"/>
                <w:sz w:val="13"/>
                <w:szCs w:val="13"/>
                <w:color w:val="auto"/>
              </w:rPr>
              <w:t>Earnings per share from discontinued operations</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 earnings per share</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2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40" w:type="dxa"/>
            <w:vAlign w:val="bottom"/>
            <w:gridSpan w:val="2"/>
          </w:tcPr>
          <w:p>
            <w:pPr>
              <w:ind w:left="680"/>
              <w:spacing w:after="0"/>
              <w:rPr>
                <w:sz w:val="20"/>
                <w:szCs w:val="20"/>
                <w:color w:val="auto"/>
              </w:rPr>
            </w:pPr>
            <w:r>
              <w:rPr>
                <w:rFonts w:ascii="Arial" w:cs="Arial" w:eastAsia="Arial" w:hAnsi="Arial"/>
                <w:sz w:val="13"/>
                <w:szCs w:val="13"/>
                <w:color w:val="auto"/>
              </w:rPr>
              <w:t>Diluted earnings per share</w:t>
            </w: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per share from continuing operations</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tcPr>
          <w:p>
            <w:pPr>
              <w:ind w:left="120"/>
              <w:spacing w:after="0"/>
              <w:rPr>
                <w:sz w:val="20"/>
                <w:szCs w:val="20"/>
                <w:color w:val="auto"/>
              </w:rPr>
            </w:pPr>
            <w:r>
              <w:rPr>
                <w:rFonts w:ascii="Arial" w:cs="Arial" w:eastAsia="Arial" w:hAnsi="Arial"/>
                <w:sz w:val="13"/>
                <w:szCs w:val="13"/>
                <w:color w:val="auto"/>
              </w:rPr>
              <w:t>Earnings per share from discontinued operations</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 earnings per share</w:t>
            </w:r>
          </w:p>
        </w:tc>
        <w:tc>
          <w:tcPr>
            <w:tcW w:w="3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840" w:type="dxa"/>
            <w:vAlign w:val="bottom"/>
            <w:gridSpan w:val="2"/>
            <w:vMerge w:val="restart"/>
          </w:tcPr>
          <w:p>
            <w:pPr>
              <w:ind w:left="680"/>
              <w:spacing w:after="0"/>
              <w:rPr>
                <w:sz w:val="20"/>
                <w:szCs w:val="20"/>
                <w:color w:val="auto"/>
              </w:rPr>
            </w:pPr>
            <w:r>
              <w:rPr>
                <w:rFonts w:ascii="Arial" w:cs="Arial" w:eastAsia="Arial" w:hAnsi="Arial"/>
                <w:sz w:val="13"/>
                <w:szCs w:val="13"/>
                <w:color w:val="auto"/>
              </w:rPr>
              <w:t>Cash dividends declared per common share</w:t>
            </w:r>
          </w:p>
        </w:tc>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3840" w:type="dxa"/>
            <w:vAlign w:val="bottom"/>
            <w:gridSpan w:val="2"/>
            <w:vMerge w:val="continue"/>
          </w:tcPr>
          <w:p>
            <w:pPr>
              <w:spacing w:after="0"/>
              <w:rPr>
                <w:sz w:val="14"/>
                <w:szCs w:val="14"/>
                <w:color w:val="auto"/>
              </w:rPr>
            </w:pPr>
          </w:p>
        </w:tc>
        <w:tc>
          <w:tcPr>
            <w:tcW w:w="31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0.70</w:t>
            </w:r>
          </w:p>
        </w:tc>
        <w:tc>
          <w:tcPr>
            <w:tcW w:w="2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0.66</w:t>
            </w:r>
          </w:p>
        </w:tc>
        <w:tc>
          <w:tcPr>
            <w:tcW w:w="22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180" w:type="dxa"/>
            <w:vAlign w:val="bottom"/>
            <w:gridSpan w:val="5"/>
          </w:tcPr>
          <w:p>
            <w:pPr>
              <w:jc w:val="center"/>
              <w:ind w:right="473"/>
              <w:spacing w:after="0"/>
              <w:rPr>
                <w:sz w:val="20"/>
                <w:szCs w:val="20"/>
                <w:color w:val="auto"/>
              </w:rPr>
            </w:pPr>
            <w:r>
              <w:rPr>
                <w:rFonts w:ascii="Arial" w:cs="Arial" w:eastAsia="Arial" w:hAnsi="Arial"/>
                <w:sz w:val="13"/>
                <w:szCs w:val="13"/>
                <w:color w:val="auto"/>
                <w:w w:val="90"/>
              </w:rPr>
              <w:t>See accompanying notes to consolidated financial statements.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40" w:type="dxa"/>
            <w:vAlign w:val="bottom"/>
          </w:tcPr>
          <w:p>
            <w:pPr>
              <w:jc w:val="right"/>
              <w:ind w:right="1074"/>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14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SHAREHOLDERS’ EQUITY</w:t>
      </w:r>
    </w:p>
    <w:p>
      <w:pPr>
        <w:spacing w:after="0" w:line="14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jc w:val="right"/>
              <w:ind w:right="240"/>
              <w:spacing w:after="0" w:line="119" w:lineRule="exact"/>
              <w:rPr>
                <w:sz w:val="20"/>
                <w:szCs w:val="20"/>
                <w:color w:val="auto"/>
              </w:rPr>
            </w:pPr>
            <w:r>
              <w:rPr>
                <w:rFonts w:ascii="Arial" w:cs="Arial" w:eastAsia="Arial" w:hAnsi="Arial"/>
                <w:sz w:val="11"/>
                <w:szCs w:val="11"/>
                <w:b w:val="1"/>
                <w:bCs w:val="1"/>
                <w:color w:val="auto"/>
                <w:w w:val="92"/>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320"/>
              <w:spacing w:after="0" w:line="116" w:lineRule="exact"/>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20"/>
              <w:spacing w:after="0" w:line="116" w:lineRule="exact"/>
              <w:rPr>
                <w:sz w:val="20"/>
                <w:szCs w:val="20"/>
                <w:color w:val="auto"/>
              </w:rPr>
            </w:pPr>
            <w:r>
              <w:rPr>
                <w:rFonts w:ascii="Arial" w:cs="Arial" w:eastAsia="Arial" w:hAnsi="Arial"/>
                <w:sz w:val="11"/>
                <w:szCs w:val="11"/>
                <w:b w:val="1"/>
                <w:bCs w:val="1"/>
                <w:color w:val="auto"/>
                <w:w w:val="86"/>
              </w:rPr>
              <w:t>Retained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16" w:lineRule="exact"/>
              <w:rPr>
                <w:sz w:val="20"/>
                <w:szCs w:val="20"/>
                <w:color w:val="auto"/>
              </w:rPr>
            </w:pPr>
            <w:r>
              <w:rPr>
                <w:rFonts w:ascii="Arial" w:cs="Arial" w:eastAsia="Arial" w:hAnsi="Arial"/>
                <w:sz w:val="11"/>
                <w:szCs w:val="11"/>
                <w:b w:val="1"/>
                <w:bCs w:val="1"/>
                <w:color w:val="auto"/>
                <w:w w:val="84"/>
              </w:rPr>
              <w:t>Comprehensive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6" w:lineRule="exact"/>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00" w:type="dxa"/>
            <w:vAlign w:val="bottom"/>
            <w:tcBorders>
              <w:bottom w:val="single" w:sz="8" w:color="auto"/>
            </w:tcBorders>
          </w:tcPr>
          <w:p>
            <w:pPr>
              <w:jc w:val="right"/>
              <w:ind w:right="197"/>
              <w:spacing w:after="0" w:line="99" w:lineRule="exact"/>
              <w:rPr>
                <w:sz w:val="20"/>
                <w:szCs w:val="20"/>
                <w:color w:val="auto"/>
              </w:rPr>
            </w:pPr>
            <w:r>
              <w:rPr>
                <w:rFonts w:ascii="Arial" w:cs="Arial" w:eastAsia="Arial" w:hAnsi="Arial"/>
                <w:sz w:val="11"/>
                <w:szCs w:val="11"/>
                <w:b w:val="1"/>
                <w:bCs w:val="1"/>
                <w:color w:val="auto"/>
              </w:rPr>
              <w:t>Shares</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w w:val="91"/>
              </w:rPr>
              <w:t>Amount</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7"/>
              <w:spacing w:after="0" w:line="99" w:lineRule="exact"/>
              <w:rPr>
                <w:sz w:val="20"/>
                <w:szCs w:val="20"/>
                <w:color w:val="auto"/>
              </w:rPr>
            </w:pPr>
            <w:r>
              <w:rPr>
                <w:rFonts w:ascii="Arial" w:cs="Arial" w:eastAsia="Arial" w:hAnsi="Arial"/>
                <w:sz w:val="11"/>
                <w:szCs w:val="11"/>
                <w:b w:val="1"/>
                <w:bCs w:val="1"/>
                <w:color w:val="auto"/>
                <w:w w:val="98"/>
              </w:rPr>
              <w:t>Capital</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36"/>
              <w:spacing w:after="0" w:line="99" w:lineRule="exact"/>
              <w:rPr>
                <w:sz w:val="20"/>
                <w:szCs w:val="20"/>
                <w:color w:val="auto"/>
              </w:rPr>
            </w:pPr>
            <w:r>
              <w:rPr>
                <w:rFonts w:ascii="Arial" w:cs="Arial" w:eastAsia="Arial" w:hAnsi="Arial"/>
                <w:sz w:val="11"/>
                <w:szCs w:val="11"/>
                <w:b w:val="1"/>
                <w:bCs w:val="1"/>
                <w:color w:val="auto"/>
                <w:w w:val="84"/>
              </w:rPr>
              <w:t>Earnings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center"/>
              <w:ind w:right="58"/>
              <w:spacing w:after="0" w:line="99" w:lineRule="exact"/>
              <w:rPr>
                <w:sz w:val="20"/>
                <w:szCs w:val="20"/>
                <w:color w:val="auto"/>
              </w:rPr>
            </w:pPr>
            <w:r>
              <w:rPr>
                <w:rFonts w:ascii="Arial" w:cs="Arial" w:eastAsia="Arial" w:hAnsi="Arial"/>
                <w:sz w:val="11"/>
                <w:szCs w:val="11"/>
                <w:b w:val="1"/>
                <w:bCs w:val="1"/>
                <w:color w:val="auto"/>
                <w:w w:val="85"/>
              </w:rPr>
              <w:t>Income (Loss)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35"/>
              <w:spacing w:after="0" w:line="99" w:lineRule="exact"/>
              <w:rPr>
                <w:sz w:val="20"/>
                <w:szCs w:val="20"/>
                <w:color w:val="auto"/>
              </w:rPr>
            </w:pPr>
            <w:r>
              <w:rPr>
                <w:rFonts w:ascii="Arial" w:cs="Arial" w:eastAsia="Arial" w:hAnsi="Arial"/>
                <w:sz w:val="11"/>
                <w:szCs w:val="11"/>
                <w:b w:val="1"/>
                <w:bCs w:val="1"/>
                <w:color w:val="auto"/>
                <w:w w:val="95"/>
              </w:rPr>
              <w:t>Equity</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8"/>
          </w:tcPr>
          <w:p>
            <w:pPr>
              <w:jc w:val="right"/>
              <w:ind w:right="80"/>
              <w:spacing w:after="0"/>
              <w:rPr>
                <w:sz w:val="20"/>
                <w:szCs w:val="20"/>
                <w:color w:val="auto"/>
              </w:rPr>
            </w:pPr>
            <w:r>
              <w:rPr>
                <w:rFonts w:ascii="Arial" w:cs="Arial" w:eastAsia="Arial" w:hAnsi="Arial"/>
                <w:sz w:val="11"/>
                <w:szCs w:val="11"/>
                <w:b w:val="1"/>
                <w:bCs w:val="1"/>
                <w:color w:val="auto"/>
                <w:w w:val="91"/>
              </w:rPr>
              <w:t>(In thousands, except share data)</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BALANCE — March 30, 2008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10,239,458</w:t>
            </w:r>
          </w:p>
        </w:tc>
        <w:tc>
          <w:tcPr>
            <w:tcW w:w="3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1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38,091</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46,428</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Cash dividends</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(5,332)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(5,332)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compensation expense</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Vesting of restricted stock</w:t>
            </w:r>
          </w:p>
        </w:tc>
        <w:tc>
          <w:tcPr>
            <w:tcW w:w="800" w:type="dxa"/>
            <w:vAlign w:val="bottom"/>
          </w:tcPr>
          <w:p>
            <w:pPr>
              <w:jc w:val="right"/>
              <w:spacing w:after="0"/>
              <w:rPr>
                <w:sz w:val="20"/>
                <w:szCs w:val="20"/>
                <w:color w:val="auto"/>
              </w:rPr>
            </w:pPr>
            <w:r>
              <w:rPr>
                <w:rFonts w:ascii="Arial" w:cs="Arial" w:eastAsia="Arial" w:hAnsi="Arial"/>
                <w:sz w:val="13"/>
                <w:szCs w:val="13"/>
                <w:color w:val="auto"/>
              </w:rPr>
              <w:t>7,000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Comprehensive income:</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260"/>
              <w:spacing w:after="0"/>
              <w:rPr>
                <w:sz w:val="20"/>
                <w:szCs w:val="20"/>
                <w:color w:val="auto"/>
              </w:rPr>
            </w:pPr>
            <w:r>
              <w:rPr>
                <w:rFonts w:ascii="Arial" w:cs="Arial" w:eastAsia="Arial" w:hAnsi="Arial"/>
                <w:sz w:val="13"/>
                <w:szCs w:val="13"/>
                <w:color w:val="auto"/>
              </w:rPr>
              <w:t>Adjustment for sale of securities, net of tax</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Unrealized loss on post-retirement plan liability, net of tax</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380"/>
              <w:spacing w:after="0"/>
              <w:rPr>
                <w:sz w:val="20"/>
                <w:szCs w:val="20"/>
                <w:color w:val="auto"/>
              </w:rPr>
            </w:pPr>
            <w:r>
              <w:rPr>
                <w:rFonts w:ascii="Arial" w:cs="Arial" w:eastAsia="Arial" w:hAnsi="Arial"/>
                <w:sz w:val="13"/>
                <w:szCs w:val="13"/>
                <w:color w:val="auto"/>
              </w:rPr>
              <w:t>Net income</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23,764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Comprehensive income</w:t>
            </w:r>
          </w:p>
        </w:tc>
        <w:tc>
          <w:tcPr>
            <w:tcW w:w="80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23,764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BALANCE — March 29, 2009</w:t>
            </w:r>
          </w:p>
        </w:tc>
        <w:tc>
          <w:tcPr>
            <w:tcW w:w="800" w:type="dxa"/>
            <w:vAlign w:val="bottom"/>
          </w:tcPr>
          <w:p>
            <w:pPr>
              <w:jc w:val="right"/>
              <w:spacing w:after="0"/>
              <w:rPr>
                <w:sz w:val="20"/>
                <w:szCs w:val="20"/>
                <w:color w:val="auto"/>
              </w:rPr>
            </w:pPr>
            <w:r>
              <w:rPr>
                <w:rFonts w:ascii="Arial" w:cs="Arial" w:eastAsia="Arial" w:hAnsi="Arial"/>
                <w:sz w:val="13"/>
                <w:szCs w:val="13"/>
                <w:color w:val="auto"/>
              </w:rPr>
              <w:t>10,246,458</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38,368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64,860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103,730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dividends</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(6,786)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(6,786)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Stock compensation expense</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Comprehensive income:</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Unrealized gain on available-for-sale investments, net of tax</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260"/>
              <w:spacing w:after="0"/>
              <w:rPr>
                <w:sz w:val="20"/>
                <w:szCs w:val="20"/>
                <w:color w:val="auto"/>
              </w:rPr>
            </w:pPr>
            <w:r>
              <w:rPr>
                <w:rFonts w:ascii="Arial" w:cs="Arial" w:eastAsia="Arial" w:hAnsi="Arial"/>
                <w:sz w:val="13"/>
                <w:szCs w:val="13"/>
                <w:color w:val="auto"/>
              </w:rPr>
              <w:t>Unrealized loss on post-retirement plan liability, net of tax</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income</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23,847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520"/>
              <w:spacing w:after="0"/>
              <w:rPr>
                <w:sz w:val="20"/>
                <w:szCs w:val="20"/>
                <w:color w:val="auto"/>
              </w:rPr>
            </w:pPr>
            <w:r>
              <w:rPr>
                <w:rFonts w:ascii="Arial" w:cs="Arial" w:eastAsia="Arial" w:hAnsi="Arial"/>
                <w:sz w:val="13"/>
                <w:szCs w:val="13"/>
                <w:color w:val="auto"/>
              </w:rPr>
              <w:t>Comprehensive income</w:t>
            </w:r>
          </w:p>
        </w:tc>
        <w:tc>
          <w:tcPr>
            <w:tcW w:w="8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BALANCE — March 28, 2010</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10,253,458</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39,027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81,921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Cash dividends</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(7,222)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(7,222)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compensation expense</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Tax benefit on share-based compensation plans</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Vesting of restricted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58,653</w:t>
            </w: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Shares surrendered for payroll taxes</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(4,934)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Comprehensive income:</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Unrealized gain on available-for-sale investments, net of tax</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Unrealized loss on post-retirement plan liability, net of tax</w:t>
            </w:r>
          </w:p>
        </w:tc>
        <w:tc>
          <w:tcPr>
            <w:tcW w:w="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tcPr>
          <w:p>
            <w:pPr>
              <w:ind w:left="380"/>
              <w:spacing w:after="0"/>
              <w:rPr>
                <w:sz w:val="20"/>
                <w:szCs w:val="20"/>
                <w:color w:val="auto"/>
              </w:rPr>
            </w:pPr>
            <w:r>
              <w:rPr>
                <w:rFonts w:ascii="Arial" w:cs="Arial" w:eastAsia="Arial" w:hAnsi="Arial"/>
                <w:sz w:val="13"/>
                <w:szCs w:val="13"/>
                <w:color w:val="auto"/>
              </w:rPr>
              <w:t>Net income</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20,314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Comprehensive income</w:t>
            </w:r>
          </w:p>
        </w:tc>
        <w:tc>
          <w:tcPr>
            <w:tcW w:w="80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20,132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BALANCE — April 3, 2011</w:t>
            </w:r>
          </w:p>
        </w:tc>
        <w:tc>
          <w:tcPr>
            <w:tcW w:w="800" w:type="dxa"/>
            <w:vAlign w:val="bottom"/>
          </w:tcPr>
          <w:p>
            <w:pPr>
              <w:jc w:val="right"/>
              <w:spacing w:after="0"/>
              <w:rPr>
                <w:sz w:val="20"/>
                <w:szCs w:val="20"/>
                <w:color w:val="auto"/>
              </w:rPr>
            </w:pPr>
            <w:r>
              <w:rPr>
                <w:rFonts w:ascii="Arial" w:cs="Arial" w:eastAsia="Arial" w:hAnsi="Arial"/>
                <w:sz w:val="13"/>
                <w:szCs w:val="13"/>
                <w:color w:val="auto"/>
              </w:rPr>
              <w:t>10,307,177</w:t>
            </w:r>
          </w:p>
        </w:tc>
        <w:tc>
          <w:tcPr>
            <w:tcW w:w="300" w:type="dxa"/>
            <w:vAlign w:val="bottom"/>
          </w:tcPr>
          <w:p>
            <w:pPr>
              <w:spacing w:after="0"/>
              <w:rPr>
                <w:sz w:val="13"/>
                <w:szCs w:val="13"/>
                <w:color w:val="auto"/>
              </w:rPr>
            </w:pPr>
          </w:p>
        </w:tc>
        <w:tc>
          <w:tcPr>
            <w:tcW w:w="1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515</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41,060</w:t>
            </w:r>
          </w:p>
        </w:tc>
        <w:tc>
          <w:tcPr>
            <w:tcW w:w="18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95,013</w:t>
            </w:r>
          </w:p>
        </w:tc>
        <w:tc>
          <w:tcPr>
            <w:tcW w:w="120" w:type="dxa"/>
            <w:vAlign w:val="bottom"/>
          </w:tcPr>
          <w:p>
            <w:pPr>
              <w:spacing w:after="0"/>
              <w:rPr>
                <w:sz w:val="13"/>
                <w:szCs w:val="13"/>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(145)</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136,443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w w:val="90"/>
              </w:rPr>
              <w:t>Fiscal Year Ended</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right"/>
              <w:ind w:right="280"/>
              <w:spacing w:after="0" w:line="99" w:lineRule="exact"/>
              <w:rPr>
                <w:sz w:val="20"/>
                <w:szCs w:val="20"/>
                <w:color w:val="auto"/>
              </w:rPr>
            </w:pPr>
            <w:r>
              <w:rPr>
                <w:rFonts w:ascii="Arial" w:cs="Arial" w:eastAsia="Arial" w:hAnsi="Arial"/>
                <w:sz w:val="11"/>
                <w:szCs w:val="11"/>
                <w:b w:val="1"/>
                <w:bCs w:val="1"/>
                <w:color w:val="auto"/>
                <w:w w:val="89"/>
              </w:rPr>
              <w:t>April 3, 2011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March 28, 2010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ind w:right="75"/>
              <w:spacing w:after="0" w:line="99" w:lineRule="exact"/>
              <w:rPr>
                <w:sz w:val="20"/>
                <w:szCs w:val="20"/>
                <w:color w:val="auto"/>
              </w:rPr>
            </w:pPr>
            <w:r>
              <w:rPr>
                <w:rFonts w:ascii="Arial" w:cs="Arial" w:eastAsia="Arial" w:hAnsi="Arial"/>
                <w:sz w:val="11"/>
                <w:szCs w:val="11"/>
                <w:b w:val="1"/>
                <w:bCs w:val="1"/>
                <w:color w:val="auto"/>
                <w:w w:val="91"/>
              </w:rPr>
              <w:t>March 29, 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(In thousands)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20,314</w:t>
            </w:r>
          </w:p>
        </w:tc>
        <w:tc>
          <w:tcPr>
            <w:tcW w:w="160" w:type="dxa"/>
            <w:vAlign w:val="bottom"/>
          </w:tcPr>
          <w:p>
            <w:pPr>
              <w:spacing w:after="0"/>
              <w:rPr>
                <w:sz w:val="13"/>
                <w:szCs w:val="1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23,847</w:t>
            </w:r>
          </w:p>
        </w:tc>
        <w:tc>
          <w:tcPr>
            <w:tcW w:w="1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23,764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Reconciliation to cash flows: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7,148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income taxes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260"/>
              <w:spacing w:after="0"/>
              <w:rPr>
                <w:sz w:val="20"/>
                <w:szCs w:val="20"/>
                <w:color w:val="auto"/>
              </w:rPr>
            </w:pPr>
            <w:r>
              <w:rPr>
                <w:rFonts w:ascii="Arial" w:cs="Arial" w:eastAsia="Arial" w:hAnsi="Arial"/>
                <w:sz w:val="13"/>
                <w:szCs w:val="13"/>
                <w:color w:val="auto"/>
              </w:rPr>
              <w:t>Stock compensation expense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1,952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(gain) on sale of investments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260"/>
              <w:spacing w:after="0"/>
              <w:rPr>
                <w:sz w:val="20"/>
                <w:szCs w:val="20"/>
                <w:color w:val="auto"/>
              </w:rPr>
            </w:pPr>
            <w:r>
              <w:rPr>
                <w:rFonts w:ascii="Arial" w:cs="Arial" w:eastAsia="Arial" w:hAnsi="Arial"/>
                <w:sz w:val="13"/>
                <w:szCs w:val="13"/>
                <w:color w:val="auto"/>
              </w:rPr>
              <w:t>Loss from property disposals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operating accounts (using) providing cash, net of effects of acquisition:</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380"/>
              <w:spacing w:after="0"/>
              <w:rPr>
                <w:sz w:val="20"/>
                <w:szCs w:val="20"/>
                <w:color w:val="auto"/>
              </w:rPr>
            </w:pPr>
            <w:r>
              <w:rPr>
                <w:rFonts w:ascii="Arial" w:cs="Arial" w:eastAsia="Arial" w:hAnsi="Arial"/>
                <w:sz w:val="13"/>
                <w:szCs w:val="13"/>
                <w:color w:val="auto"/>
              </w:rPr>
              <w:t>Trade receivables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(5,929)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(5,095)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Inventories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(3,141)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5,356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(462)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Accrued liabilities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380"/>
              <w:spacing w:after="0"/>
              <w:rPr>
                <w:sz w:val="20"/>
                <w:szCs w:val="20"/>
                <w:color w:val="auto"/>
              </w:rPr>
            </w:pPr>
            <w:r>
              <w:rPr>
                <w:rFonts w:ascii="Arial" w:cs="Arial" w:eastAsia="Arial" w:hAnsi="Arial"/>
                <w:sz w:val="13"/>
                <w:szCs w:val="13"/>
                <w:color w:val="auto"/>
              </w:rPr>
              <w:t>Income taxes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2,529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(2,404)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Pr>
          <w:p>
            <w:pPr>
              <w:ind w:left="520"/>
              <w:spacing w:after="0"/>
              <w:rPr>
                <w:sz w:val="20"/>
                <w:szCs w:val="20"/>
                <w:color w:val="auto"/>
              </w:rPr>
            </w:pPr>
            <w:r>
              <w:rPr>
                <w:rFonts w:ascii="Arial" w:cs="Arial" w:eastAsia="Arial" w:hAnsi="Arial"/>
                <w:sz w:val="13"/>
                <w:szCs w:val="13"/>
                <w:color w:val="auto"/>
              </w:rPr>
              <w:t>Net cash provided by operating activities</w:t>
            </w:r>
          </w:p>
        </w:tc>
        <w:tc>
          <w:tcPr>
            <w:tcW w:w="9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28,533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38,782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24,429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INVESTING ACTIVITIES: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Additions to property, plant, and equipment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(12,421)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(8,331)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(14,211)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investments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(14,210)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(41,240)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Sale and maturities of investments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30,545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property disposals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Acquisition of Vertex</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(25,500)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used in investing activities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(21,443)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(42,973)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(11,277)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dividends paid</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(7,005)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(6,573)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(5,125)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Excess tax benefit from share-based compensation</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 surrendured for payroll taxes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520"/>
              <w:spacing w:after="0"/>
              <w:rPr>
                <w:sz w:val="20"/>
                <w:szCs w:val="20"/>
                <w:color w:val="auto"/>
              </w:rPr>
            </w:pPr>
            <w:r>
              <w:rPr>
                <w:rFonts w:ascii="Arial" w:cs="Arial" w:eastAsia="Arial" w:hAnsi="Arial"/>
                <w:sz w:val="13"/>
                <w:szCs w:val="13"/>
                <w:color w:val="auto"/>
              </w:rPr>
              <w:t>Net cash used in financing activities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55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(6,922)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(6,573)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(5,125)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(10,764)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tcPr>
          <w:p>
            <w:pPr>
              <w:spacing w:after="0"/>
              <w:rPr>
                <w:sz w:val="20"/>
                <w:szCs w:val="20"/>
                <w:color w:val="auto"/>
              </w:rPr>
            </w:pPr>
            <w:r>
              <w:rPr>
                <w:rFonts w:ascii="Arial" w:cs="Arial" w:eastAsia="Arial" w:hAnsi="Arial"/>
                <w:sz w:val="13"/>
                <w:szCs w:val="13"/>
                <w:color w:val="auto"/>
              </w:rPr>
              <w:t>CASH AND CASH EQUIVALENTS —</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Beginning of period</w:t>
            </w:r>
          </w:p>
        </w:tc>
        <w:tc>
          <w:tcPr>
            <w:tcW w:w="9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18,772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29,536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21,509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80" w:type="dxa"/>
            <w:vAlign w:val="bottom"/>
            <w:gridSpan w:val="2"/>
          </w:tcPr>
          <w:p>
            <w:pPr>
              <w:spacing w:after="0"/>
              <w:rPr>
                <w:sz w:val="20"/>
                <w:szCs w:val="20"/>
                <w:color w:val="auto"/>
              </w:rPr>
            </w:pPr>
            <w:r>
              <w:rPr>
                <w:rFonts w:ascii="Arial" w:cs="Arial" w:eastAsia="Arial" w:hAnsi="Arial"/>
                <w:sz w:val="13"/>
                <w:szCs w:val="13"/>
                <w:color w:val="auto"/>
              </w:rPr>
              <w:t>CASH AND CASH EQUIVALENTS —</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End of period</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18,940</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18,772</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gridSpan w:val="2"/>
          </w:tcPr>
          <w:p>
            <w:pPr>
              <w:spacing w:after="0"/>
              <w:rPr>
                <w:sz w:val="20"/>
                <w:szCs w:val="20"/>
                <w:color w:val="auto"/>
              </w:rPr>
            </w:pPr>
            <w:r>
              <w:rPr>
                <w:rFonts w:ascii="Arial" w:cs="Arial" w:eastAsia="Arial" w:hAnsi="Arial"/>
                <w:sz w:val="13"/>
                <w:szCs w:val="13"/>
                <w:color w:val="auto"/>
              </w:rPr>
              <w:t>SUPPLEMENTAL DISCLOSURES OF CASH FLOW INFORMATION —</w:t>
            </w:r>
          </w:p>
        </w:tc>
        <w:tc>
          <w:tcPr>
            <w:tcW w:w="9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paid during the year for income taxes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9,771</w:t>
            </w: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10,654</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60" w:type="dxa"/>
            <w:vAlign w:val="bottom"/>
          </w:tcPr>
          <w:p>
            <w:pPr>
              <w:ind w:left="120"/>
              <w:spacing w:after="0"/>
              <w:rPr>
                <w:sz w:val="20"/>
                <w:szCs w:val="20"/>
                <w:color w:val="auto"/>
              </w:rPr>
            </w:pPr>
            <w:r>
              <w:rPr>
                <w:rFonts w:ascii="Arial" w:cs="Arial" w:eastAsia="Arial" w:hAnsi="Arial"/>
                <w:sz w:val="13"/>
                <w:szCs w:val="13"/>
                <w:color w:val="auto"/>
              </w:rPr>
              <w:t>Noncash investing activities —</w:t>
            </w:r>
          </w:p>
        </w:tc>
        <w:tc>
          <w:tcPr>
            <w:tcW w:w="9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Acquisition purchase price in accounts payable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tcPr>
          <w:p>
            <w:pPr>
              <w:ind w:left="260"/>
              <w:spacing w:after="0"/>
              <w:rPr>
                <w:sz w:val="20"/>
                <w:szCs w:val="20"/>
                <w:color w:val="auto"/>
              </w:rPr>
            </w:pPr>
            <w:r>
              <w:rPr>
                <w:rFonts w:ascii="Arial" w:cs="Arial" w:eastAsia="Arial" w:hAnsi="Arial"/>
                <w:sz w:val="13"/>
                <w:szCs w:val="13"/>
                <w:color w:val="auto"/>
              </w:rPr>
              <w:t>Capital expenditures in accounts payable</w:t>
            </w: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1,450</w:t>
            </w:r>
          </w:p>
        </w:tc>
        <w:tc>
          <w:tcPr>
            <w:tcW w:w="16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1,118</w:t>
            </w:r>
          </w:p>
        </w:tc>
        <w:tc>
          <w:tcPr>
            <w:tcW w:w="1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u w:val="single" w:color="auto"/>
          <w:color w:val="auto"/>
        </w:rPr>
        <w:t>NOTES TO CONSOLIDATED FINANCIAL STATEMENTS</w:t>
      </w:r>
    </w:p>
    <w:p>
      <w:pPr>
        <w:spacing w:after="0" w:line="177"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1 —</w:t>
      </w:r>
      <w:r>
        <w:rPr>
          <w:sz w:val="20"/>
          <w:szCs w:val="20"/>
          <w:color w:val="auto"/>
        </w:rPr>
        <w:tab/>
      </w:r>
      <w:r>
        <w:rPr>
          <w:rFonts w:ascii="Arial" w:cs="Arial" w:eastAsia="Arial" w:hAnsi="Arial"/>
          <w:sz w:val="11"/>
          <w:szCs w:val="11"/>
          <w:b w:val="1"/>
          <w:bCs w:val="1"/>
          <w:color w:val="auto"/>
        </w:rPr>
        <w:t>Nature of Business and Significant Accounting Policies</w:t>
      </w:r>
    </w:p>
    <w:p>
      <w:pPr>
        <w:spacing w:after="0" w:line="102"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b w:val="1"/>
          <w:bCs w:val="1"/>
          <w:i w:val="1"/>
          <w:iCs w:val="1"/>
          <w:color w:val="auto"/>
        </w:rPr>
        <w:t xml:space="preserve">Nature of Business — </w:t>
      </w:r>
      <w:r>
        <w:rPr>
          <w:rFonts w:ascii="Arial" w:cs="Arial" w:eastAsia="Arial" w:hAnsi="Arial"/>
          <w:sz w:val="12"/>
          <w:szCs w:val="12"/>
          <w:color w:val="auto"/>
        </w:rPr>
        <w:t>We have two reportable segments: Industrial and Water Treatment. The Industrial Group operates our Industrial segment and specializes in providing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industrial chemicals, products and services to the agriculture, energy, electronics, food, chemical processing, pulp and paper, pharmaceutical, medical device and plating industries. The group also manufactures and sells certain food-grade products, including our patented Cheese Phos</w:t>
      </w:r>
      <w:r>
        <w:rPr>
          <w:rFonts w:ascii="Arial" w:cs="Arial" w:eastAsia="Arial" w:hAnsi="Arial"/>
          <w:sz w:val="10"/>
          <w:szCs w:val="10"/>
          <w:color w:val="auto"/>
        </w:rPr>
        <w:t>®</w:t>
      </w:r>
      <w:r>
        <w:rPr>
          <w:rFonts w:ascii="Arial" w:cs="Arial" w:eastAsia="Arial" w:hAnsi="Arial"/>
          <w:sz w:val="12"/>
          <w:szCs w:val="12"/>
          <w:color w:val="auto"/>
        </w:rPr>
        <w:t xml:space="preserve"> liquid phosphate,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small single well to a multi-million gallon-per-day facility.</w:t>
      </w:r>
    </w:p>
    <w:p>
      <w:pPr>
        <w:spacing w:after="0" w:line="55" w:lineRule="exact"/>
        <w:rPr>
          <w:sz w:val="20"/>
          <w:szCs w:val="20"/>
          <w:color w:val="auto"/>
        </w:rPr>
      </w:pPr>
    </w:p>
    <w:p>
      <w:pPr>
        <w:ind w:left="680" w:right="280" w:firstLine="399"/>
        <w:spacing w:after="0" w:line="266" w:lineRule="auto"/>
        <w:rPr>
          <w:sz w:val="20"/>
          <w:szCs w:val="20"/>
          <w:color w:val="auto"/>
        </w:rPr>
      </w:pPr>
      <w:r>
        <w:rPr>
          <w:rFonts w:ascii="Arial" w:cs="Arial" w:eastAsia="Arial" w:hAnsi="Arial"/>
          <w:sz w:val="13"/>
          <w:szCs w:val="13"/>
          <w:b w:val="1"/>
          <w:bCs w:val="1"/>
          <w:i w:val="1"/>
          <w:iCs w:val="1"/>
          <w:color w:val="auto"/>
        </w:rPr>
        <w:t xml:space="preserve">Fiscal Year — </w:t>
      </w:r>
      <w:r>
        <w:rPr>
          <w:rFonts w:ascii="Arial" w:cs="Arial" w:eastAsia="Arial" w:hAnsi="Arial"/>
          <w:sz w:val="13"/>
          <w:szCs w:val="13"/>
          <w:color w:val="auto"/>
        </w:rPr>
        <w:t>Our fiscal year is a 52/53-week year ending on the Sunday closest to March 31. Our fiscal year ending April 3, 2011 (“fiscal 2011”) is a 53-week year. The fiscal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years ended March 28, 2010 (“fiscal 2010”), and March 29, 2009 (“fiscal 2009”) were 52-week years. The fiscal year ending on April 1, 2012 (“fiscal 2012”) will be a 52-week year. Beginning in fiscal 2012, we changed our quarters to a 4-4-5 week convention.</w:t>
      </w:r>
    </w:p>
    <w:p>
      <w:pPr>
        <w:spacing w:after="0" w:line="67" w:lineRule="exact"/>
        <w:rPr>
          <w:sz w:val="20"/>
          <w:szCs w:val="20"/>
          <w:color w:val="auto"/>
        </w:rPr>
      </w:pPr>
    </w:p>
    <w:p>
      <w:pPr>
        <w:ind w:left="680" w:right="180" w:firstLine="399"/>
        <w:spacing w:after="0" w:line="279" w:lineRule="auto"/>
        <w:rPr>
          <w:sz w:val="20"/>
          <w:szCs w:val="20"/>
          <w:color w:val="auto"/>
        </w:rPr>
      </w:pPr>
      <w:r>
        <w:rPr>
          <w:rFonts w:ascii="Arial" w:cs="Arial" w:eastAsia="Arial" w:hAnsi="Arial"/>
          <w:sz w:val="13"/>
          <w:szCs w:val="13"/>
          <w:b w:val="1"/>
          <w:bCs w:val="1"/>
          <w:i w:val="1"/>
          <w:iCs w:val="1"/>
          <w:color w:val="auto"/>
        </w:rPr>
        <w:t xml:space="preserve">Principles of Consolidation — </w:t>
      </w:r>
      <w:r>
        <w:rPr>
          <w:rFonts w:ascii="Arial" w:cs="Arial" w:eastAsia="Arial" w:hAnsi="Arial"/>
          <w:sz w:val="13"/>
          <w:szCs w:val="13"/>
          <w:color w:val="auto"/>
        </w:rPr>
        <w:t>The consolidated financial statements include the accounts of Hawkins, Inc. and its wholly-owned subsidiaries. All intercompany transactions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accounts have been eliminated.</w:t>
      </w:r>
    </w:p>
    <w:p>
      <w:pPr>
        <w:spacing w:after="0" w:line="58"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b w:val="1"/>
          <w:bCs w:val="1"/>
          <w:i w:val="1"/>
          <w:iCs w:val="1"/>
          <w:color w:val="auto"/>
        </w:rPr>
        <w:t xml:space="preserve">Estimates — </w:t>
      </w:r>
      <w:r>
        <w:rPr>
          <w:rFonts w:ascii="Arial" w:cs="Arial" w:eastAsia="Arial" w:hAnsi="Arial"/>
          <w:sz w:val="13"/>
          <w:szCs w:val="13"/>
          <w:color w:val="auto"/>
        </w:rPr>
        <w:t>The preparation of financial statements in conformity with U.S. generally accepted accounting principles (“GAAP”) requires management to make estimates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b w:val="1"/>
          <w:bCs w:val="1"/>
          <w:i w:val="1"/>
          <w:iCs w:val="1"/>
          <w:color w:val="auto"/>
        </w:rPr>
        <w:t xml:space="preserve">Revenue Recognition — </w:t>
      </w:r>
      <w:r>
        <w:rPr>
          <w:rFonts w:ascii="Arial" w:cs="Arial" w:eastAsia="Arial" w:hAnsi="Arial"/>
          <w:sz w:val="13"/>
          <w:szCs w:val="13"/>
          <w:color w:val="auto"/>
        </w:rPr>
        <w:t>We recognize revenue when there is evidence that the customer has agreed to purchase the product, the price and terms of the sale are fixed, the product has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shipped and title passes to our customer, performance has occurred, and collection of the receivable is reasonably assured.</w:t>
      </w:r>
    </w:p>
    <w:p>
      <w:pPr>
        <w:spacing w:after="0" w:line="58" w:lineRule="exact"/>
        <w:rPr>
          <w:sz w:val="20"/>
          <w:szCs w:val="20"/>
          <w:color w:val="auto"/>
        </w:rPr>
      </w:pPr>
    </w:p>
    <w:p>
      <w:pPr>
        <w:ind w:left="680" w:right="300" w:firstLine="399"/>
        <w:spacing w:after="0" w:line="279" w:lineRule="auto"/>
        <w:rPr>
          <w:sz w:val="20"/>
          <w:szCs w:val="20"/>
          <w:color w:val="auto"/>
        </w:rPr>
      </w:pPr>
      <w:r>
        <w:rPr>
          <w:rFonts w:ascii="Arial" w:cs="Arial" w:eastAsia="Arial" w:hAnsi="Arial"/>
          <w:sz w:val="13"/>
          <w:szCs w:val="13"/>
          <w:b w:val="1"/>
          <w:bCs w:val="1"/>
          <w:i w:val="1"/>
          <w:iCs w:val="1"/>
          <w:color w:val="auto"/>
        </w:rPr>
        <w:t xml:space="preserve">Shipping and Handling — </w:t>
      </w:r>
      <w:r>
        <w:rPr>
          <w:rFonts w:ascii="Arial" w:cs="Arial" w:eastAsia="Arial" w:hAnsi="Arial"/>
          <w:sz w:val="13"/>
          <w:szCs w:val="13"/>
          <w:color w:val="auto"/>
        </w:rPr>
        <w:t>All shipping and handling amounts billed to customers are included in revenues. Costs incurred related to the shipping and handling of products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included in cost of sales.</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b w:val="1"/>
          <w:bCs w:val="1"/>
          <w:i w:val="1"/>
          <w:iCs w:val="1"/>
          <w:color w:val="auto"/>
        </w:rPr>
        <w:t xml:space="preserve">Fair Value Measurements — </w:t>
      </w:r>
      <w:r>
        <w:rPr>
          <w:rFonts w:ascii="Arial" w:cs="Arial" w:eastAsia="Arial" w:hAnsi="Arial"/>
          <w:sz w:val="13"/>
          <w:szCs w:val="13"/>
          <w:color w:val="auto"/>
        </w:rPr>
        <w:t>The Financial Accounting Standards Board (“FASB”) issued an accounting standard codified in ASC 820 “Fair Value Measurements and Disclosures”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provides a single definition for fair value, establishes a framework for measuring fair value and expands disclosures about fair value measurements. Under this standard, fair value is defined as the exit price, or the amount that would be received to sell an asset or paid to transfer a liability in an orderly transaction between market participants as of the measurement date. This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us. Unobservable inputs are inputs that reflect our assumptions about the factors market participants would use in valuing the asset or liability developed based upon the best information available in the circumstances.</w:t>
      </w:r>
    </w:p>
    <w:p>
      <w:pPr>
        <w:spacing w:after="0" w:line="71" w:lineRule="exact"/>
        <w:rPr>
          <w:sz w:val="20"/>
          <w:szCs w:val="20"/>
          <w:color w:val="auto"/>
        </w:rPr>
      </w:pPr>
    </w:p>
    <w:p>
      <w:pPr>
        <w:ind w:left="680" w:right="40" w:firstLine="399"/>
        <w:spacing w:after="0" w:line="374" w:lineRule="auto"/>
        <w:rPr>
          <w:sz w:val="20"/>
          <w:szCs w:val="20"/>
          <w:color w:val="auto"/>
        </w:rPr>
      </w:pPr>
      <w:r>
        <w:rPr>
          <w:rFonts w:ascii="Arial" w:cs="Arial" w:eastAsia="Arial" w:hAnsi="Arial"/>
          <w:sz w:val="11"/>
          <w:szCs w:val="11"/>
          <w:color w:val="auto"/>
        </w:rPr>
        <w:t>We adopted the standard as amended by subsequent FASB standards at the beginning of fiscal 2009 with respect to fair value measurements of financial assets and liabilities and the beginning of fiscal 2010 for nonfinancial assets and liabilities that are recognized or disclosed at fair value in our consolidated financial statements on a recurring basis (at least annually).</w:t>
      </w: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The financial assets and liabilities that are re-measured and reported at fair value for each reporting period include marketable securities. Other than the application of purchase accounting as a result of the Vertex acquisition, there were no fair value measurements with respect to nonfinancial assets or liabilities that are recognized or disclosed at fair value in our consolidated financial statements on a recurring basis subsequent to the effective date of this standard. The adoption did not have a material impact on our consolidated financial condition, results of operations or cash flows.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Valuation is based on observable inputs such as quoted market prices (unadjusted) for identical assets or liabilities in active markets.</w:t>
      </w:r>
    </w:p>
    <w:p>
      <w:pPr>
        <w:spacing w:after="0" w:line="98" w:lineRule="exact"/>
        <w:rPr>
          <w:sz w:val="20"/>
          <w:szCs w:val="20"/>
          <w:color w:val="auto"/>
        </w:rPr>
      </w:pPr>
    </w:p>
    <w:p>
      <w:pPr>
        <w:ind w:left="1080" w:right="40" w:firstLine="383"/>
        <w:spacing w:after="0" w:line="279" w:lineRule="auto"/>
        <w:rPr>
          <w:sz w:val="20"/>
          <w:szCs w:val="20"/>
          <w:color w:val="auto"/>
        </w:rPr>
      </w:pPr>
      <w:r>
        <w:rPr>
          <w:rFonts w:ascii="Arial" w:cs="Arial" w:eastAsia="Arial" w:hAnsi="Arial"/>
          <w:sz w:val="13"/>
          <w:szCs w:val="13"/>
          <w:i w:val="1"/>
          <w:iCs w:val="1"/>
          <w:color w:val="auto"/>
        </w:rPr>
        <w:t xml:space="preserve">Level 2: </w:t>
      </w:r>
      <w:r>
        <w:rPr>
          <w:rFonts w:ascii="Arial" w:cs="Arial" w:eastAsia="Arial" w:hAnsi="Arial"/>
          <w:sz w:val="13"/>
          <w:szCs w:val="13"/>
          <w:color w:val="auto"/>
        </w:rPr>
        <w:t>Valuation is based on inputs such as quoted market prices for similar assets or liabilities in active markets or other inputs that are observable for the asset or liability,</w:t>
      </w:r>
      <w:r>
        <w:rPr>
          <w:rFonts w:ascii="Arial" w:cs="Arial" w:eastAsia="Arial" w:hAnsi="Arial"/>
          <w:sz w:val="13"/>
          <w:szCs w:val="13"/>
          <w:i w:val="1"/>
          <w:iCs w:val="1"/>
          <w:color w:val="auto"/>
        </w:rPr>
        <w:t xml:space="preserve"> </w:t>
      </w:r>
      <w:r>
        <w:rPr>
          <w:rFonts w:ascii="Arial" w:cs="Arial" w:eastAsia="Arial" w:hAnsi="Arial"/>
          <w:sz w:val="13"/>
          <w:szCs w:val="13"/>
          <w:color w:val="auto"/>
        </w:rPr>
        <w:t>either directly or indirectly, for substantially the full term of the financial instrument.</w:t>
      </w:r>
    </w:p>
    <w:p>
      <w:pPr>
        <w:spacing w:after="0" w:line="58"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Valuation is based upon other unobservable inputs that are significant to the fair value measurement.</w:t>
      </w:r>
    </w:p>
    <w:p>
      <w:pPr>
        <w:spacing w:after="0" w:line="98"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58" w:lineRule="exact"/>
        <w:rPr>
          <w:sz w:val="20"/>
          <w:szCs w:val="20"/>
          <w:color w:val="auto"/>
        </w:rPr>
      </w:pPr>
    </w:p>
    <w:p>
      <w:pPr>
        <w:ind w:left="680" w:right="340" w:firstLine="399"/>
        <w:spacing w:after="0" w:line="279" w:lineRule="auto"/>
        <w:rPr>
          <w:sz w:val="20"/>
          <w:szCs w:val="20"/>
          <w:color w:val="auto"/>
        </w:rPr>
      </w:pPr>
      <w:r>
        <w:rPr>
          <w:rFonts w:ascii="Arial" w:cs="Arial" w:eastAsia="Arial" w:hAnsi="Arial"/>
          <w:sz w:val="13"/>
          <w:szCs w:val="13"/>
          <w:b w:val="1"/>
          <w:bCs w:val="1"/>
          <w:i w:val="1"/>
          <w:iCs w:val="1"/>
          <w:color w:val="auto"/>
        </w:rPr>
        <w:t xml:space="preserve">Cash Equivalents — </w:t>
      </w:r>
      <w:r>
        <w:rPr>
          <w:rFonts w:ascii="Arial" w:cs="Arial" w:eastAsia="Arial" w:hAnsi="Arial"/>
          <w:sz w:val="13"/>
          <w:szCs w:val="13"/>
          <w:color w:val="auto"/>
        </w:rPr>
        <w:t>Cash equivalents include all liquid debt instruments (primarily cash funds, money market accounts and certificates of deposit) purchased with an original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maturity of three months or less. The balances maintained at financial institutions may, at times, exceed federally insured limits.</w:t>
      </w:r>
    </w:p>
    <w:p>
      <w:pPr>
        <w:spacing w:after="0" w:line="58"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b w:val="1"/>
          <w:bCs w:val="1"/>
          <w:i w:val="1"/>
          <w:iCs w:val="1"/>
          <w:color w:val="auto"/>
        </w:rPr>
        <w:t xml:space="preserve">Investments — </w:t>
      </w:r>
      <w:r>
        <w:rPr>
          <w:rFonts w:ascii="Arial" w:cs="Arial" w:eastAsia="Arial" w:hAnsi="Arial"/>
          <w:sz w:val="12"/>
          <w:szCs w:val="12"/>
          <w:color w:val="auto"/>
        </w:rPr>
        <w:t>Available-for-sale securities consist of certificates of deposit and are valued at current market value, with the resulting unrealized gains and losses excluded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48"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b w:val="1"/>
          <w:bCs w:val="1"/>
          <w:i w:val="1"/>
          <w:iCs w:val="1"/>
          <w:color w:val="auto"/>
        </w:rPr>
        <w:t xml:space="preserve">Trade Receivables and Concentrations of Credit Risk — </w:t>
      </w:r>
      <w:r>
        <w:rPr>
          <w:rFonts w:ascii="Arial" w:cs="Arial" w:eastAsia="Arial" w:hAnsi="Arial"/>
          <w:sz w:val="12"/>
          <w:szCs w:val="12"/>
          <w:color w:val="auto"/>
        </w:rPr>
        <w:t>Financial instruments, which potentially subject us to a concentration of credit risk, principally consist of trade receivables.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We sell our principal products to a large number of customers in many different industries. There are no concentrations of business transacted with a particular customer or sales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certificates of deposit and a money market account at two separate financial institutions where the cash balances may exceed federally insured limits. The institutions are two of the largest commercial banking institutions in the country and both have maintained a AA credit rating.</w:t>
      </w:r>
    </w:p>
    <w:p>
      <w:pPr>
        <w:spacing w:after="0" w:line="57" w:lineRule="exact"/>
        <w:rPr>
          <w:sz w:val="20"/>
          <w:szCs w:val="20"/>
          <w:color w:val="auto"/>
        </w:rPr>
      </w:pPr>
    </w:p>
    <w:p>
      <w:pPr>
        <w:jc w:val="both"/>
        <w:ind w:left="680" w:right="20" w:firstLine="399"/>
        <w:spacing w:after="0" w:line="266" w:lineRule="auto"/>
        <w:rPr>
          <w:sz w:val="20"/>
          <w:szCs w:val="20"/>
          <w:color w:val="auto"/>
        </w:rPr>
      </w:pPr>
      <w:r>
        <w:rPr>
          <w:rFonts w:ascii="Arial" w:cs="Arial" w:eastAsia="Arial" w:hAnsi="Arial"/>
          <w:sz w:val="13"/>
          <w:szCs w:val="13"/>
          <w:b w:val="1"/>
          <w:bCs w:val="1"/>
          <w:i w:val="1"/>
          <w:iCs w:val="1"/>
          <w:color w:val="auto"/>
        </w:rPr>
        <w:t xml:space="preserve">Inventories — </w:t>
      </w:r>
      <w:r>
        <w:rPr>
          <w:rFonts w:ascii="Arial" w:cs="Arial" w:eastAsia="Arial" w:hAnsi="Arial"/>
          <w:sz w:val="13"/>
          <w:szCs w:val="13"/>
          <w:color w:val="auto"/>
        </w:rPr>
        <w:t>Inventories, consisting primarily of finished goods, are primarily valued at the lower of cost or net realizable value, with cost being determined using the last-in, first-out (“LIFO”) method. Vertex’s inventory cost, which represents approximately 18% of the total FIFO inventory balance at April 3, 2011, is determined using the first-in, first-out (“FIFO”) method.</w:t>
      </w:r>
    </w:p>
    <w:p>
      <w:pPr>
        <w:spacing w:after="0" w:line="67"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b w:val="1"/>
          <w:bCs w:val="1"/>
          <w:i w:val="1"/>
          <w:iCs w:val="1"/>
          <w:color w:val="auto"/>
        </w:rPr>
        <w:t xml:space="preserve">Property, Plant and Equipment — </w:t>
      </w:r>
      <w:r>
        <w:rPr>
          <w:rFonts w:ascii="Arial" w:cs="Arial" w:eastAsia="Arial" w:hAnsi="Arial"/>
          <w:sz w:val="13"/>
          <w:szCs w:val="13"/>
          <w:color w:val="auto"/>
        </w:rPr>
        <w:t>Property is stated at cost and depreciated or amortized over the lives of the assets, using straight-line method. Estimated lives are: 10 to 40 years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buildings and improvements; 3 to 20 years for machinery and equipment; 3 to 10 years for transportation equipment; and 3 to 10 years for office furniture and equipment including computer systems.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67"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We review the recoverability of long-lived assets to be held and used, such as property, plant and equipment,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of the related operations. If these cash flows are less than the carrying value of such asset or asset group, an impairment loss would be measured by the amount the carrying value exceeds the fair value of the long-lived assets. The measurement of impairment requires us to estimate future cash flows and the fair value of long-lived assets. No material long-lived assets were determined to be impaired during fiscal 2011, 2010, or 2009.</w:t>
      </w:r>
    </w:p>
    <w:p>
      <w:pPr>
        <w:spacing w:after="0" w:line="7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b w:val="1"/>
          <w:bCs w:val="1"/>
          <w:i w:val="1"/>
          <w:iCs w:val="1"/>
          <w:color w:val="auto"/>
        </w:rPr>
        <w:t xml:space="preserve">Goodwill and Identifiable Intangible Assets — </w:t>
      </w:r>
      <w:r>
        <w:rPr>
          <w:rFonts w:ascii="Arial" w:cs="Arial" w:eastAsia="Arial" w:hAnsi="Arial"/>
          <w:sz w:val="12"/>
          <w:szCs w:val="12"/>
          <w:color w:val="auto"/>
        </w:rPr>
        <w:t>Goodwill represents the excess of the cost of acquired businesses over the fair value of identifiable tangible net assets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identifiable 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61"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Our primary identifiable intangible assets include customer lists, trade secrets, non-compete agreements, trademarks, and trade names acquired in previous business acquisitions. Identifiable intangibles with finite lives are amortized and those identifiable intangibles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comparison of the fair value of the intangible asset with its carrying amount.</w:t>
      </w:r>
    </w:p>
    <w:p>
      <w:pPr>
        <w:spacing w:after="0" w:line="55"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completed step one of our annual goodwill impairment evaluation during the fourth quarter of fiscal 2011 and determined that the reporting unit’s fair value substantially exceeded its carrying value. Accordingly, step two of the impairment analysis was not required. We also completed an impairment test of intangible assets not subject to amortization during the fourth quarter, in which the fair value exceeded the carrying amount. Additionally, no impairment charges were required for fiscal 2010 or 2009.</w:t>
      </w:r>
    </w:p>
    <w:p>
      <w:pPr>
        <w:spacing w:after="0" w:line="34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b w:val="1"/>
          <w:bCs w:val="1"/>
          <w:i w:val="1"/>
          <w:iCs w:val="1"/>
          <w:color w:val="auto"/>
        </w:rPr>
        <w:t xml:space="preserve">Income Taxes — </w:t>
      </w:r>
      <w:r>
        <w:rPr>
          <w:rFonts w:ascii="Arial" w:cs="Arial" w:eastAsia="Arial" w:hAnsi="Arial"/>
          <w:sz w:val="13"/>
          <w:szCs w:val="13"/>
          <w:color w:val="auto"/>
        </w:rPr>
        <w:t>In the preparation of our consolidated financial statements, management calculates income taxes based upon the estimated effective rate applicable to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70"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color w:val="auto"/>
        </w:rPr>
        <w:t>The effect of income tax positions are recognized only if those positions are more likely than not of being sustained. Changes in recognition or measurement are made as facts and circumstances change.</w:t>
      </w:r>
    </w:p>
    <w:p>
      <w:pPr>
        <w:spacing w:after="0" w:line="58" w:lineRule="exact"/>
        <w:rPr>
          <w:sz w:val="20"/>
          <w:szCs w:val="20"/>
          <w:color w:val="auto"/>
        </w:rPr>
      </w:pPr>
    </w:p>
    <w:p>
      <w:pPr>
        <w:ind w:left="680" w:right="280" w:firstLine="399"/>
        <w:spacing w:after="0" w:line="299" w:lineRule="auto"/>
        <w:rPr>
          <w:sz w:val="20"/>
          <w:szCs w:val="20"/>
          <w:color w:val="auto"/>
        </w:rPr>
      </w:pPr>
      <w:r>
        <w:rPr>
          <w:rFonts w:ascii="Arial" w:cs="Arial" w:eastAsia="Arial" w:hAnsi="Arial"/>
          <w:sz w:val="12"/>
          <w:szCs w:val="12"/>
          <w:b w:val="1"/>
          <w:bCs w:val="1"/>
          <w:i w:val="1"/>
          <w:iCs w:val="1"/>
          <w:color w:val="auto"/>
        </w:rPr>
        <w:t xml:space="preserve">Stock-Based Compensation — </w:t>
      </w:r>
      <w:r>
        <w:rPr>
          <w:rFonts w:ascii="Arial" w:cs="Arial" w:eastAsia="Arial" w:hAnsi="Arial"/>
          <w:sz w:val="12"/>
          <w:szCs w:val="12"/>
          <w:color w:val="auto"/>
        </w:rPr>
        <w:t>We account for stock-based compensation on a fair value basis. The estimated grant date fair value of each stock-based award is recognized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 over the requisite service period (generally the vesting period). The estimated fair value of each option is calculated using the Black-Scholes option-pricing model. Non-vested share awards are recorded as compensation expense over the requisite service periods based on the market value on the date of grant.</w:t>
      </w:r>
    </w:p>
    <w:p>
      <w:pPr>
        <w:spacing w:after="0" w:line="48"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b w:val="1"/>
          <w:bCs w:val="1"/>
          <w:i w:val="1"/>
          <w:iCs w:val="1"/>
          <w:color w:val="auto"/>
        </w:rPr>
        <w:t xml:space="preserve">Earnings Per Share — </w:t>
      </w:r>
      <w:r>
        <w:rPr>
          <w:rFonts w:ascii="Arial" w:cs="Arial" w:eastAsia="Arial" w:hAnsi="Arial"/>
          <w:sz w:val="12"/>
          <w:szCs w:val="12"/>
          <w:color w:val="auto"/>
        </w:rPr>
        <w:t>Basic earnings per share (“EPS”) are computed by dividing net income by the weighted-average number of common shares outstanding. Diluted EPS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920" w:type="dxa"/>
            <w:vAlign w:val="bottom"/>
          </w:tcPr>
          <w:p>
            <w:pPr>
              <w:jc w:val="right"/>
              <w:ind w:right="219"/>
              <w:spacing w:after="0"/>
              <w:rPr>
                <w:sz w:val="20"/>
                <w:szCs w:val="20"/>
                <w:color w:val="auto"/>
              </w:rPr>
            </w:pPr>
            <w:r>
              <w:rPr>
                <w:rFonts w:ascii="Arial" w:cs="Arial" w:eastAsia="Arial" w:hAnsi="Arial"/>
                <w:sz w:val="11"/>
                <w:szCs w:val="11"/>
                <w:b w:val="1"/>
                <w:bCs w:val="1"/>
                <w:color w:val="auto"/>
              </w:rPr>
              <w:t>April 3,</w:t>
            </w:r>
          </w:p>
        </w:tc>
        <w:tc>
          <w:tcPr>
            <w:tcW w:w="400" w:type="dxa"/>
            <w:vAlign w:val="bottom"/>
          </w:tcPr>
          <w:p>
            <w:pPr>
              <w:spacing w:after="0"/>
              <w:rPr>
                <w:sz w:val="10"/>
                <w:szCs w:val="10"/>
                <w:color w:val="auto"/>
              </w:rPr>
            </w:pPr>
          </w:p>
        </w:tc>
        <w:tc>
          <w:tcPr>
            <w:tcW w:w="880" w:type="dxa"/>
            <w:vAlign w:val="bottom"/>
          </w:tcPr>
          <w:p>
            <w:pPr>
              <w:jc w:val="right"/>
              <w:ind w:right="158"/>
              <w:spacing w:after="0"/>
              <w:rPr>
                <w:sz w:val="20"/>
                <w:szCs w:val="20"/>
                <w:color w:val="auto"/>
              </w:rPr>
            </w:pPr>
            <w:r>
              <w:rPr>
                <w:rFonts w:ascii="Arial" w:cs="Arial" w:eastAsia="Arial" w:hAnsi="Arial"/>
                <w:sz w:val="11"/>
                <w:szCs w:val="11"/>
                <w:b w:val="1"/>
                <w:bCs w:val="1"/>
                <w:color w:val="auto"/>
              </w:rPr>
              <w:t>March 28,</w:t>
            </w:r>
          </w:p>
        </w:tc>
        <w:tc>
          <w:tcPr>
            <w:tcW w:w="400" w:type="dxa"/>
            <w:vAlign w:val="bottom"/>
          </w:tcPr>
          <w:p>
            <w:pPr>
              <w:spacing w:after="0"/>
              <w:rPr>
                <w:sz w:val="10"/>
                <w:szCs w:val="10"/>
                <w:color w:val="auto"/>
              </w:rPr>
            </w:pPr>
          </w:p>
        </w:tc>
        <w:tc>
          <w:tcPr>
            <w:tcW w:w="980" w:type="dxa"/>
            <w:vAlign w:val="bottom"/>
            <w:gridSpan w:val="2"/>
          </w:tcPr>
          <w:p>
            <w:pPr>
              <w:ind w:left="220"/>
              <w:spacing w:after="0"/>
              <w:rPr>
                <w:sz w:val="20"/>
                <w:szCs w:val="20"/>
                <w:color w:val="auto"/>
              </w:rPr>
            </w:pPr>
            <w:r>
              <w:rPr>
                <w:rFonts w:ascii="Arial" w:cs="Arial" w:eastAsia="Arial" w:hAnsi="Arial"/>
                <w:sz w:val="11"/>
                <w:szCs w:val="11"/>
                <w:b w:val="1"/>
                <w:bCs w:val="1"/>
                <w:color w:val="auto"/>
              </w:rPr>
              <w:t>March 29,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920" w:type="dxa"/>
            <w:vAlign w:val="bottom"/>
          </w:tcPr>
          <w:p>
            <w:pPr>
              <w:jc w:val="right"/>
              <w:ind w:right="299"/>
              <w:spacing w:after="0"/>
              <w:rPr>
                <w:sz w:val="20"/>
                <w:szCs w:val="20"/>
                <w:color w:val="auto"/>
              </w:rPr>
            </w:pPr>
            <w:r>
              <w:rPr>
                <w:rFonts w:ascii="Arial" w:cs="Arial" w:eastAsia="Arial" w:hAnsi="Arial"/>
                <w:sz w:val="11"/>
                <w:szCs w:val="11"/>
                <w:b w:val="1"/>
                <w:bCs w:val="1"/>
                <w:color w:val="auto"/>
              </w:rPr>
              <w:t>2011</w:t>
            </w:r>
          </w:p>
        </w:tc>
        <w:tc>
          <w:tcPr>
            <w:tcW w:w="1280" w:type="dxa"/>
            <w:vAlign w:val="bottom"/>
            <w:gridSpan w:val="2"/>
          </w:tcPr>
          <w:p>
            <w:pPr>
              <w:jc w:val="right"/>
              <w:ind w:right="278"/>
              <w:spacing w:after="0"/>
              <w:rPr>
                <w:sz w:val="20"/>
                <w:szCs w:val="20"/>
                <w:color w:val="auto"/>
              </w:rPr>
            </w:pPr>
            <w:r>
              <w:rPr>
                <w:rFonts w:ascii="Arial" w:cs="Arial" w:eastAsia="Arial" w:hAnsi="Arial"/>
                <w:sz w:val="11"/>
                <w:szCs w:val="11"/>
                <w:b w:val="1"/>
                <w:bCs w:val="1"/>
                <w:color w:val="auto"/>
              </w:rPr>
              <w:t>2010</w:t>
            </w:r>
          </w:p>
        </w:tc>
        <w:tc>
          <w:tcPr>
            <w:tcW w:w="1280" w:type="dxa"/>
            <w:vAlign w:val="bottom"/>
            <w:gridSpan w:val="2"/>
          </w:tcPr>
          <w:p>
            <w:pPr>
              <w:jc w:val="right"/>
              <w:ind w:right="278"/>
              <w:spacing w:after="0"/>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 basic</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10,260,135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10,250,978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10,243,970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380" w:type="dxa"/>
            <w:vAlign w:val="bottom"/>
          </w:tcPr>
          <w:p>
            <w:pPr>
              <w:spacing w:after="0"/>
              <w:rPr>
                <w:sz w:val="20"/>
                <w:szCs w:val="20"/>
                <w:color w:val="auto"/>
              </w:rPr>
            </w:pPr>
            <w:r>
              <w:rPr>
                <w:rFonts w:ascii="Arial" w:cs="Arial" w:eastAsia="Arial" w:hAnsi="Arial"/>
                <w:sz w:val="13"/>
                <w:szCs w:val="13"/>
                <w:color w:val="auto"/>
              </w:rPr>
              <w:t>Dilutive impact of stock options, performance units, and restricted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92,498</w:t>
            </w:r>
          </w:p>
        </w:tc>
        <w:tc>
          <w:tcPr>
            <w:tcW w:w="4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32,015</w:t>
            </w:r>
          </w:p>
        </w:tc>
        <w:tc>
          <w:tcPr>
            <w:tcW w:w="4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 — diluted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10,352,633</w:t>
            </w: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10,282,993</w:t>
            </w:r>
          </w:p>
        </w:tc>
        <w:tc>
          <w:tcPr>
            <w:tcW w:w="4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10,249,027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3"/>
          <w:szCs w:val="13"/>
          <w:color w:val="auto"/>
        </w:rPr>
        <w:t>There were no shares or stock options excluded from the calculation of weighted average common shares for diluted EPS for fiscal 2011. Stock options totaling 70,665 in fiscal 2010 and 61,332 in fiscal 2009 have been excluded from the calculation of diluted EPS because the effect of including the shares would be anti-dilutive.</w:t>
      </w:r>
    </w:p>
    <w:p>
      <w:pPr>
        <w:spacing w:after="0" w:line="58" w:lineRule="exact"/>
        <w:rPr>
          <w:sz w:val="20"/>
          <w:szCs w:val="20"/>
          <w:color w:val="auto"/>
        </w:rPr>
      </w:pPr>
    </w:p>
    <w:p>
      <w:pPr>
        <w:ind w:left="880" w:right="420" w:firstLine="200"/>
        <w:spacing w:after="0" w:line="396" w:lineRule="auto"/>
        <w:rPr>
          <w:sz w:val="20"/>
          <w:szCs w:val="20"/>
          <w:color w:val="auto"/>
        </w:rPr>
      </w:pPr>
      <w:r>
        <w:rPr>
          <w:rFonts w:ascii="Arial" w:cs="Arial" w:eastAsia="Arial" w:hAnsi="Arial"/>
          <w:sz w:val="13"/>
          <w:szCs w:val="13"/>
          <w:b w:val="1"/>
          <w:bCs w:val="1"/>
          <w:i w:val="1"/>
          <w:iCs w:val="1"/>
          <w:color w:val="auto"/>
        </w:rPr>
        <w:t xml:space="preserve">Derivative Instruments and Hedging Activities — </w:t>
      </w:r>
      <w:r>
        <w:rPr>
          <w:rFonts w:ascii="Arial" w:cs="Arial" w:eastAsia="Arial" w:hAnsi="Arial"/>
          <w:sz w:val="13"/>
          <w:szCs w:val="13"/>
          <w:color w:val="auto"/>
        </w:rPr>
        <w:t>We do not have any freestanding or embedded derivatives and it is our policy to not enter into contracts that contain them.</w:t>
      </w:r>
      <w:r>
        <w:rPr>
          <w:rFonts w:ascii="Arial" w:cs="Arial" w:eastAsia="Arial" w:hAnsi="Arial"/>
          <w:sz w:val="13"/>
          <w:szCs w:val="13"/>
          <w:b w:val="1"/>
          <w:bCs w:val="1"/>
          <w:i w:val="1"/>
          <w:iCs w:val="1"/>
          <w:color w:val="auto"/>
        </w:rPr>
        <w:t xml:space="preserve"> Recently Issued Accounting Pronouncements —</w:t>
      </w:r>
    </w:p>
    <w:p>
      <w:pPr>
        <w:spacing w:after="0" w:line="1"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Intangibles — Goodwill and Other — </w:t>
      </w:r>
      <w:r>
        <w:rPr>
          <w:rFonts w:ascii="Arial" w:cs="Arial" w:eastAsia="Arial" w:hAnsi="Arial"/>
          <w:sz w:val="13"/>
          <w:szCs w:val="13"/>
          <w:color w:val="auto"/>
        </w:rPr>
        <w:t>In December 2010, the FASB issued amended guidance to modify Step 1 of the goodwill impairment test for reporting units with zero or</w:t>
      </w:r>
      <w:r>
        <w:rPr>
          <w:rFonts w:ascii="Arial" w:cs="Arial" w:eastAsia="Arial" w:hAnsi="Arial"/>
          <w:sz w:val="13"/>
          <w:szCs w:val="13"/>
          <w:i w:val="1"/>
          <w:iCs w:val="1"/>
          <w:color w:val="auto"/>
        </w:rPr>
        <w:t xml:space="preserve"> </w:t>
      </w:r>
      <w:r>
        <w:rPr>
          <w:rFonts w:ascii="Arial" w:cs="Arial" w:eastAsia="Arial" w:hAnsi="Arial"/>
          <w:sz w:val="13"/>
          <w:szCs w:val="13"/>
          <w:color w:val="auto"/>
        </w:rPr>
        <w:t>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The modified guidance is effective for fiscal years and interim periods within those years beginning after December 15, 2010.</w:t>
      </w:r>
    </w:p>
    <w:p>
      <w:pPr>
        <w:spacing w:after="0" w:line="69"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i w:val="1"/>
          <w:iCs w:val="1"/>
          <w:color w:val="auto"/>
        </w:rPr>
        <w:t xml:space="preserve">Business Combinations — </w:t>
      </w:r>
      <w:r>
        <w:rPr>
          <w:rFonts w:ascii="Arial" w:cs="Arial" w:eastAsia="Arial" w:hAnsi="Arial"/>
          <w:sz w:val="13"/>
          <w:szCs w:val="13"/>
          <w:color w:val="auto"/>
        </w:rPr>
        <w:t>In December 2010, the FASB updated guidance to clarify the acquisition date that should be used for reporting the pro forma financial information</w:t>
      </w:r>
      <w:r>
        <w:rPr>
          <w:rFonts w:ascii="Arial" w:cs="Arial" w:eastAsia="Arial" w:hAnsi="Arial"/>
          <w:sz w:val="13"/>
          <w:szCs w:val="13"/>
          <w:i w:val="1"/>
          <w:iCs w:val="1"/>
          <w:color w:val="auto"/>
        </w:rPr>
        <w:t xml:space="preserve"> </w:t>
      </w:r>
      <w:r>
        <w:rPr>
          <w:rFonts w:ascii="Arial" w:cs="Arial" w:eastAsia="Arial" w:hAnsi="Arial"/>
          <w:sz w:val="13"/>
          <w:szCs w:val="13"/>
          <w:color w:val="auto"/>
        </w:rPr>
        <w:t>disclosures when comparative financial statements are presented. The updated guidance is effective for business combinations for which the acquisition date is on or after the beginning of the first annual reporting period beginning on or after December 15, 2010.</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i w:val="1"/>
          <w:iCs w:val="1"/>
          <w:color w:val="auto"/>
        </w:rPr>
        <w:t xml:space="preserve">Fair Value Measurements and Disclosures — </w:t>
      </w:r>
      <w:r>
        <w:rPr>
          <w:rFonts w:ascii="Arial" w:cs="Arial" w:eastAsia="Arial" w:hAnsi="Arial"/>
          <w:sz w:val="13"/>
          <w:szCs w:val="13"/>
          <w:color w:val="auto"/>
        </w:rPr>
        <w:t>In January 2010, the FASB issued additional disclosure requirements for assets and liabilities held at fair value. Specifically, the new</w:t>
      </w:r>
      <w:r>
        <w:rPr>
          <w:rFonts w:ascii="Arial" w:cs="Arial" w:eastAsia="Arial" w:hAnsi="Arial"/>
          <w:sz w:val="13"/>
          <w:szCs w:val="13"/>
          <w:i w:val="1"/>
          <w:iCs w:val="1"/>
          <w:color w:val="auto"/>
        </w:rPr>
        <w:t xml:space="preserve"> </w:t>
      </w:r>
      <w:r>
        <w:rPr>
          <w:rFonts w:ascii="Arial" w:cs="Arial" w:eastAsia="Arial" w:hAnsi="Arial"/>
          <w:sz w:val="13"/>
          <w:szCs w:val="13"/>
          <w:color w:val="auto"/>
        </w:rPr>
        <w:t>guidance requires a gross presentation of activities within the Level 3 roll forward and adds a new requirement to disclose transfers in and out of Level 1 and 2 measurements. This guidance is applicable to all entities currently required to provide disclosures about recurring and nonrecurring fair value measurements. The effective date for these disclosures is the first interim or annual reporting period beginning after December 15, 2009, except for the gross presentation of the Level 3 roll forward information, which is required for annual reporting periods beginning after December 15, 2010 and for interim reporting periods within those years.</w:t>
      </w:r>
    </w:p>
    <w:p>
      <w:pPr>
        <w:spacing w:after="0" w:line="14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2 —</w:t>
      </w:r>
      <w:r>
        <w:rPr>
          <w:sz w:val="20"/>
          <w:szCs w:val="20"/>
          <w:color w:val="auto"/>
        </w:rPr>
        <w:tab/>
      </w:r>
      <w:r>
        <w:rPr>
          <w:rFonts w:ascii="Arial" w:cs="Arial" w:eastAsia="Arial" w:hAnsi="Arial"/>
          <w:sz w:val="11"/>
          <w:szCs w:val="11"/>
          <w:b w:val="1"/>
          <w:bCs w:val="1"/>
          <w:color w:val="auto"/>
        </w:rPr>
        <w:t>Business Combinations</w:t>
      </w:r>
    </w:p>
    <w:p>
      <w:pPr>
        <w:spacing w:after="0" w:line="102" w:lineRule="exact"/>
        <w:rPr>
          <w:sz w:val="20"/>
          <w:szCs w:val="20"/>
          <w:color w:val="auto"/>
        </w:rPr>
      </w:pPr>
    </w:p>
    <w:p>
      <w:pPr>
        <w:ind w:left="680" w:right="860" w:firstLine="399"/>
        <w:spacing w:after="0" w:line="259" w:lineRule="auto"/>
        <w:rPr>
          <w:sz w:val="20"/>
          <w:szCs w:val="20"/>
          <w:color w:val="auto"/>
        </w:rPr>
      </w:pPr>
      <w:r>
        <w:rPr>
          <w:rFonts w:ascii="Arial" w:cs="Arial" w:eastAsia="Arial" w:hAnsi="Arial"/>
          <w:sz w:val="13"/>
          <w:szCs w:val="13"/>
          <w:color w:val="auto"/>
        </w:rPr>
        <w:t>On January 14, 2011, we completed the acquisition of the assets of Vertex Chemical Corporation, Novel Wash Co. Inc. and R.H.A. Corporation, (collectively, “Vertex”), pursuant to an Asset Purchase Agreement dated as of January 10, 2011 (the “Asset Purchase Agreement”). As provided in the Purchase Agreement, we acquired substantially all of the assets used in Vertex’s business, which is primarily the manufacture and distribution of sodium hypochlorite and the distribution of caustic soda, hydrochloric acid and related products. We paid cash of $25.5 million at closing and assumed certain liabilities of Vertex. The purchase price was revised to $27.2 million as provided in the Purchase Agreement to reflect a final working capital adjustment of $1.7 million, which was paid in early fiscal 2012. In connection with the acquisition we incurred acquisition related costs of $0.7 million, which were recorded as selling, general and administrative expenses in the Consolidated Statements of Income.</w:t>
      </w:r>
    </w:p>
    <w:p>
      <w:pPr>
        <w:spacing w:after="0" w:line="70" w:lineRule="exact"/>
        <w:rPr>
          <w:sz w:val="20"/>
          <w:szCs w:val="20"/>
          <w:color w:val="auto"/>
        </w:rPr>
      </w:pPr>
    </w:p>
    <w:p>
      <w:pPr>
        <w:ind w:left="680" w:right="840" w:firstLine="399"/>
        <w:spacing w:after="0" w:line="374" w:lineRule="auto"/>
        <w:rPr>
          <w:sz w:val="20"/>
          <w:szCs w:val="20"/>
          <w:color w:val="auto"/>
        </w:rPr>
      </w:pPr>
      <w:r>
        <w:rPr>
          <w:rFonts w:ascii="Arial" w:cs="Arial" w:eastAsia="Arial" w:hAnsi="Arial"/>
          <w:sz w:val="11"/>
          <w:szCs w:val="11"/>
          <w:color w:val="auto"/>
        </w:rPr>
        <w:t xml:space="preserve">The acquisition has been accounted for under the acquisition method of accounting in accordance with ASC Topic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Under the acquisition method of accounting, the total estimated purchase price is allocated to the net tangible and intangible assets of Vertex acquired in connection with the acquisition, based on their estimated fair values.</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allocation of the purchase price to assets acquired and liabilities assumed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Amount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92"/>
              </w:rPr>
              <w:t>(In thousands)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Inventories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4,750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8,991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Intangibles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5,490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Accrued employee benefits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Total purchase price</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27,209</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8000" w:type="dxa"/>
            <w:vAlign w:val="bottom"/>
          </w:tcPr>
          <w:p>
            <w:pPr>
              <w:ind w:left="380"/>
              <w:spacing w:after="0"/>
              <w:rPr>
                <w:sz w:val="20"/>
                <w:szCs w:val="20"/>
                <w:color w:val="auto"/>
              </w:rPr>
            </w:pPr>
            <w:r>
              <w:rPr>
                <w:rFonts w:ascii="Arial" w:cs="Arial" w:eastAsia="Arial" w:hAnsi="Arial"/>
                <w:sz w:val="13"/>
                <w:szCs w:val="13"/>
                <w:color w:val="auto"/>
                <w:w w:val="92"/>
              </w:rPr>
              <w:t>The allocation of the purchase price to the assets acquired and liabilities assumed resulted in the recognition of the following intangible assets: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4"/>
              </w:rPr>
              <w:t>Weighted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ind w:right="460"/>
              <w:spacing w:after="0"/>
              <w:rPr>
                <w:sz w:val="20"/>
                <w:szCs w:val="20"/>
                <w:color w:val="auto"/>
              </w:rPr>
            </w:pPr>
            <w:r>
              <w:rPr>
                <w:rFonts w:ascii="Arial" w:cs="Arial" w:eastAsia="Arial" w:hAnsi="Arial"/>
                <w:sz w:val="11"/>
                <w:szCs w:val="11"/>
                <w:b w:val="1"/>
                <w:bCs w:val="1"/>
                <w:color w:val="auto"/>
              </w:rPr>
              <w:t>Amount</w:t>
            </w:r>
          </w:p>
        </w:tc>
        <w:tc>
          <w:tcPr>
            <w:tcW w:w="9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7"/>
              </w:rPr>
              <w:t>Average Life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0" w:type="dxa"/>
            <w:vAlign w:val="bottom"/>
            <w:gridSpan w:val="2"/>
          </w:tcPr>
          <w:p>
            <w:pPr>
              <w:jc w:val="right"/>
              <w:ind w:right="140"/>
              <w:spacing w:after="0" w:line="116" w:lineRule="exact"/>
              <w:rPr>
                <w:sz w:val="20"/>
                <w:szCs w:val="20"/>
                <w:color w:val="auto"/>
              </w:rPr>
            </w:pPr>
            <w:r>
              <w:rPr>
                <w:rFonts w:ascii="Arial" w:cs="Arial" w:eastAsia="Arial" w:hAnsi="Arial"/>
                <w:sz w:val="11"/>
                <w:szCs w:val="11"/>
                <w:b w:val="1"/>
                <w:bCs w:val="1"/>
                <w:color w:val="auto"/>
              </w:rPr>
              <w:t>(In</w:t>
            </w:r>
          </w:p>
        </w:tc>
        <w:tc>
          <w:tcPr>
            <w:tcW w:w="98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9"/>
                <w:szCs w:val="9"/>
                <w:b w:val="1"/>
                <w:bCs w:val="1"/>
                <w:color w:val="auto"/>
                <w:w w:val="74"/>
              </w:rPr>
              <w:t>thousands)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3,450</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20 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tcPr>
          <w:p>
            <w:pPr>
              <w:spacing w:after="0"/>
              <w:rPr>
                <w:sz w:val="20"/>
                <w:szCs w:val="20"/>
                <w:color w:val="auto"/>
              </w:rPr>
            </w:pPr>
            <w:r>
              <w:rPr>
                <w:rFonts w:ascii="Arial" w:cs="Arial" w:eastAsia="Arial" w:hAnsi="Arial"/>
                <w:sz w:val="13"/>
                <w:szCs w:val="13"/>
                <w:color w:val="auto"/>
              </w:rPr>
              <w:t>Trademark</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1,240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color w:val="auto"/>
                <w:w w:val="92"/>
              </w:rPr>
              <w:t>10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Carrier relationships</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10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700" w:type="dxa"/>
            <w:vAlign w:val="bottom"/>
            <w:gridSpan w:val="2"/>
          </w:tcPr>
          <w:p>
            <w:pPr>
              <w:ind w:left="680"/>
              <w:spacing w:after="0"/>
              <w:rPr>
                <w:sz w:val="20"/>
                <w:szCs w:val="20"/>
                <w:color w:val="auto"/>
              </w:rPr>
            </w:pPr>
            <w:r>
              <w:rPr>
                <w:rFonts w:ascii="Arial" w:cs="Arial" w:eastAsia="Arial" w:hAnsi="Arial"/>
                <w:sz w:val="13"/>
                <w:szCs w:val="13"/>
                <w:color w:val="auto"/>
              </w:rPr>
              <w:t>Intangible assets acquired</w:t>
            </w:r>
          </w:p>
        </w:tc>
        <w:tc>
          <w:tcPr>
            <w:tcW w:w="22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5,490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2"/>
        </w:trPr>
        <w:tc>
          <w:tcPr>
            <w:tcW w:w="8700" w:type="dxa"/>
            <w:vAlign w:val="bottom"/>
            <w:gridSpan w:val="2"/>
          </w:tcPr>
          <w:p>
            <w:pPr>
              <w:jc w:val="right"/>
              <w:ind w:right="2894"/>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8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880" w:firstLine="399"/>
        <w:spacing w:after="0" w:line="266" w:lineRule="auto"/>
        <w:rPr>
          <w:sz w:val="20"/>
          <w:szCs w:val="20"/>
          <w:color w:val="auto"/>
        </w:rPr>
      </w:pPr>
      <w:r>
        <w:rPr>
          <w:rFonts w:ascii="Arial" w:cs="Arial" w:eastAsia="Arial" w:hAnsi="Arial"/>
          <w:sz w:val="13"/>
          <w:szCs w:val="13"/>
          <w:color w:val="auto"/>
        </w:rPr>
        <w:t>The fair value of the identified intangible assets was estimated using an income approach. Under the income approach an intangible asset’s fair value is equal to the present value of future economic benefits to be derived from ownership of an asset. Indications of value are developed by discounting future net cash flows to their present value at market-based rates of return.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goodwill recognized as a result of the Vertex acquisition is primarily attributable to expected synergies, as well as Vertex’s assembled work force.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Vertex operating results are included in our Consolidated Statements of Income in our Industrial segment from the date of acquisition.</w:t>
      </w:r>
    </w:p>
    <w:p>
      <w:pPr>
        <w:spacing w:after="0" w:line="98" w:lineRule="exact"/>
        <w:rPr>
          <w:sz w:val="20"/>
          <w:szCs w:val="20"/>
          <w:color w:val="auto"/>
        </w:rPr>
      </w:pPr>
    </w:p>
    <w:p>
      <w:pPr>
        <w:ind w:left="680" w:right="880" w:firstLine="399"/>
        <w:spacing w:after="0" w:line="279" w:lineRule="auto"/>
        <w:rPr>
          <w:sz w:val="20"/>
          <w:szCs w:val="20"/>
          <w:color w:val="auto"/>
        </w:rPr>
      </w:pPr>
      <w:r>
        <w:rPr>
          <w:rFonts w:ascii="Arial" w:cs="Arial" w:eastAsia="Arial" w:hAnsi="Arial"/>
          <w:sz w:val="13"/>
          <w:szCs w:val="13"/>
          <w:color w:val="auto"/>
        </w:rPr>
        <w:t>The following unaudited pro forma condensed consolidated financial results of operations are presented as if the Vertex acquisition had been completed at the beginning of the each period presented:</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1"/>
                <w:szCs w:val="11"/>
                <w:b w:val="1"/>
                <w:bCs w:val="1"/>
                <w:color w:val="auto"/>
              </w:rPr>
              <w:t>Years Ended</w:t>
            </w: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ind w:left="120"/>
              <w:spacing w:after="0" w:line="82" w:lineRule="exact"/>
              <w:rPr>
                <w:sz w:val="20"/>
                <w:szCs w:val="20"/>
                <w:color w:val="auto"/>
              </w:rPr>
            </w:pPr>
            <w:r>
              <w:rPr>
                <w:rFonts w:ascii="Arial" w:cs="Arial" w:eastAsia="Arial" w:hAnsi="Arial"/>
                <w:sz w:val="9"/>
                <w:szCs w:val="9"/>
                <w:b w:val="1"/>
                <w:bCs w:val="1"/>
                <w:color w:val="auto"/>
              </w:rPr>
              <w:t>April 3,</w:t>
            </w: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jc w:val="right"/>
              <w:ind w:right="458"/>
              <w:spacing w:after="0" w:line="82" w:lineRule="exact"/>
              <w:rPr>
                <w:sz w:val="20"/>
                <w:szCs w:val="20"/>
                <w:color w:val="auto"/>
              </w:rPr>
            </w:pPr>
            <w:r>
              <w:rPr>
                <w:rFonts w:ascii="Arial" w:cs="Arial" w:eastAsia="Arial" w:hAnsi="Arial"/>
                <w:sz w:val="9"/>
                <w:szCs w:val="9"/>
                <w:b w:val="1"/>
                <w:bCs w:val="1"/>
                <w:color w:val="auto"/>
              </w:rPr>
              <w:t>March 28,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auto"/>
              </w:rPr>
              <w:t>2011</w:t>
            </w:r>
          </w:p>
        </w:tc>
        <w:tc>
          <w:tcPr>
            <w:tcW w:w="300" w:type="dxa"/>
            <w:vAlign w:val="bottom"/>
            <w:tcBorders>
              <w:bottom w:val="single" w:sz="8" w:color="auto"/>
            </w:tcBorders>
          </w:tcPr>
          <w:p>
            <w:pPr>
              <w:spacing w:after="0"/>
              <w:rPr>
                <w:sz w:val="10"/>
                <w:szCs w:val="10"/>
                <w:color w:val="auto"/>
              </w:rPr>
            </w:pP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74"/>
              </w:rPr>
              <w:t>share</w:t>
            </w:r>
          </w:p>
        </w:tc>
        <w:tc>
          <w:tcPr>
            <w:tcW w:w="4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w w:val="81"/>
              </w:rPr>
              <w:t>(In thousands, except</w:t>
            </w:r>
          </w:p>
        </w:tc>
        <w:tc>
          <w:tcPr>
            <w:tcW w:w="280" w:type="dxa"/>
            <w:vAlign w:val="bottom"/>
            <w:vMerge w:val="continue"/>
          </w:tcPr>
          <w:p>
            <w:pPr>
              <w:spacing w:after="0"/>
              <w:rPr>
                <w:sz w:val="10"/>
                <w:szCs w:val="10"/>
                <w:color w:val="auto"/>
              </w:rPr>
            </w:pPr>
          </w:p>
        </w:tc>
        <w:tc>
          <w:tcPr>
            <w:tcW w:w="1480" w:type="dxa"/>
            <w:vAlign w:val="bottom"/>
            <w:gridSpan w:val="2"/>
          </w:tcPr>
          <w:p>
            <w:pPr>
              <w:jc w:val="right"/>
              <w:ind w:right="498"/>
              <w:spacing w:after="0"/>
              <w:rPr>
                <w:sz w:val="20"/>
                <w:szCs w:val="20"/>
                <w:color w:val="auto"/>
              </w:rPr>
            </w:pPr>
            <w:r>
              <w:rPr>
                <w:rFonts w:ascii="Arial" w:cs="Arial" w:eastAsia="Arial" w:hAnsi="Arial"/>
                <w:sz w:val="11"/>
                <w:szCs w:val="11"/>
                <w:b w:val="1"/>
                <w:bCs w:val="1"/>
                <w:color w:val="auto"/>
                <w:w w:val="88"/>
              </w:rPr>
              <w:t>and per-share data)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 forma net sales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329,653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299,288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Pro forma net earnings</w:t>
            </w:r>
          </w:p>
        </w:tc>
        <w:tc>
          <w:tcPr>
            <w:tcW w:w="460" w:type="dxa"/>
            <w:vAlign w:val="bottom"/>
          </w:tcPr>
          <w:p>
            <w:pPr>
              <w:spacing w:after="0"/>
              <w:rPr>
                <w:sz w:val="13"/>
                <w:szCs w:val="13"/>
                <w:color w:val="auto"/>
              </w:rPr>
            </w:pPr>
          </w:p>
        </w:tc>
        <w:tc>
          <w:tcPr>
            <w:tcW w:w="740" w:type="dxa"/>
            <w:vAlign w:val="bottom"/>
          </w:tcPr>
          <w:p>
            <w:pPr>
              <w:jc w:val="right"/>
              <w:ind w:right="79"/>
              <w:spacing w:after="0"/>
              <w:rPr>
                <w:sz w:val="20"/>
                <w:szCs w:val="20"/>
                <w:color w:val="auto"/>
              </w:rPr>
            </w:pPr>
            <w:r>
              <w:rPr>
                <w:rFonts w:ascii="Arial" w:cs="Arial" w:eastAsia="Arial" w:hAnsi="Arial"/>
                <w:sz w:val="13"/>
                <w:szCs w:val="13"/>
                <w:color w:val="auto"/>
              </w:rPr>
              <w:t>21,888</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ind w:right="378"/>
              <w:spacing w:after="0"/>
              <w:rPr>
                <w:sz w:val="20"/>
                <w:szCs w:val="20"/>
                <w:color w:val="auto"/>
              </w:rPr>
            </w:pPr>
            <w:r>
              <w:rPr>
                <w:rFonts w:ascii="Arial" w:cs="Arial" w:eastAsia="Arial" w:hAnsi="Arial"/>
                <w:sz w:val="13"/>
                <w:szCs w:val="13"/>
                <w:color w:val="auto"/>
              </w:rPr>
              <w:t>25,475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Pro forma earnings per share:</w:t>
            </w: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tcPr>
          <w:p>
            <w:pPr>
              <w:ind w:left="120"/>
              <w:spacing w:after="0"/>
              <w:rPr>
                <w:sz w:val="20"/>
                <w:szCs w:val="20"/>
                <w:color w:val="auto"/>
              </w:rPr>
            </w:pPr>
            <w:r>
              <w:rPr>
                <w:rFonts w:ascii="Arial" w:cs="Arial" w:eastAsia="Arial" w:hAnsi="Arial"/>
                <w:sz w:val="13"/>
                <w:szCs w:val="13"/>
                <w:color w:val="auto"/>
              </w:rPr>
              <w:t>Basic</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9"/>
              <w:spacing w:after="0"/>
              <w:rPr>
                <w:sz w:val="20"/>
                <w:szCs w:val="20"/>
                <w:color w:val="auto"/>
              </w:rPr>
            </w:pPr>
            <w:r>
              <w:rPr>
                <w:rFonts w:ascii="Arial" w:cs="Arial" w:eastAsia="Arial" w:hAnsi="Arial"/>
                <w:sz w:val="13"/>
                <w:szCs w:val="13"/>
                <w:color w:val="auto"/>
              </w:rPr>
              <w:t>2.13</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8"/>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2.11</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2.48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3"/>
                <w:szCs w:val="13"/>
                <w:color w:val="auto"/>
              </w:rPr>
              <w:t>Weighted average common shares outstanding:</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4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w w:val="89"/>
              </w:rPr>
              <w:t>10,260,135</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w w:val="89"/>
              </w:rPr>
              <w:t>10,250,978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700" w:type="dxa"/>
            <w:vAlign w:val="bottom"/>
          </w:tcPr>
          <w:p>
            <w:pPr>
              <w:ind w:left="120"/>
              <w:spacing w:after="0"/>
              <w:rPr>
                <w:sz w:val="20"/>
                <w:szCs w:val="20"/>
                <w:color w:val="auto"/>
              </w:rPr>
            </w:pPr>
            <w:r>
              <w:rPr>
                <w:rFonts w:ascii="Arial" w:cs="Arial" w:eastAsia="Arial" w:hAnsi="Arial"/>
                <w:sz w:val="13"/>
                <w:szCs w:val="13"/>
                <w:color w:val="auto"/>
              </w:rPr>
              <w:t>Diluted</w:t>
            </w:r>
          </w:p>
        </w:tc>
        <w:tc>
          <w:tcPr>
            <w:tcW w:w="460" w:type="dxa"/>
            <w:vAlign w:val="bottom"/>
          </w:tcPr>
          <w:p>
            <w:pPr>
              <w:spacing w:after="0"/>
              <w:rPr>
                <w:sz w:val="14"/>
                <w:szCs w:val="14"/>
                <w:color w:val="auto"/>
              </w:rPr>
            </w:pPr>
          </w:p>
        </w:tc>
        <w:tc>
          <w:tcPr>
            <w:tcW w:w="740" w:type="dxa"/>
            <w:vAlign w:val="bottom"/>
          </w:tcPr>
          <w:p>
            <w:pPr>
              <w:jc w:val="right"/>
              <w:ind w:right="79"/>
              <w:spacing w:after="0"/>
              <w:rPr>
                <w:sz w:val="20"/>
                <w:szCs w:val="20"/>
                <w:color w:val="auto"/>
              </w:rPr>
            </w:pPr>
            <w:r>
              <w:rPr>
                <w:rFonts w:ascii="Arial" w:cs="Arial" w:eastAsia="Arial" w:hAnsi="Arial"/>
                <w:sz w:val="13"/>
                <w:szCs w:val="13"/>
                <w:color w:val="auto"/>
                <w:w w:val="89"/>
              </w:rPr>
              <w:t>10,352,633</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ind w:right="378"/>
              <w:spacing w:after="0"/>
              <w:rPr>
                <w:sz w:val="20"/>
                <w:szCs w:val="20"/>
                <w:color w:val="auto"/>
              </w:rPr>
            </w:pPr>
            <w:r>
              <w:rPr>
                <w:rFonts w:ascii="Arial" w:cs="Arial" w:eastAsia="Arial" w:hAnsi="Arial"/>
                <w:sz w:val="13"/>
                <w:szCs w:val="13"/>
                <w:color w:val="auto"/>
                <w:w w:val="89"/>
              </w:rPr>
              <w:t>10,282,993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880" w:firstLine="399"/>
        <w:spacing w:after="0" w:line="299" w:lineRule="auto"/>
        <w:rPr>
          <w:sz w:val="20"/>
          <w:szCs w:val="20"/>
          <w:color w:val="auto"/>
        </w:rPr>
      </w:pPr>
      <w:r>
        <w:rPr>
          <w:rFonts w:ascii="Arial" w:cs="Arial" w:eastAsia="Arial" w:hAnsi="Arial"/>
          <w:sz w:val="12"/>
          <w:szCs w:val="12"/>
          <w:color w:val="auto"/>
        </w:rPr>
        <w:t>These unaudited pro forma condensed consolidated financial results have been prepared for illustrative purposes only and do not purport to be indicative of the results of operations that actually would have resulted had the acquisition occurred on the first day of each fiscal period presented, or of future results of the consolidated entities. The unaudited pro forma condensed consolidated financial information does not reflect any operating efficiencies and cost savings that may be realized from the integration of the acquisition.</w:t>
      </w:r>
    </w:p>
    <w:p>
      <w:pPr>
        <w:spacing w:after="0" w:line="12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3 —</w:t>
      </w:r>
      <w:r>
        <w:rPr>
          <w:sz w:val="20"/>
          <w:szCs w:val="20"/>
          <w:color w:val="auto"/>
        </w:rPr>
        <w:tab/>
      </w:r>
      <w:r>
        <w:rPr>
          <w:rFonts w:ascii="Arial" w:cs="Arial" w:eastAsia="Arial" w:hAnsi="Arial"/>
          <w:sz w:val="11"/>
          <w:szCs w:val="11"/>
          <w:b w:val="1"/>
          <w:bCs w:val="1"/>
          <w:color w:val="auto"/>
        </w:rPr>
        <w:t>Cash and Cash Equivalents and Investments</w:t>
      </w:r>
    </w:p>
    <w:p>
      <w:pPr>
        <w:spacing w:after="0" w:line="102" w:lineRule="exact"/>
        <w:rPr>
          <w:sz w:val="20"/>
          <w:szCs w:val="20"/>
          <w:color w:val="auto"/>
        </w:rPr>
      </w:pPr>
    </w:p>
    <w:p>
      <w:pPr>
        <w:ind w:left="680" w:right="1040" w:firstLine="399"/>
        <w:spacing w:after="0" w:line="279" w:lineRule="auto"/>
        <w:rPr>
          <w:sz w:val="20"/>
          <w:szCs w:val="20"/>
          <w:color w:val="auto"/>
        </w:rPr>
      </w:pPr>
      <w:r>
        <w:rPr>
          <w:rFonts w:ascii="Arial" w:cs="Arial" w:eastAsia="Arial" w:hAnsi="Arial"/>
          <w:sz w:val="13"/>
          <w:szCs w:val="13"/>
          <w:color w:val="auto"/>
        </w:rPr>
        <w:t>The following table presents information about our financial assets and liabilities that are measured at fair value on a recurring basis as of April 3, 2011 and March 28, 2010, and indicates the fair value hierarchy of the valuation techniques utilized to determine such fair value.</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86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escription</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6"/>
              </w:rPr>
              <w:t>April 3,</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60" w:type="dxa"/>
            <w:vAlign w:val="bottom"/>
            <w:vMerge w:val="continue"/>
          </w:tcPr>
          <w:p>
            <w:pPr>
              <w:spacing w:after="0"/>
              <w:rPr>
                <w:sz w:val="10"/>
                <w:szCs w:val="10"/>
                <w:color w:val="auto"/>
              </w:rPr>
            </w:pPr>
          </w:p>
        </w:tc>
        <w:tc>
          <w:tcPr>
            <w:tcW w:w="920" w:type="dxa"/>
            <w:vAlign w:val="bottom"/>
            <w:tcBorders>
              <w:bottom w:val="single" w:sz="8" w:color="auto"/>
            </w:tcBorders>
          </w:tcPr>
          <w:p>
            <w:pPr>
              <w:jc w:val="right"/>
              <w:ind w:right="307"/>
              <w:spacing w:after="0"/>
              <w:rPr>
                <w:sz w:val="20"/>
                <w:szCs w:val="20"/>
                <w:color w:val="auto"/>
              </w:rPr>
            </w:pPr>
            <w:r>
              <w:rPr>
                <w:rFonts w:ascii="Arial" w:cs="Arial" w:eastAsia="Arial" w:hAnsi="Arial"/>
                <w:sz w:val="11"/>
                <w:szCs w:val="11"/>
                <w:b w:val="1"/>
                <w:bCs w:val="1"/>
                <w:color w:val="auto"/>
              </w:rPr>
              <w:t>2011</w:t>
            </w:r>
          </w:p>
        </w:tc>
        <w:tc>
          <w:tcPr>
            <w:tcW w:w="280" w:type="dxa"/>
            <w:vAlign w:val="bottom"/>
          </w:tcPr>
          <w:p>
            <w:pPr>
              <w:spacing w:after="0"/>
              <w:rPr>
                <w:sz w:val="10"/>
                <w:szCs w:val="10"/>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Level 1</w:t>
            </w:r>
          </w:p>
        </w:tc>
        <w:tc>
          <w:tcPr>
            <w:tcW w:w="280" w:type="dxa"/>
            <w:vAlign w:val="bottom"/>
          </w:tcPr>
          <w:p>
            <w:pPr>
              <w:spacing w:after="0"/>
              <w:rPr>
                <w:sz w:val="10"/>
                <w:szCs w:val="10"/>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auto"/>
              </w:rPr>
              <w:t>Level 2</w:t>
            </w:r>
          </w:p>
        </w:tc>
        <w:tc>
          <w:tcPr>
            <w:tcW w:w="280" w:type="dxa"/>
            <w:vAlign w:val="bottom"/>
          </w:tcPr>
          <w:p>
            <w:pPr>
              <w:spacing w:after="0"/>
              <w:rPr>
                <w:sz w:val="10"/>
                <w:szCs w:val="10"/>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26"/>
        </w:trPr>
        <w:tc>
          <w:tcPr>
            <w:tcW w:w="5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ind w:left="540"/>
              <w:spacing w:after="0"/>
              <w:rPr>
                <w:sz w:val="20"/>
                <w:szCs w:val="20"/>
                <w:color w:val="auto"/>
              </w:rPr>
            </w:pPr>
            <w:r>
              <w:rPr>
                <w:rFonts w:ascii="Arial" w:cs="Arial" w:eastAsia="Arial" w:hAnsi="Arial"/>
                <w:sz w:val="11"/>
                <w:szCs w:val="11"/>
                <w:b w:val="1"/>
                <w:bCs w:val="1"/>
                <w:color w:val="auto"/>
                <w:w w:val="84"/>
              </w:rPr>
              <w:t>(In thousands)</w:t>
            </w: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60" w:type="dxa"/>
            <w:vAlign w:val="bottom"/>
          </w:tcPr>
          <w:p>
            <w:pPr>
              <w:ind w:left="120"/>
              <w:spacing w:after="0"/>
              <w:rPr>
                <w:sz w:val="20"/>
                <w:szCs w:val="20"/>
                <w:color w:val="auto"/>
              </w:rPr>
            </w:pPr>
            <w:r>
              <w:rPr>
                <w:rFonts w:ascii="Arial" w:cs="Arial" w:eastAsia="Arial" w:hAnsi="Arial"/>
                <w:sz w:val="13"/>
                <w:szCs w:val="13"/>
                <w:color w:val="auto"/>
              </w:rPr>
              <w:t>Cash</w:t>
            </w:r>
          </w:p>
        </w:tc>
        <w:tc>
          <w:tcPr>
            <w:tcW w:w="3600" w:type="dxa"/>
            <w:vAlign w:val="bottom"/>
            <w:gridSpan w:val="2"/>
          </w:tcPr>
          <w:p>
            <w:pPr>
              <w:jc w:val="right"/>
              <w:ind w:right="227"/>
              <w:spacing w:after="0"/>
              <w:rPr>
                <w:sz w:val="20"/>
                <w:szCs w:val="20"/>
                <w:color w:val="auto"/>
              </w:rPr>
            </w:pPr>
            <w:r>
              <w:rPr>
                <w:rFonts w:ascii="Arial" w:cs="Arial" w:eastAsia="Arial" w:hAnsi="Arial"/>
                <w:sz w:val="13"/>
                <w:szCs w:val="13"/>
                <w:color w:val="auto"/>
              </w:rPr>
              <w:t>$18,485</w:t>
            </w:r>
          </w:p>
        </w:tc>
        <w:tc>
          <w:tcPr>
            <w:tcW w:w="1200" w:type="dxa"/>
            <w:vAlign w:val="bottom"/>
            <w:gridSpan w:val="2"/>
          </w:tcPr>
          <w:p>
            <w:pPr>
              <w:jc w:val="right"/>
              <w:ind w:right="221"/>
              <w:spacing w:after="0"/>
              <w:rPr>
                <w:sz w:val="20"/>
                <w:szCs w:val="20"/>
                <w:color w:val="auto"/>
              </w:rPr>
            </w:pPr>
            <w:r>
              <w:rPr>
                <w:rFonts w:ascii="Arial" w:cs="Arial" w:eastAsia="Arial" w:hAnsi="Arial"/>
                <w:sz w:val="13"/>
                <w:szCs w:val="13"/>
                <w:color w:val="auto"/>
              </w:rPr>
              <w:t>$18,485</w:t>
            </w:r>
          </w:p>
        </w:tc>
        <w:tc>
          <w:tcPr>
            <w:tcW w:w="2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Certificates of deposit</w:t>
            </w:r>
          </w:p>
        </w:tc>
        <w:tc>
          <w:tcPr>
            <w:tcW w:w="3600" w:type="dxa"/>
            <w:vAlign w:val="bottom"/>
            <w:gridSpan w:val="2"/>
            <w:shd w:val="clear" w:color="auto" w:fill="CCEEFF"/>
          </w:tcPr>
          <w:p>
            <w:pPr>
              <w:jc w:val="right"/>
              <w:ind w:right="227"/>
              <w:spacing w:after="0"/>
              <w:rPr>
                <w:sz w:val="20"/>
                <w:szCs w:val="20"/>
                <w:color w:val="auto"/>
              </w:rPr>
            </w:pPr>
            <w:r>
              <w:rPr>
                <w:rFonts w:ascii="Arial" w:cs="Arial" w:eastAsia="Arial" w:hAnsi="Arial"/>
                <w:sz w:val="13"/>
                <w:szCs w:val="13"/>
                <w:color w:val="auto"/>
              </w:rPr>
              <w:t>18,461</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5"/>
              </w:rPr>
              <w:t>18,461</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3160" w:type="dxa"/>
            <w:vAlign w:val="bottom"/>
          </w:tcPr>
          <w:p>
            <w:pPr>
              <w:ind w:left="120"/>
              <w:spacing w:after="0"/>
              <w:rPr>
                <w:sz w:val="20"/>
                <w:szCs w:val="20"/>
                <w:color w:val="auto"/>
              </w:rPr>
            </w:pPr>
            <w:r>
              <w:rPr>
                <w:rFonts w:ascii="Arial" w:cs="Arial" w:eastAsia="Arial" w:hAnsi="Arial"/>
                <w:sz w:val="13"/>
                <w:szCs w:val="13"/>
                <w:color w:val="auto"/>
              </w:rPr>
              <w:t>Money market securities</w:t>
            </w:r>
          </w:p>
        </w:tc>
        <w:tc>
          <w:tcPr>
            <w:tcW w:w="3600" w:type="dxa"/>
            <w:vAlign w:val="bottom"/>
            <w:gridSpan w:val="2"/>
          </w:tcPr>
          <w:p>
            <w:pPr>
              <w:jc w:val="right"/>
              <w:ind w:right="227"/>
              <w:spacing w:after="0"/>
              <w:rPr>
                <w:sz w:val="20"/>
                <w:szCs w:val="20"/>
                <w:color w:val="auto"/>
              </w:rPr>
            </w:pPr>
            <w:r>
              <w:rPr>
                <w:rFonts w:ascii="Arial" w:cs="Arial" w:eastAsia="Arial" w:hAnsi="Arial"/>
                <w:sz w:val="13"/>
                <w:szCs w:val="13"/>
                <w:color w:val="auto"/>
              </w:rPr>
              <w:t>455</w:t>
            </w:r>
          </w:p>
        </w:tc>
        <w:tc>
          <w:tcPr>
            <w:tcW w:w="1200" w:type="dxa"/>
            <w:vAlign w:val="bottom"/>
            <w:gridSpan w:val="2"/>
          </w:tcPr>
          <w:p>
            <w:pPr>
              <w:jc w:val="right"/>
              <w:ind w:right="221"/>
              <w:spacing w:after="0"/>
              <w:rPr>
                <w:sz w:val="20"/>
                <w:szCs w:val="20"/>
                <w:color w:val="auto"/>
              </w:rPr>
            </w:pPr>
            <w:r>
              <w:rPr>
                <w:rFonts w:ascii="Arial" w:cs="Arial" w:eastAsia="Arial" w:hAnsi="Arial"/>
                <w:sz w:val="13"/>
                <w:szCs w:val="13"/>
                <w:color w:val="auto"/>
              </w:rPr>
              <w:t>455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860" w:type="dxa"/>
            <w:vAlign w:val="bottom"/>
            <w:gridSpan w:val="2"/>
            <w:vMerge w:val="restart"/>
          </w:tcPr>
          <w:p>
            <w:pPr>
              <w:ind w:left="68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escription</w:t>
            </w:r>
          </w:p>
        </w:tc>
        <w:tc>
          <w:tcPr>
            <w:tcW w:w="2680" w:type="dxa"/>
            <w:vAlign w:val="bottom"/>
          </w:tcPr>
          <w:p>
            <w:pPr>
              <w:spacing w:after="0"/>
              <w:rPr>
                <w:sz w:val="23"/>
                <w:szCs w:val="23"/>
                <w:color w:val="auto"/>
              </w:rPr>
            </w:pPr>
          </w:p>
        </w:tc>
        <w:tc>
          <w:tcPr>
            <w:tcW w:w="920" w:type="dxa"/>
            <w:vAlign w:val="bottom"/>
          </w:tcPr>
          <w:p>
            <w:pPr>
              <w:jc w:val="right"/>
              <w:ind w:right="167"/>
              <w:spacing w:after="0"/>
              <w:rPr>
                <w:sz w:val="20"/>
                <w:szCs w:val="20"/>
                <w:color w:val="auto"/>
              </w:rPr>
            </w:pPr>
            <w:r>
              <w:rPr>
                <w:rFonts w:ascii="Arial" w:cs="Arial" w:eastAsia="Arial" w:hAnsi="Arial"/>
                <w:sz w:val="11"/>
                <w:szCs w:val="11"/>
                <w:b w:val="1"/>
                <w:bCs w:val="1"/>
                <w:color w:val="auto"/>
              </w:rPr>
              <w:t>March 28,</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continue"/>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Borders>
              <w:bottom w:val="single" w:sz="8" w:color="auto"/>
            </w:tcBorders>
          </w:tcPr>
          <w:p>
            <w:pPr>
              <w:jc w:val="right"/>
              <w:ind w:right="307"/>
              <w:spacing w:after="0"/>
              <w:rPr>
                <w:sz w:val="20"/>
                <w:szCs w:val="20"/>
                <w:color w:val="auto"/>
              </w:rPr>
            </w:pPr>
            <w:r>
              <w:rPr>
                <w:rFonts w:ascii="Arial" w:cs="Arial" w:eastAsia="Arial" w:hAnsi="Arial"/>
                <w:sz w:val="11"/>
                <w:szCs w:val="11"/>
                <w:b w:val="1"/>
                <w:bCs w:val="1"/>
                <w:color w:val="auto"/>
              </w:rPr>
              <w:t>2010</w:t>
            </w:r>
          </w:p>
        </w:tc>
        <w:tc>
          <w:tcPr>
            <w:tcW w:w="280" w:type="dxa"/>
            <w:vAlign w:val="bottom"/>
          </w:tcPr>
          <w:p>
            <w:pPr>
              <w:spacing w:after="0"/>
              <w:rPr>
                <w:sz w:val="10"/>
                <w:szCs w:val="10"/>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Level 1</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w w:val="85"/>
              </w:rPr>
              <w:t>Level 2</w:t>
            </w:r>
          </w:p>
        </w:tc>
        <w:tc>
          <w:tcPr>
            <w:tcW w:w="280" w:type="dxa"/>
            <w:vAlign w:val="bottom"/>
          </w:tcPr>
          <w:p>
            <w:pPr>
              <w:spacing w:after="0"/>
              <w:rPr>
                <w:sz w:val="10"/>
                <w:szCs w:val="10"/>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ind w:left="540"/>
              <w:spacing w:after="0"/>
              <w:rPr>
                <w:sz w:val="20"/>
                <w:szCs w:val="20"/>
                <w:color w:val="auto"/>
              </w:rPr>
            </w:pPr>
            <w:r>
              <w:rPr>
                <w:rFonts w:ascii="Arial" w:cs="Arial" w:eastAsia="Arial" w:hAnsi="Arial"/>
                <w:sz w:val="11"/>
                <w:szCs w:val="11"/>
                <w:b w:val="1"/>
                <w:bCs w:val="1"/>
                <w:color w:val="auto"/>
                <w:w w:val="84"/>
              </w:rPr>
              <w:t>(In thousands)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2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60" w:type="dxa"/>
            <w:vAlign w:val="bottom"/>
          </w:tcPr>
          <w:p>
            <w:pPr>
              <w:ind w:left="120"/>
              <w:spacing w:after="0"/>
              <w:rPr>
                <w:sz w:val="20"/>
                <w:szCs w:val="20"/>
                <w:color w:val="auto"/>
              </w:rPr>
            </w:pPr>
            <w:r>
              <w:rPr>
                <w:rFonts w:ascii="Arial" w:cs="Arial" w:eastAsia="Arial" w:hAnsi="Arial"/>
                <w:sz w:val="13"/>
                <w:szCs w:val="13"/>
                <w:color w:val="auto"/>
              </w:rPr>
              <w:t>Cash</w:t>
            </w:r>
          </w:p>
        </w:tc>
        <w:tc>
          <w:tcPr>
            <w:tcW w:w="3600" w:type="dxa"/>
            <w:vAlign w:val="bottom"/>
            <w:gridSpan w:val="2"/>
          </w:tcPr>
          <w:p>
            <w:pPr>
              <w:jc w:val="right"/>
              <w:ind w:right="227"/>
              <w:spacing w:after="0"/>
              <w:rPr>
                <w:sz w:val="20"/>
                <w:szCs w:val="20"/>
                <w:color w:val="auto"/>
              </w:rPr>
            </w:pPr>
            <w:r>
              <w:rPr>
                <w:rFonts w:ascii="Arial" w:cs="Arial" w:eastAsia="Arial" w:hAnsi="Arial"/>
                <w:sz w:val="13"/>
                <w:szCs w:val="13"/>
                <w:color w:val="auto"/>
              </w:rPr>
              <w:t>$18,661</w:t>
            </w:r>
          </w:p>
        </w:tc>
        <w:tc>
          <w:tcPr>
            <w:tcW w:w="1200" w:type="dxa"/>
            <w:vAlign w:val="bottom"/>
            <w:gridSpan w:val="2"/>
          </w:tcPr>
          <w:p>
            <w:pPr>
              <w:jc w:val="right"/>
              <w:ind w:right="221"/>
              <w:spacing w:after="0"/>
              <w:rPr>
                <w:sz w:val="20"/>
                <w:szCs w:val="20"/>
                <w:color w:val="auto"/>
              </w:rPr>
            </w:pPr>
            <w:r>
              <w:rPr>
                <w:rFonts w:ascii="Arial" w:cs="Arial" w:eastAsia="Arial" w:hAnsi="Arial"/>
                <w:sz w:val="13"/>
                <w:szCs w:val="13"/>
                <w:color w:val="auto"/>
              </w:rPr>
              <w:t>$18,661</w:t>
            </w:r>
          </w:p>
        </w:tc>
        <w:tc>
          <w:tcPr>
            <w:tcW w:w="2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Certificates of deposit</w:t>
            </w:r>
          </w:p>
        </w:tc>
        <w:tc>
          <w:tcPr>
            <w:tcW w:w="3600" w:type="dxa"/>
            <w:vAlign w:val="bottom"/>
            <w:gridSpan w:val="2"/>
            <w:shd w:val="clear" w:color="auto" w:fill="CCEEFF"/>
          </w:tcPr>
          <w:p>
            <w:pPr>
              <w:jc w:val="right"/>
              <w:ind w:right="227"/>
              <w:spacing w:after="0"/>
              <w:rPr>
                <w:sz w:val="20"/>
                <w:szCs w:val="20"/>
                <w:color w:val="auto"/>
              </w:rPr>
            </w:pPr>
            <w:r>
              <w:rPr>
                <w:rFonts w:ascii="Arial" w:cs="Arial" w:eastAsia="Arial" w:hAnsi="Arial"/>
                <w:sz w:val="13"/>
                <w:szCs w:val="13"/>
                <w:color w:val="auto"/>
              </w:rPr>
              <w:t>34,900</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5"/>
              </w:rPr>
              <w:t>34,900</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3160" w:type="dxa"/>
            <w:vAlign w:val="bottom"/>
          </w:tcPr>
          <w:p>
            <w:pPr>
              <w:ind w:left="120"/>
              <w:spacing w:after="0"/>
              <w:rPr>
                <w:sz w:val="20"/>
                <w:szCs w:val="20"/>
                <w:color w:val="auto"/>
              </w:rPr>
            </w:pPr>
            <w:r>
              <w:rPr>
                <w:rFonts w:ascii="Arial" w:cs="Arial" w:eastAsia="Arial" w:hAnsi="Arial"/>
                <w:sz w:val="13"/>
                <w:szCs w:val="13"/>
                <w:color w:val="auto"/>
              </w:rPr>
              <w:t>Money market securities</w:t>
            </w:r>
          </w:p>
        </w:tc>
        <w:tc>
          <w:tcPr>
            <w:tcW w:w="3600" w:type="dxa"/>
            <w:vAlign w:val="bottom"/>
            <w:gridSpan w:val="2"/>
          </w:tcPr>
          <w:p>
            <w:pPr>
              <w:jc w:val="right"/>
              <w:ind w:right="227"/>
              <w:spacing w:after="0"/>
              <w:rPr>
                <w:sz w:val="20"/>
                <w:szCs w:val="20"/>
                <w:color w:val="auto"/>
              </w:rPr>
            </w:pPr>
            <w:r>
              <w:rPr>
                <w:rFonts w:ascii="Arial" w:cs="Arial" w:eastAsia="Arial" w:hAnsi="Arial"/>
                <w:sz w:val="13"/>
                <w:szCs w:val="13"/>
                <w:color w:val="auto"/>
              </w:rPr>
              <w:t>111</w:t>
            </w:r>
          </w:p>
        </w:tc>
        <w:tc>
          <w:tcPr>
            <w:tcW w:w="1200" w:type="dxa"/>
            <w:vAlign w:val="bottom"/>
            <w:gridSpan w:val="2"/>
          </w:tcPr>
          <w:p>
            <w:pPr>
              <w:jc w:val="right"/>
              <w:ind w:right="221"/>
              <w:spacing w:after="0"/>
              <w:rPr>
                <w:sz w:val="20"/>
                <w:szCs w:val="20"/>
                <w:color w:val="auto"/>
              </w:rPr>
            </w:pPr>
            <w:r>
              <w:rPr>
                <w:rFonts w:ascii="Arial" w:cs="Arial" w:eastAsia="Arial" w:hAnsi="Arial"/>
                <w:sz w:val="13"/>
                <w:szCs w:val="13"/>
                <w:color w:val="auto"/>
              </w:rPr>
              <w:t>111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216"/>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80" w:type="dxa"/>
            <w:vAlign w:val="bottom"/>
          </w:tcPr>
          <w:p>
            <w:pPr>
              <w:jc w:val="right"/>
              <w:ind w:right="734"/>
              <w:spacing w:after="0"/>
              <w:rPr>
                <w:sz w:val="20"/>
                <w:szCs w:val="20"/>
                <w:color w:val="auto"/>
              </w:rPr>
            </w:pPr>
            <w:r>
              <w:rPr>
                <w:rFonts w:ascii="Arial" w:cs="Arial" w:eastAsia="Arial" w:hAnsi="Arial"/>
                <w:sz w:val="13"/>
                <w:szCs w:val="13"/>
                <w:color w:val="auto"/>
              </w:rPr>
              <w:t>33</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16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Consolidated Balance Sheets. As of April 3, 2011, the CD’s in current assets have a fair value of $15.3 million, and in noncurrent assets, the CD’s have a fair value of $3.2 million.</w:t>
      </w:r>
    </w:p>
    <w:p>
      <w:pPr>
        <w:spacing w:after="0" w:line="67"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3"/>
          <w:szCs w:val="13"/>
          <w:color w:val="auto"/>
        </w:rPr>
        <w:t>The carrying value of cash and cash equivalents accounts approximates fair value, as maturities are three months or less. We did not have any financial liability instruments subject to recurring fair value measurements as of April 3, 2011 and March 28, 2010.</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contractual maturities of available-for-sale securities at April 3, 2011 are shown in the table below.</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9"/>
              <w:spacing w:after="0"/>
              <w:rPr>
                <w:sz w:val="20"/>
                <w:szCs w:val="20"/>
                <w:color w:val="auto"/>
              </w:rPr>
            </w:pPr>
            <w:r>
              <w:rPr>
                <w:rFonts w:ascii="Arial" w:cs="Arial" w:eastAsia="Arial" w:hAnsi="Arial"/>
                <w:sz w:val="11"/>
                <w:szCs w:val="11"/>
                <w:b w:val="1"/>
                <w:bCs w:val="1"/>
                <w:color w:val="auto"/>
                <w:w w:val="89"/>
              </w:rPr>
              <w:t>Amortized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387"/>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10"/>
                <w:szCs w:val="10"/>
                <w:color w:val="auto"/>
              </w:rPr>
            </w:pPr>
          </w:p>
        </w:tc>
        <w:tc>
          <w:tcPr>
            <w:tcW w:w="780" w:type="dxa"/>
            <w:vAlign w:val="bottom"/>
            <w:gridSpan w:val="4"/>
          </w:tcPr>
          <w:p>
            <w:pPr>
              <w:ind w:left="100"/>
              <w:spacing w:after="0"/>
              <w:rPr>
                <w:sz w:val="20"/>
                <w:szCs w:val="20"/>
                <w:color w:val="auto"/>
              </w:rPr>
            </w:pPr>
            <w:r>
              <w:rPr>
                <w:rFonts w:ascii="Arial" w:cs="Arial" w:eastAsia="Arial" w:hAnsi="Arial"/>
                <w:sz w:val="11"/>
                <w:szCs w:val="11"/>
                <w:b w:val="1"/>
                <w:bCs w:val="1"/>
                <w:color w:val="auto"/>
              </w:rPr>
              <w:t>Unrealized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1"/>
              </w:rPr>
              <w:t>Cost</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w w:val="81"/>
              </w:rPr>
              <w:t>Value</w:t>
            </w:r>
          </w:p>
        </w:tc>
        <w:tc>
          <w:tcPr>
            <w:tcW w:w="2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8"/>
              </w:rPr>
              <w:t>Gain/(loss)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Within one year</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15,270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gridSpan w:val="2"/>
          </w:tcPr>
          <w:p>
            <w:pPr>
              <w:spacing w:after="0"/>
              <w:rPr>
                <w:sz w:val="20"/>
                <w:szCs w:val="20"/>
                <w:color w:val="auto"/>
              </w:rPr>
            </w:pPr>
            <w:r>
              <w:rPr>
                <w:rFonts w:ascii="Arial" w:cs="Arial" w:eastAsia="Arial" w:hAnsi="Arial"/>
                <w:sz w:val="13"/>
                <w:szCs w:val="13"/>
                <w:color w:val="auto"/>
              </w:rPr>
              <w:t>Between one and two years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3,185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3,175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20" w:type="dxa"/>
            <w:vAlign w:val="bottom"/>
            <w:gridSpan w:val="2"/>
          </w:tcPr>
          <w:p>
            <w:pPr>
              <w:ind w:left="380"/>
              <w:spacing w:after="0"/>
              <w:rPr>
                <w:sz w:val="20"/>
                <w:szCs w:val="20"/>
                <w:color w:val="auto"/>
              </w:rPr>
            </w:pPr>
            <w:r>
              <w:rPr>
                <w:rFonts w:ascii="Arial" w:cs="Arial" w:eastAsia="Arial" w:hAnsi="Arial"/>
                <w:sz w:val="13"/>
                <w:szCs w:val="13"/>
                <w:color w:val="auto"/>
              </w:rPr>
              <w:t>The contractual maturities of available-for-sale securities at March 28, 2010 are shown in the table below.</w:t>
            </w:r>
          </w:p>
        </w:tc>
        <w:tc>
          <w:tcPr>
            <w:tcW w:w="5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39"/>
              <w:spacing w:after="0"/>
              <w:rPr>
                <w:sz w:val="20"/>
                <w:szCs w:val="20"/>
                <w:color w:val="auto"/>
              </w:rPr>
            </w:pPr>
            <w:r>
              <w:rPr>
                <w:rFonts w:ascii="Arial" w:cs="Arial" w:eastAsia="Arial" w:hAnsi="Arial"/>
                <w:sz w:val="11"/>
                <w:szCs w:val="11"/>
                <w:b w:val="1"/>
                <w:bCs w:val="1"/>
                <w:color w:val="auto"/>
                <w:w w:val="89"/>
              </w:rPr>
              <w:t>Amortized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center"/>
              <w:ind w:right="387"/>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Arial" w:cs="Arial" w:eastAsia="Arial" w:hAnsi="Arial"/>
                <w:sz w:val="11"/>
                <w:szCs w:val="11"/>
                <w:b w:val="1"/>
                <w:bCs w:val="1"/>
                <w:color w:val="auto"/>
              </w:rPr>
              <w:t>Unrealized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1"/>
              </w:rPr>
              <w:t>Cost</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w w:val="81"/>
              </w:rPr>
              <w:t>Value</w:t>
            </w:r>
          </w:p>
        </w:tc>
        <w:tc>
          <w:tcPr>
            <w:tcW w:w="2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w w:val="91"/>
              </w:rPr>
              <w:t>Gains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Within one year</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gridSpan w:val="2"/>
          </w:tcPr>
          <w:p>
            <w:pPr>
              <w:spacing w:after="0"/>
              <w:rPr>
                <w:sz w:val="20"/>
                <w:szCs w:val="20"/>
                <w:color w:val="auto"/>
              </w:rPr>
            </w:pPr>
            <w:r>
              <w:rPr>
                <w:rFonts w:ascii="Arial" w:cs="Arial" w:eastAsia="Arial" w:hAnsi="Arial"/>
                <w:sz w:val="13"/>
                <w:szCs w:val="13"/>
                <w:color w:val="auto"/>
              </w:rPr>
              <w:t>Between one and two years</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8,900</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available-for-sale securities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34,790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20" w:type="dxa"/>
            <w:vAlign w:val="bottom"/>
            <w:gridSpan w:val="2"/>
          </w:tcPr>
          <w:p>
            <w:pPr>
              <w:ind w:left="380"/>
              <w:spacing w:after="0"/>
              <w:rPr>
                <w:sz w:val="20"/>
                <w:szCs w:val="20"/>
                <w:color w:val="auto"/>
              </w:rPr>
            </w:pPr>
            <w:r>
              <w:rPr>
                <w:rFonts w:ascii="Arial" w:cs="Arial" w:eastAsia="Arial" w:hAnsi="Arial"/>
                <w:sz w:val="13"/>
                <w:szCs w:val="13"/>
                <w:color w:val="auto"/>
              </w:rPr>
              <w:t>Realized gains and losses were not material for fiscal 2011, fiscal 2010 and fiscal 2009.</w:t>
            </w:r>
          </w:p>
        </w:tc>
        <w:tc>
          <w:tcPr>
            <w:tcW w:w="5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Note 4 —</w:t>
            </w:r>
          </w:p>
        </w:tc>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Inventories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520" w:type="dxa"/>
            <w:vAlign w:val="bottom"/>
            <w:gridSpan w:val="2"/>
          </w:tcPr>
          <w:p>
            <w:pPr>
              <w:ind w:left="380"/>
              <w:spacing w:after="0"/>
              <w:rPr>
                <w:sz w:val="20"/>
                <w:szCs w:val="20"/>
                <w:color w:val="auto"/>
              </w:rPr>
            </w:pPr>
            <w:r>
              <w:rPr>
                <w:rFonts w:ascii="Arial" w:cs="Arial" w:eastAsia="Arial" w:hAnsi="Arial"/>
                <w:sz w:val="13"/>
                <w:szCs w:val="13"/>
                <w:color w:val="auto"/>
              </w:rPr>
              <w:t>Inventories at April 3, 2011 and March 28, 2010 consisted of the following:</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2011</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rPr>
              <w:t>(In</w:t>
            </w:r>
          </w:p>
        </w:tc>
        <w:tc>
          <w:tcPr>
            <w:tcW w:w="980" w:type="dxa"/>
            <w:vAlign w:val="bottom"/>
            <w:gridSpan w:val="5"/>
          </w:tcPr>
          <w:p>
            <w:pPr>
              <w:jc w:val="right"/>
              <w:ind w:right="396"/>
              <w:spacing w:after="0"/>
              <w:rPr>
                <w:sz w:val="20"/>
                <w:szCs w:val="20"/>
                <w:color w:val="auto"/>
              </w:rPr>
            </w:pPr>
            <w:r>
              <w:rPr>
                <w:rFonts w:ascii="Arial" w:cs="Arial" w:eastAsia="Arial" w:hAnsi="Arial"/>
                <w:sz w:val="11"/>
                <w:szCs w:val="11"/>
                <w:b w:val="1"/>
                <w:bCs w:val="1"/>
                <w:color w:val="auto"/>
                <w:w w:val="84"/>
              </w:rPr>
              <w:t>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Finished goods (FIFO basis)</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35,071</w:t>
            </w:r>
          </w:p>
        </w:tc>
        <w:tc>
          <w:tcPr>
            <w:tcW w:w="1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w w:val="97"/>
              </w:rPr>
              <w:t>LIFO reserve</w:t>
            </w:r>
          </w:p>
        </w:tc>
        <w:tc>
          <w:tcPr>
            <w:tcW w:w="5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ind w:right="67"/>
              <w:spacing w:after="0"/>
              <w:rPr>
                <w:sz w:val="20"/>
                <w:szCs w:val="20"/>
                <w:color w:val="auto"/>
              </w:rPr>
            </w:pPr>
            <w:r>
              <w:rPr>
                <w:rFonts w:ascii="Arial" w:cs="Arial" w:eastAsia="Arial" w:hAnsi="Arial"/>
                <w:sz w:val="13"/>
                <w:szCs w:val="13"/>
                <w:color w:val="auto"/>
              </w:rPr>
              <w:t>(5,854)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(1,931)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w w:val="96"/>
              </w:rPr>
              <w:t>Net inventory</w:t>
            </w:r>
          </w:p>
        </w:tc>
        <w:tc>
          <w:tcPr>
            <w:tcW w:w="57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29,217</w:t>
            </w:r>
          </w:p>
        </w:tc>
        <w:tc>
          <w:tcPr>
            <w:tcW w:w="1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79" w:lineRule="auto"/>
        <w:rPr>
          <w:sz w:val="20"/>
          <w:szCs w:val="20"/>
          <w:color w:val="auto"/>
        </w:rPr>
      </w:pPr>
      <w:r>
        <w:rPr>
          <w:rFonts w:ascii="Arial" w:cs="Arial" w:eastAsia="Arial" w:hAnsi="Arial"/>
          <w:sz w:val="13"/>
          <w:szCs w:val="13"/>
          <w:color w:val="auto"/>
        </w:rPr>
        <w:t>The FIFO value of inventories accounted for under the LIFO method were $28.6 million at April 3, 2011 and $23.1 million at March 28, 2010. The remainder of the inventory was valued and accounted for under the FIFO method.</w:t>
      </w:r>
    </w:p>
    <w:p>
      <w:pPr>
        <w:spacing w:after="0" w:line="58"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We increased the LIFO reserve by $3.9 million in fiscal 2011 and decreased the reserve by $12.6 million in fiscal 2010 due primarily to significant changes in inventory costs in both years, as well as changes in inventory product mix and higher inventory volumes at the end of fiscal 2011.</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660" w:type="dxa"/>
            <w:vAlign w:val="bottom"/>
            <w:gridSpan w:val="2"/>
          </w:tcPr>
          <w:p>
            <w:pPr>
              <w:jc w:val="center"/>
              <w:ind w:left="574"/>
              <w:spacing w:after="0"/>
              <w:rPr>
                <w:sz w:val="20"/>
                <w:szCs w:val="20"/>
                <w:color w:val="auto"/>
              </w:rPr>
            </w:pPr>
            <w:r>
              <w:rPr>
                <w:rFonts w:ascii="Arial" w:cs="Arial" w:eastAsia="Arial" w:hAnsi="Arial"/>
                <w:sz w:val="13"/>
                <w:szCs w:val="13"/>
                <w:b w:val="1"/>
                <w:bCs w:val="1"/>
                <w:color w:val="auto"/>
              </w:rPr>
              <w:t>HAWKINS, INC.</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5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1440" w:type="dxa"/>
            <w:vAlign w:val="bottom"/>
            <w:gridSpan w:val="2"/>
          </w:tcPr>
          <w:p>
            <w:pPr>
              <w:ind w:left="680"/>
              <w:spacing w:after="0"/>
              <w:rPr>
                <w:sz w:val="20"/>
                <w:szCs w:val="20"/>
                <w:color w:val="auto"/>
              </w:rPr>
            </w:pPr>
            <w:r>
              <w:rPr>
                <w:rFonts w:ascii="Arial" w:cs="Arial" w:eastAsia="Arial" w:hAnsi="Arial"/>
                <w:sz w:val="13"/>
                <w:szCs w:val="13"/>
                <w:b w:val="1"/>
                <w:bCs w:val="1"/>
                <w:color w:val="auto"/>
              </w:rPr>
              <w:t>Note 5 —</w:t>
            </w:r>
          </w:p>
        </w:tc>
        <w:tc>
          <w:tcPr>
            <w:tcW w:w="5740" w:type="dxa"/>
            <w:vAlign w:val="bottom"/>
            <w:gridSpan w:val="3"/>
          </w:tcPr>
          <w:p>
            <w:pPr>
              <w:ind w:left="40"/>
              <w:spacing w:after="0"/>
              <w:rPr>
                <w:sz w:val="20"/>
                <w:szCs w:val="20"/>
                <w:color w:val="auto"/>
              </w:rPr>
            </w:pPr>
            <w:r>
              <w:rPr>
                <w:rFonts w:ascii="Arial" w:cs="Arial" w:eastAsia="Arial" w:hAnsi="Arial"/>
                <w:sz w:val="13"/>
                <w:szCs w:val="13"/>
                <w:b w:val="1"/>
                <w:bCs w:val="1"/>
                <w:color w:val="auto"/>
              </w:rPr>
              <w:t>Goodwill and Other Identifiable Intangible Assets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480" w:type="dxa"/>
            <w:vAlign w:val="bottom"/>
            <w:gridSpan w:val="4"/>
          </w:tcPr>
          <w:p>
            <w:pPr>
              <w:ind w:left="380"/>
              <w:spacing w:after="0"/>
              <w:rPr>
                <w:sz w:val="20"/>
                <w:szCs w:val="20"/>
                <w:color w:val="auto"/>
              </w:rPr>
            </w:pPr>
            <w:r>
              <w:rPr>
                <w:rFonts w:ascii="Arial" w:cs="Arial" w:eastAsia="Arial" w:hAnsi="Arial"/>
                <w:sz w:val="13"/>
                <w:szCs w:val="13"/>
                <w:color w:val="auto"/>
              </w:rPr>
              <w:t>The changes in the carrying amount of goodwill were as follows:</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6"/>
          </w:tcPr>
          <w:p>
            <w:pPr>
              <w:jc w:val="right"/>
              <w:ind w:right="400"/>
              <w:spacing w:after="0"/>
              <w:rPr>
                <w:sz w:val="20"/>
                <w:szCs w:val="20"/>
                <w:color w:val="auto"/>
              </w:rPr>
            </w:pPr>
            <w:r>
              <w:rPr>
                <w:rFonts w:ascii="Arial" w:cs="Arial" w:eastAsia="Arial" w:hAnsi="Arial"/>
                <w:sz w:val="11"/>
                <w:szCs w:val="11"/>
                <w:b w:val="1"/>
                <w:bCs w:val="1"/>
                <w:color w:val="auto"/>
              </w:rPr>
              <w:t>Amount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5"/>
          </w:tcPr>
          <w:p>
            <w:pPr>
              <w:jc w:val="right"/>
              <w:ind w:right="101"/>
              <w:spacing w:after="0"/>
              <w:rPr>
                <w:sz w:val="20"/>
                <w:szCs w:val="20"/>
                <w:color w:val="auto"/>
              </w:rPr>
            </w:pPr>
            <w:r>
              <w:rPr>
                <w:rFonts w:ascii="Arial" w:cs="Arial" w:eastAsia="Arial" w:hAnsi="Arial"/>
                <w:sz w:val="11"/>
                <w:szCs w:val="11"/>
                <w:b w:val="1"/>
                <w:bCs w:val="1"/>
                <w:color w:val="auto"/>
                <w:w w:val="92"/>
              </w:rPr>
              <w:t>(In thousands)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Balance as of March 29, 2009</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Fiscal 2010 activity</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Balance as of March 28, 2010</w:t>
            </w: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Vertex acquisition</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5,027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Balance as of April 3, 2011</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6,231</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6480" w:type="dxa"/>
            <w:vAlign w:val="bottom"/>
            <w:gridSpan w:val="4"/>
          </w:tcPr>
          <w:p>
            <w:pPr>
              <w:ind w:left="380"/>
              <w:spacing w:after="0"/>
              <w:rPr>
                <w:sz w:val="20"/>
                <w:szCs w:val="20"/>
                <w:color w:val="auto"/>
              </w:rPr>
            </w:pPr>
            <w:r>
              <w:rPr>
                <w:rFonts w:ascii="Arial" w:cs="Arial" w:eastAsia="Arial" w:hAnsi="Arial"/>
                <w:sz w:val="13"/>
                <w:szCs w:val="13"/>
                <w:color w:val="auto"/>
              </w:rPr>
              <w:t>A summary of our intangible assets as of April 3, 2011 and March 28, 2010 were as follows:</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ind w:left="240"/>
              <w:spacing w:after="0"/>
              <w:rPr>
                <w:sz w:val="20"/>
                <w:szCs w:val="20"/>
                <w:color w:val="auto"/>
              </w:rPr>
            </w:pPr>
            <w:r>
              <w:rPr>
                <w:rFonts w:ascii="Arial" w:cs="Arial" w:eastAsia="Arial" w:hAnsi="Arial"/>
                <w:sz w:val="11"/>
                <w:szCs w:val="11"/>
                <w:b w:val="1"/>
                <w:bCs w:val="1"/>
                <w:color w:val="auto"/>
              </w:rPr>
              <w:t>2011</w:t>
            </w: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6"/>
          </w:tcPr>
          <w:p>
            <w:pPr>
              <w:jc w:val="center"/>
              <w:ind w:right="140"/>
              <w:spacing w:after="0" w:line="82" w:lineRule="exact"/>
              <w:rPr>
                <w:sz w:val="20"/>
                <w:szCs w:val="20"/>
                <w:color w:val="auto"/>
              </w:rPr>
            </w:pPr>
            <w:r>
              <w:rPr>
                <w:rFonts w:ascii="Arial" w:cs="Arial" w:eastAsia="Arial" w:hAnsi="Arial"/>
                <w:sz w:val="9"/>
                <w:szCs w:val="9"/>
                <w:b w:val="1"/>
                <w:bCs w:val="1"/>
                <w:color w:val="auto"/>
              </w:rPr>
              <w:t>Gross Carrying</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5"/>
          </w:tcPr>
          <w:p>
            <w:pPr>
              <w:ind w:left="40"/>
              <w:spacing w:after="0" w:line="82"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w:t>
            </w:r>
          </w:p>
        </w:tc>
        <w:tc>
          <w:tcPr>
            <w:tcW w:w="120" w:type="dxa"/>
            <w:vAlign w:val="bottom"/>
          </w:tcPr>
          <w:p>
            <w:pPr>
              <w:spacing w:after="0"/>
              <w:rPr>
                <w:sz w:val="10"/>
                <w:szCs w:val="10"/>
                <w:color w:val="auto"/>
              </w:rPr>
            </w:pPr>
          </w:p>
        </w:tc>
        <w:tc>
          <w:tcPr>
            <w:tcW w:w="1080" w:type="dxa"/>
            <w:vAlign w:val="bottom"/>
            <w:gridSpan w:val="5"/>
          </w:tcPr>
          <w:p>
            <w:pPr>
              <w:ind w:left="2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Net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w w:val="84"/>
              </w:rPr>
              <w:t>thousands)</w:t>
            </w: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Finite-life intangible assets:</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Customer relationships</w:t>
            </w:r>
          </w:p>
        </w:tc>
        <w:tc>
          <w:tcPr>
            <w:tcW w:w="360" w:type="dxa"/>
            <w:vAlign w:val="bottom"/>
          </w:tcPr>
          <w:p>
            <w:pPr>
              <w:jc w:val="right"/>
              <w:ind w:right="219"/>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5,508</w:t>
            </w:r>
          </w:p>
        </w:tc>
        <w:tc>
          <w:tcPr>
            <w:tcW w:w="140" w:type="dxa"/>
            <w:vAlign w:val="bottom"/>
          </w:tcPr>
          <w:p>
            <w:pPr>
              <w:spacing w:after="0"/>
              <w:rPr>
                <w:sz w:val="13"/>
                <w:szCs w:val="13"/>
                <w:color w:val="auto"/>
              </w:rPr>
            </w:pPr>
          </w:p>
        </w:tc>
        <w:tc>
          <w:tcPr>
            <w:tcW w:w="360" w:type="dxa"/>
            <w:vAlign w:val="bottom"/>
            <w:gridSpan w:val="3"/>
          </w:tcPr>
          <w:p>
            <w:pPr>
              <w:ind w:left="2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80" w:type="dxa"/>
            <w:vAlign w:val="bottom"/>
            <w:gridSpan w:val="4"/>
          </w:tcPr>
          <w:p>
            <w:pPr>
              <w:jc w:val="right"/>
              <w:ind w:right="207"/>
              <w:spacing w:after="0"/>
              <w:rPr>
                <w:sz w:val="20"/>
                <w:szCs w:val="20"/>
                <w:color w:val="auto"/>
              </w:rPr>
            </w:pPr>
            <w:r>
              <w:rPr>
                <w:rFonts w:ascii="Arial" w:cs="Arial" w:eastAsia="Arial" w:hAnsi="Arial"/>
                <w:sz w:val="13"/>
                <w:szCs w:val="13"/>
                <w:color w:val="auto"/>
              </w:rPr>
              <w:t>(423)</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5,085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74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5"/>
              </w:rPr>
              <w:t>Trademark</w:t>
            </w:r>
          </w:p>
        </w:tc>
        <w:tc>
          <w:tcPr>
            <w:tcW w:w="208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1,214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Trade secrets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862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4"/>
          </w:tcPr>
          <w:p>
            <w:pPr>
              <w:jc w:val="right"/>
              <w:ind w:right="207"/>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Carrier relationships</w:t>
            </w: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782</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Other finite-life intangible assets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4"/>
          </w:tcPr>
          <w:p>
            <w:pPr>
              <w:jc w:val="right"/>
              <w:ind w:right="207"/>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finite-life intangible assets</w:t>
            </w: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8,749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w w:val="97"/>
              </w:rPr>
              <w:t>(1,165)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7,584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spacing w:after="0"/>
              <w:rPr>
                <w:sz w:val="20"/>
                <w:szCs w:val="20"/>
                <w:color w:val="auto"/>
              </w:rPr>
            </w:pPr>
            <w:r>
              <w:rPr>
                <w:rFonts w:ascii="Arial" w:cs="Arial" w:eastAsia="Arial" w:hAnsi="Arial"/>
                <w:sz w:val="13"/>
                <w:szCs w:val="13"/>
                <w:color w:val="auto"/>
              </w:rPr>
              <w:t>Indefinite-life intangible assets</w:t>
            </w: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1,227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intangible assets, net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9,976</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w w:val="97"/>
              </w:rPr>
              <w:t>(1,165)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8,811</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ind w:left="220"/>
              <w:spacing w:after="0"/>
              <w:rPr>
                <w:sz w:val="20"/>
                <w:szCs w:val="20"/>
                <w:color w:val="auto"/>
              </w:rPr>
            </w:pPr>
            <w:r>
              <w:rPr>
                <w:rFonts w:ascii="Arial" w:cs="Arial" w:eastAsia="Arial" w:hAnsi="Arial"/>
                <w:sz w:val="11"/>
                <w:szCs w:val="11"/>
                <w:b w:val="1"/>
                <w:bCs w:val="1"/>
                <w:color w:val="auto"/>
              </w:rPr>
              <w:t>2010</w:t>
            </w: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gridSpan w:val="6"/>
          </w:tcPr>
          <w:p>
            <w:pPr>
              <w:jc w:val="center"/>
              <w:ind w:right="140"/>
              <w:spacing w:after="0" w:line="82" w:lineRule="exact"/>
              <w:rPr>
                <w:sz w:val="20"/>
                <w:szCs w:val="20"/>
                <w:color w:val="auto"/>
              </w:rPr>
            </w:pPr>
            <w:r>
              <w:rPr>
                <w:rFonts w:ascii="Arial" w:cs="Arial" w:eastAsia="Arial" w:hAnsi="Arial"/>
                <w:sz w:val="9"/>
                <w:szCs w:val="9"/>
                <w:b w:val="1"/>
                <w:bCs w:val="1"/>
                <w:color w:val="auto"/>
              </w:rPr>
              <w:t>Gross Carrying</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5"/>
          </w:tcPr>
          <w:p>
            <w:pPr>
              <w:ind w:left="40"/>
              <w:spacing w:after="0" w:line="82" w:lineRule="exact"/>
              <w:rPr>
                <w:sz w:val="20"/>
                <w:szCs w:val="20"/>
                <w:color w:val="auto"/>
              </w:rPr>
            </w:pPr>
            <w:r>
              <w:rPr>
                <w:rFonts w:ascii="Arial" w:cs="Arial" w:eastAsia="Arial" w:hAnsi="Arial"/>
                <w:sz w:val="9"/>
                <w:szCs w:val="9"/>
                <w:b w:val="1"/>
                <w:bCs w:val="1"/>
                <w:color w:val="auto"/>
              </w:rPr>
              <w:t>Accumulated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w:t>
            </w:r>
          </w:p>
        </w:tc>
        <w:tc>
          <w:tcPr>
            <w:tcW w:w="120" w:type="dxa"/>
            <w:vAlign w:val="bottom"/>
          </w:tcPr>
          <w:p>
            <w:pPr>
              <w:spacing w:after="0"/>
              <w:rPr>
                <w:sz w:val="10"/>
                <w:szCs w:val="10"/>
                <w:color w:val="auto"/>
              </w:rPr>
            </w:pPr>
          </w:p>
        </w:tc>
        <w:tc>
          <w:tcPr>
            <w:tcW w:w="1080" w:type="dxa"/>
            <w:vAlign w:val="bottom"/>
            <w:gridSpan w:val="5"/>
          </w:tcPr>
          <w:p>
            <w:pPr>
              <w:ind w:left="20"/>
              <w:spacing w:after="0"/>
              <w:rPr>
                <w:sz w:val="20"/>
                <w:szCs w:val="20"/>
                <w:color w:val="auto"/>
              </w:rPr>
            </w:pPr>
            <w:r>
              <w:rPr>
                <w:rFonts w:ascii="Arial" w:cs="Arial" w:eastAsia="Arial" w:hAnsi="Arial"/>
                <w:sz w:val="11"/>
                <w:szCs w:val="11"/>
                <w:b w:val="1"/>
                <w:bCs w:val="1"/>
                <w:color w:val="auto"/>
              </w:rPr>
              <w:t>Amortization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Net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w w:val="84"/>
              </w:rPr>
              <w:t>thousands)</w:t>
            </w: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Finite-life intangible assets:</w:t>
            </w:r>
          </w:p>
        </w:tc>
        <w:tc>
          <w:tcPr>
            <w:tcW w:w="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Customer relationships</w:t>
            </w:r>
          </w:p>
        </w:tc>
        <w:tc>
          <w:tcPr>
            <w:tcW w:w="360" w:type="dxa"/>
            <w:vAlign w:val="bottom"/>
          </w:tcPr>
          <w:p>
            <w:pPr>
              <w:jc w:val="right"/>
              <w:ind w:right="219"/>
              <w:spacing w:after="0"/>
              <w:rPr>
                <w:sz w:val="20"/>
                <w:szCs w:val="20"/>
                <w:color w:val="auto"/>
              </w:rPr>
            </w:pPr>
            <w:r>
              <w:rPr>
                <w:rFonts w:ascii="Arial" w:cs="Arial" w:eastAsia="Arial" w:hAnsi="Arial"/>
                <w:sz w:val="13"/>
                <w:szCs w:val="13"/>
                <w:color w:val="auto"/>
                <w:w w:val="82"/>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2,058</w:t>
            </w:r>
          </w:p>
        </w:tc>
        <w:tc>
          <w:tcPr>
            <w:tcW w:w="140" w:type="dxa"/>
            <w:vAlign w:val="bottom"/>
          </w:tcPr>
          <w:p>
            <w:pPr>
              <w:spacing w:after="0"/>
              <w:rPr>
                <w:sz w:val="13"/>
                <w:szCs w:val="13"/>
                <w:color w:val="auto"/>
              </w:rPr>
            </w:pPr>
          </w:p>
        </w:tc>
        <w:tc>
          <w:tcPr>
            <w:tcW w:w="360" w:type="dxa"/>
            <w:vAlign w:val="bottom"/>
            <w:gridSpan w:val="3"/>
          </w:tcPr>
          <w:p>
            <w:pPr>
              <w:ind w:left="2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80" w:type="dxa"/>
            <w:vAlign w:val="bottom"/>
            <w:gridSpan w:val="4"/>
          </w:tcPr>
          <w:p>
            <w:pPr>
              <w:jc w:val="right"/>
              <w:ind w:right="207"/>
              <w:spacing w:after="0"/>
              <w:rPr>
                <w:sz w:val="20"/>
                <w:szCs w:val="20"/>
                <w:color w:val="auto"/>
              </w:rPr>
            </w:pPr>
            <w:r>
              <w:rPr>
                <w:rFonts w:ascii="Arial" w:cs="Arial" w:eastAsia="Arial" w:hAnsi="Arial"/>
                <w:sz w:val="13"/>
                <w:szCs w:val="13"/>
                <w:color w:val="auto"/>
              </w:rPr>
              <w:t>(292)</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1,766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Trade secrets</w:t>
            </w: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ind w:left="120"/>
              <w:spacing w:after="0"/>
              <w:rPr>
                <w:sz w:val="20"/>
                <w:szCs w:val="20"/>
                <w:color w:val="auto"/>
              </w:rPr>
            </w:pPr>
            <w:r>
              <w:rPr>
                <w:rFonts w:ascii="Arial" w:cs="Arial" w:eastAsia="Arial" w:hAnsi="Arial"/>
                <w:sz w:val="13"/>
                <w:szCs w:val="13"/>
                <w:color w:val="auto"/>
              </w:rPr>
              <w:t>Other finite-life intangible assets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4"/>
          </w:tcPr>
          <w:p>
            <w:pPr>
              <w:jc w:val="right"/>
              <w:ind w:right="207"/>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finite-life intangible assets</w:t>
            </w: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3,259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tcPr>
          <w:p>
            <w:pPr>
              <w:spacing w:after="0"/>
              <w:rPr>
                <w:sz w:val="20"/>
                <w:szCs w:val="20"/>
                <w:color w:val="auto"/>
              </w:rPr>
            </w:pPr>
            <w:r>
              <w:rPr>
                <w:rFonts w:ascii="Arial" w:cs="Arial" w:eastAsia="Arial" w:hAnsi="Arial"/>
                <w:sz w:val="13"/>
                <w:szCs w:val="13"/>
                <w:color w:val="auto"/>
              </w:rPr>
              <w:t>Indefinite-life intangible assets</w:t>
            </w:r>
          </w:p>
        </w:tc>
        <w:tc>
          <w:tcPr>
            <w:tcW w:w="3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1,227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Total intangible assets, net</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4,486</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7"/>
              <w:spacing w:after="0"/>
              <w:rPr>
                <w:sz w:val="20"/>
                <w:szCs w:val="20"/>
                <w:color w:val="auto"/>
              </w:rPr>
            </w:pPr>
            <w:r>
              <w:rPr>
                <w:rFonts w:ascii="Arial" w:cs="Arial" w:eastAsia="Arial" w:hAnsi="Arial"/>
                <w:sz w:val="13"/>
                <w:szCs w:val="13"/>
                <w:color w:val="auto"/>
              </w:rPr>
              <w:t>(851)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3,635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00" w:type="dxa"/>
            <w:vAlign w:val="bottom"/>
          </w:tcPr>
          <w:p>
            <w:pPr>
              <w:spacing w:after="0"/>
              <w:rPr>
                <w:sz w:val="22"/>
                <w:szCs w:val="22"/>
                <w:color w:val="auto"/>
              </w:rPr>
            </w:pPr>
          </w:p>
        </w:tc>
        <w:tc>
          <w:tcPr>
            <w:tcW w:w="8600" w:type="dxa"/>
            <w:vAlign w:val="bottom"/>
            <w:gridSpan w:val="14"/>
          </w:tcPr>
          <w:p>
            <w:pPr>
              <w:ind w:left="380"/>
              <w:spacing w:after="0"/>
              <w:rPr>
                <w:sz w:val="20"/>
                <w:szCs w:val="20"/>
                <w:color w:val="auto"/>
              </w:rPr>
            </w:pPr>
            <w:r>
              <w:rPr>
                <w:rFonts w:ascii="Arial" w:cs="Arial" w:eastAsia="Arial" w:hAnsi="Arial"/>
                <w:sz w:val="13"/>
                <w:szCs w:val="13"/>
                <w:color w:val="auto"/>
              </w:rPr>
              <w:t>Intangible asset amortization expense was $0.3 million during fiscal 2011, $0.2 million during fiscal 2010, and $0.5 million during fiscal 2009.</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6480" w:type="dxa"/>
            <w:vAlign w:val="bottom"/>
            <w:gridSpan w:val="4"/>
          </w:tcPr>
          <w:p>
            <w:pPr>
              <w:ind w:left="380"/>
              <w:spacing w:after="0"/>
              <w:rPr>
                <w:sz w:val="20"/>
                <w:szCs w:val="20"/>
                <w:color w:val="auto"/>
              </w:rPr>
            </w:pPr>
            <w:r>
              <w:rPr>
                <w:rFonts w:ascii="Arial" w:cs="Arial" w:eastAsia="Arial" w:hAnsi="Arial"/>
                <w:sz w:val="13"/>
                <w:szCs w:val="13"/>
                <w:color w:val="auto"/>
                <w:w w:val="92"/>
              </w:rPr>
              <w:t>The estimated future amortization expense for identifiable intangible assets during the next five years is as follows:</w:t>
            </w: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2013</w:t>
            </w:r>
          </w:p>
        </w:tc>
        <w:tc>
          <w:tcPr>
            <w:tcW w:w="80" w:type="dxa"/>
            <w:vAlign w:val="bottom"/>
            <w:tcBorders>
              <w:bottom w:val="single" w:sz="8" w:color="auto"/>
            </w:tcBorders>
          </w:tcPr>
          <w:p>
            <w:pPr>
              <w:spacing w:after="0"/>
              <w:rPr>
                <w:sz w:val="18"/>
                <w:szCs w:val="18"/>
                <w:color w:val="auto"/>
              </w:rPr>
            </w:pPr>
          </w:p>
        </w:tc>
        <w:tc>
          <w:tcPr>
            <w:tcW w:w="280" w:type="dxa"/>
            <w:vAlign w:val="bottom"/>
            <w:gridSpan w:val="2"/>
          </w:tcPr>
          <w:p>
            <w:pPr>
              <w:spacing w:after="0"/>
              <w:rPr>
                <w:sz w:val="18"/>
                <w:szCs w:val="18"/>
                <w:color w:val="auto"/>
              </w:rPr>
            </w:pPr>
          </w:p>
        </w:tc>
        <w:tc>
          <w:tcPr>
            <w:tcW w:w="400" w:type="dxa"/>
            <w:vAlign w:val="bottom"/>
            <w:tcBorders>
              <w:bottom w:val="single" w:sz="8" w:color="auto"/>
            </w:tcBorders>
          </w:tcPr>
          <w:p>
            <w:pPr>
              <w:jc w:val="right"/>
              <w:ind w:right="49"/>
              <w:spacing w:after="0"/>
              <w:rPr>
                <w:sz w:val="20"/>
                <w:szCs w:val="20"/>
                <w:color w:val="auto"/>
              </w:rPr>
            </w:pPr>
            <w:r>
              <w:rPr>
                <w:rFonts w:ascii="Arial" w:cs="Arial" w:eastAsia="Arial" w:hAnsi="Arial"/>
                <w:sz w:val="11"/>
                <w:szCs w:val="11"/>
                <w:b w:val="1"/>
                <w:bCs w:val="1"/>
                <w:color w:val="auto"/>
              </w:rPr>
              <w:t>2014</w:t>
            </w:r>
          </w:p>
        </w:tc>
        <w:tc>
          <w:tcPr>
            <w:tcW w:w="300" w:type="dxa"/>
            <w:vAlign w:val="bottom"/>
            <w:gridSpan w:val="2"/>
          </w:tcPr>
          <w:p>
            <w:pPr>
              <w:spacing w:after="0"/>
              <w:rPr>
                <w:sz w:val="18"/>
                <w:szCs w:val="18"/>
                <w:color w:val="auto"/>
              </w:rPr>
            </w:pPr>
          </w:p>
        </w:tc>
        <w:tc>
          <w:tcPr>
            <w:tcW w:w="3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2016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gridSpan w:val="2"/>
          </w:tcPr>
          <w:p>
            <w:pPr>
              <w:ind w:left="160"/>
              <w:spacing w:after="0" w:line="116" w:lineRule="exact"/>
              <w:rPr>
                <w:sz w:val="20"/>
                <w:szCs w:val="20"/>
                <w:color w:val="auto"/>
              </w:rPr>
            </w:pPr>
            <w:r>
              <w:rPr>
                <w:rFonts w:ascii="Arial" w:cs="Arial" w:eastAsia="Arial" w:hAnsi="Arial"/>
                <w:sz w:val="11"/>
                <w:szCs w:val="11"/>
                <w:b w:val="1"/>
                <w:bCs w:val="1"/>
                <w:color w:val="auto"/>
                <w:w w:val="74"/>
              </w:rPr>
              <w:t>(In</w:t>
            </w:r>
          </w:p>
        </w:tc>
        <w:tc>
          <w:tcPr>
            <w:tcW w:w="1080" w:type="dxa"/>
            <w:vAlign w:val="bottom"/>
            <w:gridSpan w:val="5"/>
          </w:tcPr>
          <w:p>
            <w:pPr>
              <w:ind w:left="40"/>
              <w:spacing w:after="0"/>
              <w:rPr>
                <w:sz w:val="20"/>
                <w:szCs w:val="20"/>
                <w:color w:val="auto"/>
              </w:rPr>
            </w:pPr>
            <w:r>
              <w:rPr>
                <w:rFonts w:ascii="Arial" w:cs="Arial" w:eastAsia="Arial" w:hAnsi="Arial"/>
                <w:sz w:val="11"/>
                <w:szCs w:val="11"/>
                <w:b w:val="1"/>
                <w:bCs w:val="1"/>
                <w:color w:val="auto"/>
              </w:rPr>
              <w:t>thousands)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4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Estimated amortization expense</w:t>
            </w:r>
          </w:p>
        </w:tc>
        <w:tc>
          <w:tcPr>
            <w:tcW w:w="760" w:type="dxa"/>
            <w:vAlign w:val="bottom"/>
            <w:gridSpan w:val="2"/>
            <w:shd w:val="clear" w:color="auto" w:fill="CCEEFF"/>
          </w:tcPr>
          <w:p>
            <w:pPr>
              <w:jc w:val="right"/>
              <w:ind w:right="47"/>
              <w:spacing w:after="0"/>
              <w:rPr>
                <w:sz w:val="20"/>
                <w:szCs w:val="20"/>
                <w:color w:val="auto"/>
              </w:rPr>
            </w:pPr>
            <w:r>
              <w:rPr>
                <w:rFonts w:ascii="Arial" w:cs="Arial" w:eastAsia="Arial" w:hAnsi="Arial"/>
                <w:sz w:val="13"/>
                <w:szCs w:val="13"/>
                <w:color w:val="auto"/>
              </w:rPr>
              <w:t>$619</w:t>
            </w:r>
          </w:p>
        </w:tc>
        <w:tc>
          <w:tcPr>
            <w:tcW w:w="10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$596</w:t>
            </w:r>
          </w:p>
        </w:tc>
        <w:tc>
          <w:tcPr>
            <w:tcW w:w="760" w:type="dxa"/>
            <w:vAlign w:val="bottom"/>
            <w:gridSpan w:val="4"/>
            <w:shd w:val="clear" w:color="auto" w:fill="CCEEFF"/>
          </w:tcPr>
          <w:p>
            <w:pPr>
              <w:jc w:val="right"/>
              <w:ind w:right="49"/>
              <w:spacing w:after="0"/>
              <w:rPr>
                <w:sz w:val="20"/>
                <w:szCs w:val="20"/>
                <w:color w:val="auto"/>
              </w:rPr>
            </w:pPr>
            <w:r>
              <w:rPr>
                <w:rFonts w:ascii="Arial" w:cs="Arial" w:eastAsia="Arial" w:hAnsi="Arial"/>
                <w:sz w:val="13"/>
                <w:szCs w:val="13"/>
                <w:color w:val="auto"/>
              </w:rPr>
              <w:t>$592</w:t>
            </w:r>
          </w:p>
        </w:tc>
        <w:tc>
          <w:tcPr>
            <w:tcW w:w="680" w:type="dxa"/>
            <w:vAlign w:val="bottom"/>
            <w:gridSpan w:val="4"/>
            <w:shd w:val="clear" w:color="auto" w:fill="CCEEFF"/>
          </w:tcPr>
          <w:p>
            <w:pPr>
              <w:jc w:val="right"/>
              <w:ind w:right="47"/>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jc w:val="right"/>
              <w:ind w:right="1154"/>
              <w:spacing w:after="0"/>
              <w:rPr>
                <w:sz w:val="20"/>
                <w:szCs w:val="20"/>
                <w:color w:val="auto"/>
              </w:rPr>
            </w:pPr>
            <w:r>
              <w:rPr>
                <w:rFonts w:ascii="Arial" w:cs="Arial" w:eastAsia="Arial" w:hAnsi="Arial"/>
                <w:sz w:val="13"/>
                <w:szCs w:val="13"/>
                <w:color w:val="auto"/>
              </w:rPr>
              <w:t>35</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5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Note 6 —</w:t>
            </w:r>
          </w:p>
        </w:tc>
        <w:tc>
          <w:tcPr>
            <w:tcW w:w="7420" w:type="dxa"/>
            <w:vAlign w:val="bottom"/>
          </w:tcPr>
          <w:p>
            <w:pPr>
              <w:ind w:left="120"/>
              <w:spacing w:after="0"/>
              <w:rPr>
                <w:sz w:val="20"/>
                <w:szCs w:val="20"/>
                <w:color w:val="auto"/>
              </w:rPr>
            </w:pPr>
            <w:r>
              <w:rPr>
                <w:rFonts w:ascii="Arial" w:cs="Arial" w:eastAsia="Arial" w:hAnsi="Arial"/>
                <w:sz w:val="13"/>
                <w:szCs w:val="13"/>
                <w:b w:val="1"/>
                <w:bCs w:val="1"/>
                <w:color w:val="auto"/>
              </w:rPr>
              <w:t>Accumulated Other Comprehensive Income (Loss)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80" w:type="dxa"/>
            <w:vAlign w:val="bottom"/>
            <w:gridSpan w:val="2"/>
          </w:tcPr>
          <w:p>
            <w:pPr>
              <w:ind w:left="380"/>
              <w:spacing w:after="0"/>
              <w:rPr>
                <w:sz w:val="20"/>
                <w:szCs w:val="20"/>
                <w:color w:val="auto"/>
              </w:rPr>
            </w:pPr>
            <w:r>
              <w:rPr>
                <w:rFonts w:ascii="Arial" w:cs="Arial" w:eastAsia="Arial" w:hAnsi="Arial"/>
                <w:sz w:val="13"/>
                <w:szCs w:val="13"/>
                <w:color w:val="auto"/>
              </w:rPr>
              <w:t>Components of accumulated other comprehensive income (loss), net of tax, were as follows: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w w:val="81"/>
              </w:rPr>
              <w:t>2011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2010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(In</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w w:val="91"/>
              </w:rPr>
              <w:t>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Unrealized gain (loss) on:</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80" w:type="dxa"/>
            <w:vAlign w:val="bottom"/>
            <w:gridSpan w:val="2"/>
          </w:tcPr>
          <w:p>
            <w:pPr>
              <w:ind w:left="120"/>
              <w:spacing w:after="0"/>
              <w:rPr>
                <w:sz w:val="20"/>
                <w:szCs w:val="20"/>
                <w:color w:val="auto"/>
              </w:rPr>
            </w:pPr>
            <w:r>
              <w:rPr>
                <w:rFonts w:ascii="Arial" w:cs="Arial" w:eastAsia="Arial" w:hAnsi="Arial"/>
                <w:sz w:val="13"/>
                <w:szCs w:val="13"/>
                <w:color w:val="auto"/>
              </w:rPr>
              <w:t>Available-for-sale investments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Post-retirement plan liability adjustments</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4"/>
              </w:rPr>
              <w:t>(29)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00" w:type="dxa"/>
            <w:vAlign w:val="bottom"/>
            <w:gridSpan w:val="3"/>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(145)</w:t>
            </w: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37</w:t>
            </w:r>
          </w:p>
        </w:tc>
        <w:tc>
          <w:tcPr>
            <w:tcW w:w="2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7 —</w:t>
      </w:r>
      <w:r>
        <w:rPr>
          <w:sz w:val="20"/>
          <w:szCs w:val="20"/>
          <w:color w:val="auto"/>
        </w:rPr>
        <w:tab/>
      </w:r>
      <w:r>
        <w:rPr>
          <w:rFonts w:ascii="Arial" w:cs="Arial" w:eastAsia="Arial" w:hAnsi="Arial"/>
          <w:sz w:val="11"/>
          <w:szCs w:val="11"/>
          <w:b w:val="1"/>
          <w:bCs w:val="1"/>
          <w:color w:val="auto"/>
        </w:rPr>
        <w:t>Share-Based Compensation</w:t>
      </w:r>
    </w:p>
    <w:p>
      <w:pPr>
        <w:spacing w:after="0" w:line="102" w:lineRule="exact"/>
        <w:rPr>
          <w:sz w:val="20"/>
          <w:szCs w:val="20"/>
          <w:color w:val="auto"/>
        </w:rPr>
      </w:pPr>
    </w:p>
    <w:p>
      <w:pPr>
        <w:ind w:left="680" w:right="820" w:firstLine="399"/>
        <w:spacing w:after="0" w:line="266" w:lineRule="auto"/>
        <w:rPr>
          <w:sz w:val="20"/>
          <w:szCs w:val="20"/>
          <w:color w:val="auto"/>
        </w:rPr>
      </w:pPr>
      <w:r>
        <w:rPr>
          <w:rFonts w:ascii="Arial" w:cs="Arial" w:eastAsia="Arial" w:hAnsi="Arial"/>
          <w:sz w:val="13"/>
          <w:szCs w:val="13"/>
          <w:i w:val="1"/>
          <w:iCs w:val="1"/>
          <w:color w:val="auto"/>
        </w:rPr>
        <w:t xml:space="preserve">Stock Option Awards. </w:t>
      </w:r>
      <w:r>
        <w:rPr>
          <w:rFonts w:ascii="Arial" w:cs="Arial" w:eastAsia="Arial" w:hAnsi="Arial"/>
          <w:sz w:val="13"/>
          <w:szCs w:val="13"/>
          <w:color w:val="auto"/>
        </w:rPr>
        <w:t>Our Board of Directors approved a long-term incentive equity compensation arrangement for our executive officers during the first quarter of fiscal 2009.</w:t>
      </w:r>
      <w:r>
        <w:rPr>
          <w:rFonts w:ascii="Arial" w:cs="Arial" w:eastAsia="Arial" w:hAnsi="Arial"/>
          <w:sz w:val="13"/>
          <w:szCs w:val="13"/>
          <w:i w:val="1"/>
          <w:iCs w:val="1"/>
          <w:color w:val="auto"/>
        </w:rPr>
        <w:t xml:space="preserve"> </w:t>
      </w:r>
      <w:r>
        <w:rPr>
          <w:rFonts w:ascii="Arial" w:cs="Arial" w:eastAsia="Arial" w:hAnsi="Arial"/>
          <w:sz w:val="13"/>
          <w:szCs w:val="13"/>
          <w:color w:val="auto"/>
        </w:rPr>
        <w:t>This long-term incentive arrangement provides for the grant of nonqualified stock options that vest at the end of a three-year period and expire no later than 10 years after the grant date. We used the Black-Scholes valuation model to estimate the fair value of the options at grant date based on the following assumptions: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1"/>
                <w:szCs w:val="11"/>
                <w:b w:val="1"/>
                <w:bCs w:val="1"/>
                <w:color w:val="auto"/>
              </w:rPr>
              <w:t>June 10, 2009 Grant</w:t>
            </w:r>
          </w:p>
        </w:tc>
        <w:tc>
          <w:tcPr>
            <w:tcW w:w="300" w:type="dxa"/>
            <w:vAlign w:val="bottom"/>
          </w:tcPr>
          <w:p>
            <w:pPr>
              <w:spacing w:after="0"/>
              <w:rPr>
                <w:sz w:val="10"/>
                <w:szCs w:val="10"/>
                <w:color w:val="auto"/>
              </w:rPr>
            </w:pPr>
          </w:p>
        </w:tc>
        <w:tc>
          <w:tcPr>
            <w:tcW w:w="1620" w:type="dxa"/>
            <w:vAlign w:val="bottom"/>
            <w:tcBorders>
              <w:bottom w:val="single" w:sz="8" w:color="auto"/>
            </w:tcBorders>
          </w:tcPr>
          <w:p>
            <w:pPr>
              <w:jc w:val="right"/>
              <w:ind w:right="307"/>
              <w:spacing w:after="0"/>
              <w:rPr>
                <w:sz w:val="20"/>
                <w:szCs w:val="20"/>
                <w:color w:val="auto"/>
              </w:rPr>
            </w:pPr>
            <w:r>
              <w:rPr>
                <w:rFonts w:ascii="Arial" w:cs="Arial" w:eastAsia="Arial" w:hAnsi="Arial"/>
                <w:sz w:val="11"/>
                <w:szCs w:val="11"/>
                <w:b w:val="1"/>
                <w:bCs w:val="1"/>
                <w:color w:val="auto"/>
              </w:rPr>
              <w:t>May 13, 2008 Grant</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2.5%</w:t>
            </w:r>
          </w:p>
        </w:tc>
        <w:tc>
          <w:tcPr>
            <w:tcW w:w="1920" w:type="dxa"/>
            <w:vAlign w:val="bottom"/>
            <w:gridSpan w:val="2"/>
            <w:shd w:val="clear" w:color="auto" w:fill="CCEEFF"/>
          </w:tcPr>
          <w:p>
            <w:pPr>
              <w:jc w:val="right"/>
              <w:ind w:right="52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40" w:type="dxa"/>
            <w:vAlign w:val="bottom"/>
          </w:tcPr>
          <w:p>
            <w:pPr>
              <w:spacing w:after="0"/>
              <w:rPr>
                <w:sz w:val="20"/>
                <w:szCs w:val="20"/>
                <w:color w:val="auto"/>
              </w:rPr>
            </w:pPr>
            <w:r>
              <w:rPr>
                <w:rFonts w:ascii="Arial" w:cs="Arial" w:eastAsia="Arial" w:hAnsi="Arial"/>
                <w:sz w:val="13"/>
                <w:szCs w:val="13"/>
                <w:color w:val="auto"/>
              </w:rPr>
              <w:t>Volatility</w:t>
            </w:r>
          </w:p>
        </w:tc>
        <w:tc>
          <w:tcPr>
            <w:tcW w:w="1600" w:type="dxa"/>
            <w:vAlign w:val="bottom"/>
          </w:tcPr>
          <w:p>
            <w:pPr>
              <w:jc w:val="right"/>
              <w:ind w:right="497"/>
              <w:spacing w:after="0"/>
              <w:rPr>
                <w:sz w:val="20"/>
                <w:szCs w:val="20"/>
                <w:color w:val="auto"/>
              </w:rPr>
            </w:pPr>
            <w:r>
              <w:rPr>
                <w:rFonts w:ascii="Arial" w:cs="Arial" w:eastAsia="Arial" w:hAnsi="Arial"/>
                <w:sz w:val="13"/>
                <w:szCs w:val="13"/>
                <w:color w:val="auto"/>
              </w:rPr>
              <w:t>31.4%</w:t>
            </w:r>
          </w:p>
        </w:tc>
        <w:tc>
          <w:tcPr>
            <w:tcW w:w="1920" w:type="dxa"/>
            <w:vAlign w:val="bottom"/>
            <w:gridSpan w:val="2"/>
          </w:tcPr>
          <w:p>
            <w:pPr>
              <w:jc w:val="right"/>
              <w:ind w:right="527"/>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2.1%</w:t>
            </w:r>
          </w:p>
        </w:tc>
        <w:tc>
          <w:tcPr>
            <w:tcW w:w="1920" w:type="dxa"/>
            <w:vAlign w:val="bottom"/>
            <w:gridSpan w:val="2"/>
            <w:shd w:val="clear" w:color="auto" w:fill="CCEEFF"/>
          </w:tcPr>
          <w:p>
            <w:pPr>
              <w:jc w:val="right"/>
              <w:ind w:right="52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Arial" w:cs="Arial" w:eastAsia="Arial" w:hAnsi="Arial"/>
                <w:sz w:val="13"/>
                <w:szCs w:val="13"/>
                <w:color w:val="auto"/>
              </w:rPr>
              <w:t>Expected life in years</w:t>
            </w:r>
          </w:p>
        </w:tc>
        <w:tc>
          <w:tcPr>
            <w:tcW w:w="1600" w:type="dxa"/>
            <w:vAlign w:val="bottom"/>
          </w:tcPr>
          <w:p>
            <w:pPr>
              <w:jc w:val="right"/>
              <w:ind w:right="617"/>
              <w:spacing w:after="0"/>
              <w:rPr>
                <w:sz w:val="20"/>
                <w:szCs w:val="20"/>
                <w:color w:val="auto"/>
              </w:rPr>
            </w:pPr>
            <w:r>
              <w:rPr>
                <w:rFonts w:ascii="Arial" w:cs="Arial" w:eastAsia="Arial" w:hAnsi="Arial"/>
                <w:sz w:val="13"/>
                <w:szCs w:val="13"/>
                <w:color w:val="auto"/>
              </w:rPr>
              <w:t>4</w:t>
            </w:r>
          </w:p>
        </w:tc>
        <w:tc>
          <w:tcPr>
            <w:tcW w:w="1920" w:type="dxa"/>
            <w:vAlign w:val="bottom"/>
            <w:gridSpan w:val="2"/>
          </w:tcPr>
          <w:p>
            <w:pPr>
              <w:jc w:val="right"/>
              <w:ind w:right="62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right="980" w:firstLine="399"/>
        <w:spacing w:after="0" w:line="279" w:lineRule="auto"/>
        <w:rPr>
          <w:sz w:val="20"/>
          <w:szCs w:val="20"/>
          <w:color w:val="auto"/>
        </w:rPr>
      </w:pPr>
      <w:r>
        <w:rPr>
          <w:rFonts w:ascii="Arial" w:cs="Arial" w:eastAsia="Arial" w:hAnsi="Arial"/>
          <w:sz w:val="13"/>
          <w:szCs w:val="13"/>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represents the stock option activity for fiscal 2011 and fiscal 2010: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2011</w:t>
            </w: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4"/>
          </w:tcPr>
          <w:p>
            <w:pPr>
              <w:jc w:val="center"/>
              <w:ind w:left="78"/>
              <w:spacing w:after="0" w:line="99" w:lineRule="exact"/>
              <w:rPr>
                <w:sz w:val="20"/>
                <w:szCs w:val="20"/>
                <w:color w:val="auto"/>
              </w:rPr>
            </w:pPr>
            <w:r>
              <w:rPr>
                <w:rFonts w:ascii="Arial" w:cs="Arial" w:eastAsia="Arial" w:hAnsi="Arial"/>
                <w:sz w:val="11"/>
                <w:szCs w:val="11"/>
                <w:b w:val="1"/>
                <w:bCs w:val="1"/>
                <w:color w:val="auto"/>
                <w:w w:val="87"/>
              </w:rPr>
              <w:t>Total Outstanding</w:t>
            </w: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ind w:left="40"/>
              <w:spacing w:after="0" w:line="99" w:lineRule="exact"/>
              <w:rPr>
                <w:sz w:val="20"/>
                <w:szCs w:val="20"/>
                <w:color w:val="auto"/>
              </w:rPr>
            </w:pPr>
            <w:r>
              <w:rPr>
                <w:rFonts w:ascii="Arial" w:cs="Arial" w:eastAsia="Arial" w:hAnsi="Arial"/>
                <w:sz w:val="11"/>
                <w:szCs w:val="11"/>
                <w:b w:val="1"/>
                <w:bCs w:val="1"/>
                <w:color w:val="auto"/>
              </w:rPr>
              <w:t>Exercisable</w:t>
            </w: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4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320"/>
              <w:spacing w:after="0" w:line="82" w:lineRule="exact"/>
              <w:rPr>
                <w:sz w:val="20"/>
                <w:szCs w:val="20"/>
                <w:color w:val="auto"/>
              </w:rPr>
            </w:pPr>
            <w:r>
              <w:rPr>
                <w:rFonts w:ascii="Arial" w:cs="Arial" w:eastAsia="Arial" w:hAnsi="Arial"/>
                <w:sz w:val="9"/>
                <w:szCs w:val="9"/>
                <w:b w:val="1"/>
                <w:bCs w:val="1"/>
                <w:color w:val="auto"/>
              </w:rPr>
              <w:t>Weighted-</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260"/>
              <w:spacing w:after="0" w:line="82" w:lineRule="exact"/>
              <w:rPr>
                <w:sz w:val="20"/>
                <w:szCs w:val="20"/>
                <w:color w:val="auto"/>
              </w:rPr>
            </w:pPr>
            <w:r>
              <w:rPr>
                <w:rFonts w:ascii="Arial" w:cs="Arial" w:eastAsia="Arial" w:hAnsi="Arial"/>
                <w:sz w:val="9"/>
                <w:szCs w:val="9"/>
                <w:b w:val="1"/>
                <w:bCs w:val="1"/>
                <w:color w:val="auto"/>
              </w:rPr>
              <w:t>Weighted-</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40"/>
              <w:spacing w:after="0" w:line="109" w:lineRule="exact"/>
              <w:rPr>
                <w:sz w:val="20"/>
                <w:szCs w:val="20"/>
                <w:color w:val="auto"/>
              </w:rPr>
            </w:pPr>
            <w:r>
              <w:rPr>
                <w:rFonts w:ascii="Arial" w:cs="Arial" w:eastAsia="Arial" w:hAnsi="Arial"/>
                <w:sz w:val="11"/>
                <w:szCs w:val="11"/>
                <w:b w:val="1"/>
                <w:bCs w:val="1"/>
                <w:color w:val="auto"/>
                <w:w w:val="82"/>
              </w:rPr>
              <w:t>Average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center"/>
              <w:ind w:right="22"/>
              <w:spacing w:after="0" w:line="109" w:lineRule="exact"/>
              <w:rPr>
                <w:sz w:val="20"/>
                <w:szCs w:val="20"/>
                <w:color w:val="auto"/>
              </w:rPr>
            </w:pPr>
            <w:r>
              <w:rPr>
                <w:rFonts w:ascii="Arial" w:cs="Arial" w:eastAsia="Arial" w:hAnsi="Arial"/>
                <w:sz w:val="11"/>
                <w:szCs w:val="11"/>
                <w:b w:val="1"/>
                <w:bCs w:val="1"/>
                <w:color w:val="auto"/>
                <w:w w:val="84"/>
              </w:rPr>
              <w:t>Aggregate</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2"/>
              </w:rPr>
              <w:t>Average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84"/>
              </w:rPr>
              <w:t>Aggregate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20"/>
              <w:spacing w:after="0" w:line="109" w:lineRule="exact"/>
              <w:rPr>
                <w:sz w:val="20"/>
                <w:szCs w:val="20"/>
                <w:color w:val="auto"/>
              </w:rPr>
            </w:pPr>
            <w:r>
              <w:rPr>
                <w:rFonts w:ascii="Arial" w:cs="Arial" w:eastAsia="Arial" w:hAnsi="Arial"/>
                <w:sz w:val="11"/>
                <w:szCs w:val="11"/>
                <w:b w:val="1"/>
                <w:bCs w:val="1"/>
                <w:color w:val="auto"/>
                <w:w w:val="83"/>
              </w:rPr>
              <w:t>Exercise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center"/>
              <w:ind w:right="22"/>
              <w:spacing w:after="0" w:line="109" w:lineRule="exact"/>
              <w:rPr>
                <w:sz w:val="20"/>
                <w:szCs w:val="20"/>
                <w:color w:val="auto"/>
              </w:rPr>
            </w:pPr>
            <w:r>
              <w:rPr>
                <w:rFonts w:ascii="Arial" w:cs="Arial" w:eastAsia="Arial" w:hAnsi="Arial"/>
                <w:sz w:val="11"/>
                <w:szCs w:val="11"/>
                <w:b w:val="1"/>
                <w:bCs w:val="1"/>
                <w:color w:val="auto"/>
                <w:w w:val="88"/>
              </w:rPr>
              <w:t>Intrinsic</w:t>
            </w: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79"/>
              </w:rPr>
              <w:t>Exercise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88"/>
              </w:rPr>
              <w:t>Intrinsic</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600" w:type="dxa"/>
            <w:vAlign w:val="bottom"/>
          </w:tcPr>
          <w:p>
            <w:pPr>
              <w:jc w:val="right"/>
              <w:ind w:right="96"/>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Price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22"/>
              <w:spacing w:after="0"/>
              <w:rPr>
                <w:sz w:val="20"/>
                <w:szCs w:val="20"/>
                <w:color w:val="auto"/>
              </w:rPr>
            </w:pPr>
            <w:r>
              <w:rPr>
                <w:rFonts w:ascii="Arial" w:cs="Arial" w:eastAsia="Arial" w:hAnsi="Arial"/>
                <w:sz w:val="11"/>
                <w:szCs w:val="11"/>
                <w:b w:val="1"/>
                <w:bCs w:val="1"/>
                <w:color w:val="auto"/>
                <w:w w:val="88"/>
              </w:rPr>
              <w:t>Value</w:t>
            </w:r>
          </w:p>
        </w:tc>
        <w:tc>
          <w:tcPr>
            <w:tcW w:w="38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except</w:t>
            </w:r>
          </w:p>
        </w:tc>
        <w:tc>
          <w:tcPr>
            <w:tcW w:w="480" w:type="dxa"/>
            <w:vAlign w:val="bottom"/>
          </w:tcPr>
          <w:p>
            <w:pPr>
              <w:jc w:val="right"/>
              <w:ind w:right="38"/>
              <w:spacing w:after="0"/>
              <w:rPr>
                <w:sz w:val="20"/>
                <w:szCs w:val="20"/>
                <w:color w:val="auto"/>
              </w:rPr>
            </w:pPr>
            <w:r>
              <w:rPr>
                <w:rFonts w:ascii="Arial" w:cs="Arial" w:eastAsia="Arial" w:hAnsi="Arial"/>
                <w:sz w:val="11"/>
                <w:szCs w:val="11"/>
                <w:b w:val="1"/>
                <w:bCs w:val="1"/>
                <w:color w:val="auto"/>
                <w:w w:val="97"/>
              </w:rPr>
              <w:t>Shares</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Price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6"/>
              </w:rPr>
              <w:t>(In thousand,</w:t>
            </w:r>
          </w:p>
        </w:tc>
        <w:tc>
          <w:tcPr>
            <w:tcW w:w="380" w:type="dxa"/>
            <w:vAlign w:val="bottom"/>
            <w:vMerge w:val="continue"/>
          </w:tcPr>
          <w:p>
            <w:pPr>
              <w:spacing w:after="0"/>
              <w:rPr>
                <w:sz w:val="10"/>
                <w:szCs w:val="1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74"/>
              </w:rPr>
              <w:t>share data)</w:t>
            </w:r>
          </w:p>
        </w:tc>
        <w:tc>
          <w:tcPr>
            <w:tcW w:w="3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beginning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131,997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2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2,607</w:t>
            </w: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66,666</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Exercised</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Forfeited or expired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60" w:type="dxa"/>
            <w:vAlign w:val="bottom"/>
            <w:gridSpan w:val="2"/>
          </w:tcPr>
          <w:p>
            <w:pPr>
              <w:ind w:left="680"/>
              <w:spacing w:after="0"/>
              <w:rPr>
                <w:sz w:val="20"/>
                <w:szCs w:val="20"/>
                <w:color w:val="auto"/>
              </w:rPr>
            </w:pPr>
            <w:r>
              <w:rPr>
                <w:rFonts w:ascii="Arial" w:cs="Arial" w:eastAsia="Arial" w:hAnsi="Arial"/>
                <w:sz w:val="13"/>
                <w:szCs w:val="13"/>
                <w:color w:val="auto"/>
              </w:rPr>
              <w:t>Outstanding at end of year</w:t>
            </w:r>
          </w:p>
        </w:tc>
        <w:tc>
          <w:tcPr>
            <w:tcW w:w="600" w:type="dxa"/>
            <w:vAlign w:val="bottom"/>
          </w:tcPr>
          <w:p>
            <w:pPr>
              <w:jc w:val="right"/>
              <w:spacing w:after="0"/>
              <w:rPr>
                <w:sz w:val="20"/>
                <w:szCs w:val="20"/>
                <w:color w:val="auto"/>
              </w:rPr>
            </w:pPr>
            <w:r>
              <w:rPr>
                <w:rFonts w:ascii="Arial" w:cs="Arial" w:eastAsia="Arial" w:hAnsi="Arial"/>
                <w:sz w:val="13"/>
                <w:szCs w:val="13"/>
                <w:color w:val="auto"/>
              </w:rPr>
              <w:t>131,997</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17.82</w:t>
            </w:r>
          </w:p>
        </w:tc>
        <w:tc>
          <w:tcPr>
            <w:tcW w:w="2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4,908</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66,666</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17.67</w:t>
            </w:r>
          </w:p>
        </w:tc>
        <w:tc>
          <w:tcPr>
            <w:tcW w:w="2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2,482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1"/>
        </w:trPr>
        <w:tc>
          <w:tcPr>
            <w:tcW w:w="7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1"/>
                <w:szCs w:val="11"/>
                <w:b w:val="1"/>
                <w:bCs w:val="1"/>
                <w:color w:val="auto"/>
              </w:rPr>
              <w:t>2010</w:t>
            </w: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3"/>
          </w:tcPr>
          <w:p>
            <w:pPr>
              <w:ind w:left="280"/>
              <w:spacing w:after="0" w:line="99" w:lineRule="exact"/>
              <w:rPr>
                <w:sz w:val="20"/>
                <w:szCs w:val="20"/>
                <w:color w:val="auto"/>
              </w:rPr>
            </w:pPr>
            <w:r>
              <w:rPr>
                <w:rFonts w:ascii="Arial" w:cs="Arial" w:eastAsia="Arial" w:hAnsi="Arial"/>
                <w:sz w:val="11"/>
                <w:szCs w:val="11"/>
                <w:b w:val="1"/>
                <w:bCs w:val="1"/>
                <w:color w:val="auto"/>
                <w:w w:val="99"/>
              </w:rPr>
              <w:t>Total Outstanding</w:t>
            </w: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ind w:left="80"/>
              <w:spacing w:after="0" w:line="99" w:lineRule="exact"/>
              <w:rPr>
                <w:sz w:val="20"/>
                <w:szCs w:val="20"/>
                <w:color w:val="auto"/>
              </w:rPr>
            </w:pPr>
            <w:r>
              <w:rPr>
                <w:rFonts w:ascii="Arial" w:cs="Arial" w:eastAsia="Arial" w:hAnsi="Arial"/>
                <w:sz w:val="11"/>
                <w:szCs w:val="11"/>
                <w:b w:val="1"/>
                <w:bCs w:val="1"/>
                <w:color w:val="auto"/>
              </w:rPr>
              <w:t>Exercisable</w:t>
            </w: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82"/>
        </w:trPr>
        <w:tc>
          <w:tcPr>
            <w:tcW w:w="20" w:type="dxa"/>
            <w:vAlign w:val="bottom"/>
          </w:tcPr>
          <w:p>
            <w:pPr>
              <w:spacing w:after="0"/>
              <w:rPr>
                <w:sz w:val="7"/>
                <w:szCs w:val="7"/>
                <w:color w:val="auto"/>
              </w:rPr>
            </w:pPr>
          </w:p>
        </w:tc>
        <w:tc>
          <w:tcPr>
            <w:tcW w:w="4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gridSpan w:val="2"/>
          </w:tcPr>
          <w:p>
            <w:pPr>
              <w:jc w:val="center"/>
              <w:ind w:right="300"/>
              <w:spacing w:after="0" w:line="82" w:lineRule="exact"/>
              <w:rPr>
                <w:sz w:val="20"/>
                <w:szCs w:val="20"/>
                <w:color w:val="auto"/>
              </w:rPr>
            </w:pPr>
            <w:r>
              <w:rPr>
                <w:rFonts w:ascii="Arial" w:cs="Arial" w:eastAsia="Arial" w:hAnsi="Arial"/>
                <w:sz w:val="9"/>
                <w:szCs w:val="9"/>
                <w:b w:val="1"/>
                <w:bCs w:val="1"/>
                <w:color w:val="auto"/>
              </w:rPr>
              <w:t>Weighted-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gridSpan w:val="2"/>
          </w:tcPr>
          <w:p>
            <w:pPr>
              <w:jc w:val="center"/>
              <w:ind w:right="280"/>
              <w:spacing w:after="0" w:line="82" w:lineRule="exact"/>
              <w:rPr>
                <w:sz w:val="20"/>
                <w:szCs w:val="20"/>
                <w:color w:val="auto"/>
              </w:rPr>
            </w:pPr>
            <w:r>
              <w:rPr>
                <w:rFonts w:ascii="Arial" w:cs="Arial" w:eastAsia="Arial" w:hAnsi="Arial"/>
                <w:sz w:val="9"/>
                <w:szCs w:val="9"/>
                <w:b w:val="1"/>
                <w:bCs w:val="1"/>
                <w:color w:val="auto"/>
              </w:rPr>
              <w:t>Weighted-</w:t>
            </w: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87"/>
              </w:rPr>
              <w:t>Average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07"/>
              <w:spacing w:after="0" w:line="109" w:lineRule="exact"/>
              <w:rPr>
                <w:sz w:val="20"/>
                <w:szCs w:val="20"/>
                <w:color w:val="auto"/>
              </w:rPr>
            </w:pPr>
            <w:r>
              <w:rPr>
                <w:rFonts w:ascii="Arial" w:cs="Arial" w:eastAsia="Arial" w:hAnsi="Arial"/>
                <w:sz w:val="11"/>
                <w:szCs w:val="11"/>
                <w:b w:val="1"/>
                <w:bCs w:val="1"/>
                <w:color w:val="auto"/>
                <w:w w:val="84"/>
              </w:rPr>
              <w:t>Aggregate</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82"/>
              </w:rPr>
              <w:t>Average</w:t>
            </w:r>
          </w:p>
        </w:tc>
        <w:tc>
          <w:tcPr>
            <w:tcW w:w="240" w:type="dxa"/>
            <w:vAlign w:val="bottom"/>
          </w:tcPr>
          <w:p>
            <w:pPr>
              <w:spacing w:after="0"/>
              <w:rPr>
                <w:sz w:val="9"/>
                <w:szCs w:val="9"/>
                <w:color w:val="auto"/>
              </w:rPr>
            </w:pPr>
          </w:p>
        </w:tc>
        <w:tc>
          <w:tcPr>
            <w:tcW w:w="62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84"/>
              </w:rPr>
              <w:t>Aggregate</w:t>
            </w:r>
          </w:p>
        </w:tc>
      </w:tr>
      <w:tr>
        <w:trPr>
          <w:trHeight w:val="109"/>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gridSpan w:val="2"/>
          </w:tcPr>
          <w:p>
            <w:pPr>
              <w:jc w:val="center"/>
              <w:ind w:right="300"/>
              <w:spacing w:after="0" w:line="109" w:lineRule="exact"/>
              <w:rPr>
                <w:sz w:val="20"/>
                <w:szCs w:val="20"/>
                <w:color w:val="auto"/>
              </w:rPr>
            </w:pPr>
            <w:r>
              <w:rPr>
                <w:rFonts w:ascii="Arial" w:cs="Arial" w:eastAsia="Arial" w:hAnsi="Arial"/>
                <w:sz w:val="11"/>
                <w:szCs w:val="11"/>
                <w:b w:val="1"/>
                <w:bCs w:val="1"/>
                <w:color w:val="auto"/>
                <w:w w:val="83"/>
              </w:rPr>
              <w:t>Exercise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27"/>
              <w:spacing w:after="0" w:line="109" w:lineRule="exact"/>
              <w:rPr>
                <w:sz w:val="20"/>
                <w:szCs w:val="20"/>
                <w:color w:val="auto"/>
              </w:rPr>
            </w:pPr>
            <w:r>
              <w:rPr>
                <w:rFonts w:ascii="Arial" w:cs="Arial" w:eastAsia="Arial" w:hAnsi="Arial"/>
                <w:sz w:val="11"/>
                <w:szCs w:val="11"/>
                <w:b w:val="1"/>
                <w:bCs w:val="1"/>
                <w:color w:val="auto"/>
                <w:w w:val="93"/>
              </w:rPr>
              <w:t>Intrinsic</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gridSpan w:val="2"/>
          </w:tcPr>
          <w:p>
            <w:pPr>
              <w:jc w:val="center"/>
              <w:ind w:right="280"/>
              <w:spacing w:after="0" w:line="109" w:lineRule="exact"/>
              <w:rPr>
                <w:sz w:val="20"/>
                <w:szCs w:val="20"/>
                <w:color w:val="auto"/>
              </w:rPr>
            </w:pPr>
            <w:r>
              <w:rPr>
                <w:rFonts w:ascii="Arial" w:cs="Arial" w:eastAsia="Arial" w:hAnsi="Arial"/>
                <w:sz w:val="11"/>
                <w:szCs w:val="11"/>
                <w:b w:val="1"/>
                <w:bCs w:val="1"/>
                <w:color w:val="auto"/>
                <w:w w:val="79"/>
              </w:rPr>
              <w:t>Exercise</w:t>
            </w:r>
          </w:p>
        </w:tc>
        <w:tc>
          <w:tcPr>
            <w:tcW w:w="240" w:type="dxa"/>
            <w:vAlign w:val="bottom"/>
          </w:tcPr>
          <w:p>
            <w:pPr>
              <w:spacing w:after="0"/>
              <w:rPr>
                <w:sz w:val="9"/>
                <w:szCs w:val="9"/>
                <w:color w:val="auto"/>
              </w:rPr>
            </w:pPr>
          </w:p>
        </w:tc>
        <w:tc>
          <w:tcPr>
            <w:tcW w:w="62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88"/>
              </w:rPr>
              <w:t>Intrinsic</w:t>
            </w:r>
          </w:p>
        </w:tc>
      </w:t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Shares</w:t>
            </w:r>
          </w:p>
        </w:tc>
        <w:tc>
          <w:tcPr>
            <w:tcW w:w="480" w:type="dxa"/>
            <w:vAlign w:val="bottom"/>
          </w:tcPr>
          <w:p>
            <w:pPr>
              <w:spacing w:after="0"/>
              <w:rPr>
                <w:sz w:val="10"/>
                <w:szCs w:val="10"/>
                <w:color w:val="auto"/>
              </w:rPr>
            </w:pPr>
          </w:p>
        </w:tc>
        <w:tc>
          <w:tcPr>
            <w:tcW w:w="54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auto"/>
                <w:w w:val="81"/>
              </w:rPr>
              <w:t>Price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81"/>
              </w:rPr>
              <w:t>Value</w:t>
            </w:r>
          </w:p>
        </w:tc>
        <w:tc>
          <w:tcPr>
            <w:tcW w:w="400" w:type="dxa"/>
            <w:vAlign w:val="bottom"/>
          </w:tcPr>
          <w:p>
            <w:pPr>
              <w:spacing w:after="0"/>
              <w:rPr>
                <w:sz w:val="10"/>
                <w:szCs w:val="10"/>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2"/>
              </w:rPr>
              <w:t>Shares</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auto"/>
            </w:tcBorders>
          </w:tcPr>
          <w:p>
            <w:pPr>
              <w:jc w:val="center"/>
              <w:ind w:right="1"/>
              <w:spacing w:after="0"/>
              <w:rPr>
                <w:sz w:val="20"/>
                <w:szCs w:val="20"/>
                <w:color w:val="auto"/>
              </w:rPr>
            </w:pPr>
            <w:r>
              <w:rPr>
                <w:rFonts w:ascii="Arial" w:cs="Arial" w:eastAsia="Arial" w:hAnsi="Arial"/>
                <w:sz w:val="11"/>
                <w:szCs w:val="11"/>
                <w:b w:val="1"/>
                <w:bCs w:val="1"/>
                <w:color w:val="auto"/>
                <w:w w:val="89"/>
              </w:rPr>
              <w:t>Price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Borders>
              <w:bottom w:val="single" w:sz="8" w:color="auto"/>
            </w:tcBorders>
          </w:tcPr>
          <w:p>
            <w:pPr>
              <w:jc w:val="center"/>
              <w:ind w:right="2"/>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w w:val="80"/>
              </w:rPr>
              <w:t>except share data)</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beginning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61,332</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15.43</w:t>
            </w:r>
          </w:p>
        </w:tc>
        <w:tc>
          <w:tcPr>
            <w:tcW w:w="2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4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r>
      <w:tr>
        <w:trPr>
          <w:trHeight w:val="158"/>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70,665</w:t>
            </w:r>
          </w:p>
        </w:tc>
        <w:tc>
          <w:tcPr>
            <w:tcW w:w="4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19.90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Exercised</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Forfeited or expired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520" w:type="dxa"/>
            <w:vAlign w:val="bottom"/>
            <w:gridSpan w:val="2"/>
          </w:tcPr>
          <w:p>
            <w:pPr>
              <w:spacing w:after="0"/>
              <w:rPr>
                <w:sz w:val="20"/>
                <w:szCs w:val="20"/>
                <w:color w:val="auto"/>
              </w:rPr>
            </w:pPr>
            <w:r>
              <w:rPr>
                <w:rFonts w:ascii="Arial" w:cs="Arial" w:eastAsia="Arial" w:hAnsi="Arial"/>
                <w:sz w:val="13"/>
                <w:szCs w:val="13"/>
                <w:color w:val="auto"/>
              </w:rPr>
              <w:t>Outstanding at end of year</w:t>
            </w:r>
          </w:p>
        </w:tc>
        <w:tc>
          <w:tcPr>
            <w:tcW w:w="600" w:type="dxa"/>
            <w:vAlign w:val="bottom"/>
          </w:tcPr>
          <w:p>
            <w:pPr>
              <w:jc w:val="right"/>
              <w:spacing w:after="0"/>
              <w:rPr>
                <w:sz w:val="20"/>
                <w:szCs w:val="20"/>
                <w:color w:val="auto"/>
              </w:rPr>
            </w:pPr>
            <w:r>
              <w:rPr>
                <w:rFonts w:ascii="Arial" w:cs="Arial" w:eastAsia="Arial" w:hAnsi="Arial"/>
                <w:sz w:val="13"/>
                <w:szCs w:val="13"/>
                <w:color w:val="auto"/>
              </w:rPr>
              <w:t>131,997</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w:t>
            </w:r>
            <w:r>
              <w:rPr>
                <w:rFonts w:ascii="Arial" w:cs="Arial" w:eastAsia="Arial" w:hAnsi="Arial"/>
                <w:sz w:val="13"/>
                <w:szCs w:val="13"/>
                <w:u w:val="single" w:color="auto"/>
                <w:color w:val="auto"/>
              </w:rPr>
              <w:t>82</w:t>
            </w:r>
          </w:p>
        </w:tc>
        <w:tc>
          <w:tcPr>
            <w:tcW w:w="22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2,607</w:t>
            </w:r>
          </w:p>
        </w:tc>
        <w:tc>
          <w:tcPr>
            <w:tcW w:w="40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00"/>
              <w:spacing w:after="0"/>
              <w:rPr>
                <w:sz w:val="20"/>
                <w:szCs w:val="20"/>
                <w:color w:val="auto"/>
              </w:rPr>
            </w:pPr>
            <w:r>
              <w:rPr>
                <w:rFonts w:ascii="Arial" w:cs="Arial" w:eastAsia="Arial" w:hAnsi="Arial"/>
                <w:sz w:val="13"/>
                <w:szCs w:val="13"/>
                <w:color w:val="auto"/>
              </w:rPr>
              <w:t>—</w:t>
            </w:r>
          </w:p>
        </w:tc>
      </w:tr>
      <w:tr>
        <w:trPr>
          <w:trHeight w:val="30"/>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60" w:firstLine="399"/>
        <w:spacing w:after="0" w:line="279" w:lineRule="auto"/>
        <w:rPr>
          <w:sz w:val="20"/>
          <w:szCs w:val="20"/>
          <w:color w:val="auto"/>
        </w:rPr>
      </w:pPr>
      <w:r>
        <w:rPr>
          <w:rFonts w:ascii="Arial" w:cs="Arial" w:eastAsia="Arial" w:hAnsi="Arial"/>
          <w:sz w:val="13"/>
          <w:szCs w:val="13"/>
          <w:color w:val="auto"/>
        </w:rPr>
        <w:t>The weighted average grant date fair value of options was estimated to be $4.33 and $2.95 for options granted in fiscal 2010 and fiscal 2009, respectively. The weighted average remaining life of all outstanding and exercisable options is 7.7 years.</w:t>
      </w:r>
    </w:p>
    <w:p>
      <w:pPr>
        <w:spacing w:after="0" w:line="58" w:lineRule="exact"/>
        <w:rPr>
          <w:sz w:val="20"/>
          <w:szCs w:val="20"/>
          <w:color w:val="auto"/>
        </w:rPr>
      </w:pPr>
    </w:p>
    <w:p>
      <w:pPr>
        <w:ind w:left="680" w:right="840" w:firstLine="399"/>
        <w:spacing w:after="0" w:line="291" w:lineRule="auto"/>
        <w:rPr>
          <w:sz w:val="20"/>
          <w:szCs w:val="20"/>
          <w:color w:val="auto"/>
        </w:rPr>
      </w:pPr>
      <w:r>
        <w:rPr>
          <w:rFonts w:ascii="Arial" w:cs="Arial" w:eastAsia="Arial" w:hAnsi="Arial"/>
          <w:sz w:val="12"/>
          <w:szCs w:val="12"/>
          <w:color w:val="auto"/>
        </w:rPr>
        <w:t>Annual expense related to the value of stock options was $0.2 million for fiscal 2011 and $0.1 million for fiscal 2010 and fiscal 2009, substantially all of which was recorded in SG&amp;A expense in the Consolidated Statements of Income. Options awarded to John Hawkins, former Chief Executive Officer, became fully vested and exercisable upon his death in March 2011, resulting in the acceleration of expense of $0.1 million. The total fair value of options vested during fiscal 2011 was $0.2 million. Unrecognized compensation expense related to outstanding stock options as of April 3, 2011 was $0.1 million and is expected to be recognized over a weighted average period of 0.7 years.</w:t>
      </w:r>
    </w:p>
    <w:p>
      <w:pPr>
        <w:spacing w:after="0" w:line="53" w:lineRule="exact"/>
        <w:rPr>
          <w:sz w:val="20"/>
          <w:szCs w:val="20"/>
          <w:color w:val="auto"/>
        </w:rPr>
      </w:pPr>
    </w:p>
    <w:p>
      <w:pPr>
        <w:ind w:left="680" w:right="820" w:firstLine="399"/>
        <w:spacing w:after="0" w:line="259" w:lineRule="auto"/>
        <w:rPr>
          <w:sz w:val="20"/>
          <w:szCs w:val="20"/>
          <w:color w:val="auto"/>
        </w:rPr>
      </w:pPr>
      <w:r>
        <w:rPr>
          <w:rFonts w:ascii="Arial" w:cs="Arial" w:eastAsia="Arial" w:hAnsi="Arial"/>
          <w:sz w:val="13"/>
          <w:szCs w:val="13"/>
          <w:i w:val="1"/>
          <w:iCs w:val="1"/>
          <w:color w:val="auto"/>
        </w:rPr>
        <w:t xml:space="preserve">Performance-Based Restricted Stock Units. </w:t>
      </w:r>
      <w:r>
        <w:rPr>
          <w:rFonts w:ascii="Arial" w:cs="Arial" w:eastAsia="Arial" w:hAnsi="Arial"/>
          <w:sz w:val="13"/>
          <w:szCs w:val="13"/>
          <w:color w:val="auto"/>
        </w:rPr>
        <w:t>Our Board of Directors approved a performance-based equity compensation arrangement for our executive officers during fiscal 2009.</w:t>
      </w:r>
      <w:r>
        <w:rPr>
          <w:rFonts w:ascii="Arial" w:cs="Arial" w:eastAsia="Arial" w:hAnsi="Arial"/>
          <w:sz w:val="13"/>
          <w:szCs w:val="13"/>
          <w:i w:val="1"/>
          <w:iCs w:val="1"/>
          <w:color w:val="auto"/>
        </w:rPr>
        <w:t xml:space="preserve"> </w:t>
      </w:r>
      <w:r>
        <w:rPr>
          <w:rFonts w:ascii="Arial" w:cs="Arial" w:eastAsia="Arial" w:hAnsi="Arial"/>
          <w:sz w:val="13"/>
          <w:szCs w:val="13"/>
          <w:color w:val="auto"/>
        </w:rPr>
        <w:t>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54,824 shares in the aggregate for fiscal 2011.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70" w:lineRule="exact"/>
        <w:rPr>
          <w:sz w:val="20"/>
          <w:szCs w:val="20"/>
          <w:color w:val="auto"/>
        </w:rPr>
      </w:pPr>
    </w:p>
    <w:p>
      <w:pPr>
        <w:ind w:left="680" w:right="1140" w:firstLine="399"/>
        <w:spacing w:after="0" w:line="279" w:lineRule="auto"/>
        <w:rPr>
          <w:sz w:val="20"/>
          <w:szCs w:val="20"/>
          <w:color w:val="auto"/>
        </w:rPr>
      </w:pPr>
      <w:r>
        <w:rPr>
          <w:rFonts w:ascii="Arial" w:cs="Arial" w:eastAsia="Arial" w:hAnsi="Arial"/>
          <w:sz w:val="13"/>
          <w:szCs w:val="13"/>
          <w:color w:val="auto"/>
        </w:rPr>
        <w:t>Performance-based restricted stock units were awarded to our executive officers on June 2, 2010, June 10, 2009 and May 13, 2008 under this arrangement. The following table represents the restricted stock activity for fiscal 2011: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Weighted-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3280" w:type="dxa"/>
            <w:vAlign w:val="bottom"/>
          </w:tcPr>
          <w:p>
            <w:pPr>
              <w:spacing w:after="0"/>
              <w:rPr>
                <w:sz w:val="9"/>
                <w:szCs w:val="9"/>
                <w:color w:val="auto"/>
              </w:rPr>
            </w:pPr>
          </w:p>
        </w:tc>
        <w:tc>
          <w:tcPr>
            <w:tcW w:w="4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7"/>
              </w:rPr>
              <w:t>Average Grant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Date 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2010</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23,000</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Granted</w:t>
            </w:r>
          </w:p>
        </w:tc>
        <w:tc>
          <w:tcPr>
            <w:tcW w:w="5000" w:type="dxa"/>
            <w:vAlign w:val="bottom"/>
            <w:gridSpan w:val="2"/>
          </w:tcPr>
          <w:p>
            <w:pPr>
              <w:jc w:val="right"/>
              <w:spacing w:after="0"/>
              <w:rPr>
                <w:sz w:val="20"/>
                <w:szCs w:val="20"/>
                <w:color w:val="auto"/>
              </w:rPr>
            </w:pPr>
            <w:r>
              <w:rPr>
                <w:rFonts w:ascii="Arial" w:cs="Arial" w:eastAsia="Arial" w:hAnsi="Arial"/>
                <w:sz w:val="13"/>
                <w:szCs w:val="13"/>
                <w:color w:val="auto"/>
              </w:rPr>
              <w:t>41,320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30.02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52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(52,653)</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280" w:type="dxa"/>
            <w:vAlign w:val="bottom"/>
          </w:tcPr>
          <w:p>
            <w:pPr>
              <w:spacing w:after="0"/>
              <w:rPr>
                <w:sz w:val="20"/>
                <w:szCs w:val="20"/>
                <w:color w:val="auto"/>
              </w:rPr>
            </w:pPr>
            <w:r>
              <w:rPr>
                <w:rFonts w:ascii="Arial" w:cs="Arial" w:eastAsia="Arial" w:hAnsi="Arial"/>
                <w:sz w:val="13"/>
                <w:szCs w:val="13"/>
                <w:color w:val="auto"/>
              </w:rPr>
              <w:t>Forfeited or expired</w:t>
            </w:r>
          </w:p>
        </w:tc>
        <w:tc>
          <w:tcPr>
            <w:tcW w:w="44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vMerge w:val="continue"/>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3, 2011</w:t>
            </w:r>
          </w:p>
        </w:tc>
        <w:tc>
          <w:tcPr>
            <w:tcW w:w="4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11,667</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25.81</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0" w:type="dxa"/>
            <w:vAlign w:val="bottom"/>
          </w:tcPr>
          <w:p>
            <w:pPr>
              <w:jc w:val="right"/>
              <w:ind w:right="2574"/>
              <w:spacing w:after="0"/>
              <w:rPr>
                <w:sz w:val="20"/>
                <w:szCs w:val="20"/>
                <w:color w:val="auto"/>
              </w:rPr>
            </w:pPr>
            <w:r>
              <w:rPr>
                <w:rFonts w:ascii="Arial" w:cs="Arial" w:eastAsia="Arial" w:hAnsi="Arial"/>
                <w:sz w:val="13"/>
                <w:szCs w:val="13"/>
                <w:color w:val="auto"/>
              </w:rPr>
              <w:t>37</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2"/>
          <w:szCs w:val="12"/>
          <w:color w:val="auto"/>
        </w:rPr>
        <w:t>We recorded compensation expense related to the shares issued for fiscal 2009 and fiscal 2010 and the potential issuance of shares for fiscal 2011 of approximately $1.6 million for fiscal 2011, $0.4 million for fiscal 2010 and $0.1 million for fiscal 2009, substantially all of which was recorded in SG&amp;A expense in the Consolidated Statements of Income. The performance-based restricted stock units previously awarded to John Hawkins, totaling 39,820 shares, became fully vested and payable upon his death in March 2011, resulting in the acceleration of compensation expense of $0.4 million. The total fair value of performance-based restricted stock units vested in fiscal 2011 was $1.4 million.</w:t>
      </w:r>
    </w:p>
    <w:p>
      <w:pPr>
        <w:spacing w:after="0" w:line="53" w:lineRule="exact"/>
        <w:rPr>
          <w:sz w:val="20"/>
          <w:szCs w:val="20"/>
          <w:color w:val="auto"/>
        </w:rPr>
      </w:pPr>
    </w:p>
    <w:p>
      <w:pPr>
        <w:ind w:left="680" w:right="220" w:firstLine="399"/>
        <w:spacing w:after="0" w:line="291" w:lineRule="auto"/>
        <w:rPr>
          <w:sz w:val="20"/>
          <w:szCs w:val="20"/>
          <w:color w:val="auto"/>
        </w:rPr>
      </w:pPr>
      <w:r>
        <w:rPr>
          <w:rFonts w:ascii="Arial" w:cs="Arial" w:eastAsia="Arial" w:hAnsi="Arial"/>
          <w:sz w:val="12"/>
          <w:szCs w:val="12"/>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which was $19.90 per share on June 10, 2009 and $25.81 per share on June 2, 2010. Unrecognized compensation expense related to nonvested restricted share units as of April 3, 2011 was $1.1 million and is expected to be recognized over a weighted average period of 1.8 years.</w:t>
      </w:r>
    </w:p>
    <w:p>
      <w:pPr>
        <w:spacing w:after="0" w:line="53"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In conjunction with the vesting of restricted stock held by certain of our executive officers, 4,934 shares were forfeited during fiscal 2011 to cover the executive officers statutory minimum income tax withholding.</w:t>
      </w:r>
    </w:p>
    <w:p>
      <w:pPr>
        <w:spacing w:after="0" w:line="58"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2"/>
          <w:szCs w:val="12"/>
          <w:color w:val="auto"/>
        </w:rPr>
        <w:t>The benefits of tax deductions in excess of recognized compensation costs (excess tax benefits) are recorded as a change in additional paid in capital rather than a deduction of taxes paid. For fiscal 2011 $0.3 million of excess tax benefit was recognized and recorded in additional paid in capital resulting from share-based compensation cost.</w:t>
      </w:r>
    </w:p>
    <w:p>
      <w:pPr>
        <w:spacing w:after="0" w:line="35" w:lineRule="exact"/>
        <w:rPr>
          <w:sz w:val="20"/>
          <w:szCs w:val="20"/>
          <w:color w:val="auto"/>
        </w:rPr>
      </w:pPr>
    </w:p>
    <w:p>
      <w:pPr>
        <w:jc w:val="both"/>
        <w:ind w:left="680" w:right="460" w:firstLine="399"/>
        <w:spacing w:after="0" w:line="266" w:lineRule="auto"/>
        <w:rPr>
          <w:sz w:val="20"/>
          <w:szCs w:val="20"/>
          <w:color w:val="auto"/>
        </w:rPr>
      </w:pPr>
      <w:r>
        <w:rPr>
          <w:rFonts w:ascii="Arial" w:cs="Arial" w:eastAsia="Arial" w:hAnsi="Arial"/>
          <w:sz w:val="13"/>
          <w:szCs w:val="13"/>
          <w:i w:val="1"/>
          <w:iCs w:val="1"/>
          <w:color w:val="auto"/>
        </w:rPr>
        <w:t xml:space="preserve">Restricted Stock Awards. </w:t>
      </w:r>
      <w:r>
        <w:rPr>
          <w:rFonts w:ascii="Arial" w:cs="Arial" w:eastAsia="Arial" w:hAnsi="Arial"/>
          <w:sz w:val="13"/>
          <w:szCs w:val="13"/>
          <w:color w:val="auto"/>
        </w:rPr>
        <w:t>As part of their retainer, the Board of Directors receives restricted stock for their Board services. The restricted stock awards are expensed over the</w:t>
      </w:r>
      <w:r>
        <w:rPr>
          <w:rFonts w:ascii="Arial" w:cs="Arial" w:eastAsia="Arial" w:hAnsi="Arial"/>
          <w:sz w:val="13"/>
          <w:szCs w:val="13"/>
          <w:i w:val="1"/>
          <w:iCs w:val="1"/>
          <w:color w:val="auto"/>
        </w:rPr>
        <w:t xml:space="preserve"> </w:t>
      </w:r>
      <w:r>
        <w:rPr>
          <w:rFonts w:ascii="Arial" w:cs="Arial" w:eastAsia="Arial" w:hAnsi="Arial"/>
          <w:sz w:val="13"/>
          <w:szCs w:val="13"/>
          <w:color w:val="auto"/>
        </w:rPr>
        <w:t>requisite vesting period, which begins on the date of issuance and ends on the date of the next Annual Meeting of Shareholders, based on the market value on the date of grant. The following table represents the Board’s restricted stock activity for fiscal 2011:</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Weighted-</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7"/>
              </w:rPr>
              <w:t>Average Grant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Date Fair Value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beginning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tcPr>
          <w:p>
            <w:pPr>
              <w:spacing w:after="0"/>
              <w:rPr>
                <w:sz w:val="20"/>
                <w:szCs w:val="20"/>
                <w:color w:val="auto"/>
              </w:rPr>
            </w:pPr>
            <w:r>
              <w:rPr>
                <w:rFonts w:ascii="Arial" w:cs="Arial" w:eastAsia="Arial" w:hAnsi="Arial"/>
                <w:sz w:val="13"/>
                <w:szCs w:val="13"/>
                <w:color w:val="auto"/>
              </w:rPr>
              <w:t>Granted</w:t>
            </w:r>
          </w:p>
        </w:tc>
        <w:tc>
          <w:tcPr>
            <w:tcW w:w="500" w:type="dxa"/>
            <w:vAlign w:val="bottom"/>
          </w:tcPr>
          <w:p>
            <w:pPr>
              <w:jc w:val="right"/>
              <w:spacing w:after="0"/>
              <w:rPr>
                <w:sz w:val="20"/>
                <w:szCs w:val="20"/>
                <w:color w:val="auto"/>
              </w:rPr>
            </w:pPr>
            <w:r>
              <w:rPr>
                <w:rFonts w:ascii="Arial" w:cs="Arial" w:eastAsia="Arial" w:hAnsi="Arial"/>
                <w:sz w:val="13"/>
                <w:szCs w:val="13"/>
                <w:color w:val="auto"/>
              </w:rPr>
              <w:t>6,966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Vested</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(6,000)</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780" w:type="dxa"/>
            <w:vAlign w:val="bottom"/>
          </w:tcPr>
          <w:p>
            <w:pPr>
              <w:spacing w:after="0"/>
              <w:rPr>
                <w:sz w:val="20"/>
                <w:szCs w:val="20"/>
                <w:color w:val="auto"/>
              </w:rPr>
            </w:pPr>
            <w:r>
              <w:rPr>
                <w:rFonts w:ascii="Arial" w:cs="Arial" w:eastAsia="Arial" w:hAnsi="Arial"/>
                <w:sz w:val="13"/>
                <w:szCs w:val="13"/>
                <w:color w:val="auto"/>
              </w:rPr>
              <w:t>Forfeited or expired</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end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6,966</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Annual expense related to the value of restricted stock was $0.2 million for fiscal 2011 and $0.1 million for fiscal 2010 and fiscal 2009, all of which was recorded in SG&amp;A expense in the Consolidated Statements of Income. Unrecognized compensation expense related to nonvested restricted stock awards as of April 3, 2011 was $0.1 million and is expected to be recognized over a weighted average period of 0.3 years.</w:t>
      </w:r>
    </w:p>
    <w:p>
      <w:pPr>
        <w:spacing w:after="0" w:line="14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8 —</w:t>
      </w:r>
      <w:r>
        <w:rPr>
          <w:sz w:val="20"/>
          <w:szCs w:val="20"/>
          <w:color w:val="auto"/>
        </w:rPr>
        <w:tab/>
      </w:r>
      <w:r>
        <w:rPr>
          <w:rFonts w:ascii="Arial" w:cs="Arial" w:eastAsia="Arial" w:hAnsi="Arial"/>
          <w:sz w:val="11"/>
          <w:szCs w:val="11"/>
          <w:b w:val="1"/>
          <w:bCs w:val="1"/>
          <w:color w:val="auto"/>
        </w:rPr>
        <w:t>Profit Sharing, Employee Stock Ownership and Pension Plans</w:t>
      </w:r>
    </w:p>
    <w:p>
      <w:pPr>
        <w:spacing w:after="0" w:line="102" w:lineRule="exact"/>
        <w:rPr>
          <w:sz w:val="20"/>
          <w:szCs w:val="20"/>
          <w:color w:val="auto"/>
        </w:rPr>
      </w:pPr>
    </w:p>
    <w:p>
      <w:pPr>
        <w:jc w:val="both"/>
        <w:ind w:left="680" w:right="220" w:firstLine="399"/>
        <w:spacing w:after="0" w:line="266" w:lineRule="auto"/>
        <w:rPr>
          <w:sz w:val="20"/>
          <w:szCs w:val="20"/>
          <w:color w:val="auto"/>
        </w:rPr>
      </w:pPr>
      <w:r>
        <w:rPr>
          <w:rFonts w:ascii="Arial" w:cs="Arial" w:eastAsia="Arial" w:hAnsi="Arial"/>
          <w:sz w:val="13"/>
          <w:szCs w:val="13"/>
          <w:color w:val="auto"/>
        </w:rPr>
        <w:t>Effective April 1, 2009, we converted our defined contribution pension plan covering substantially all of our non-bargaining employees to a profit sharing plan. It is our policy to fund all costs accrued. Contributions are made at our discretion subject to a maximum amount allowed under the Internal Revenue Code. Our cost for the profit sharing and pension plan was 15% of each employee’s covered compensation in each of the fiscal years 2011, 2010 and 2009.</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We have an employee stock ownership plan (“ESOP”) covering substantially all of our non-bargaining employees, excluding our executive officers. Contributions are made at our discretion subject to a maximum amount allowed under the Internal Revenue Code. Our cost for the ESOP was 5% of each employee’s covered compensation in each of the fiscal years 2011, 2010 and 2009.</w:t>
      </w:r>
    </w:p>
    <w:p>
      <w:pPr>
        <w:spacing w:after="0" w:line="67"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We have an employee stock purchase plan (“ESPP”) covering substantially all of our employees, excluding officers. We match 75% of each employee’s contribution, up to a maximum of $375 per month, on a monthly basis. This plan was discontinued as of the beginning of fiscal 2012 and replaced with an ESPP that allows employees to purchase newly-issued shares of the Company’s common stock at a discount from market, with no employee contribution match from the Company.</w:t>
      </w:r>
    </w:p>
    <w:p>
      <w:pPr>
        <w:spacing w:after="0" w:line="67" w:lineRule="exact"/>
        <w:rPr>
          <w:sz w:val="20"/>
          <w:szCs w:val="20"/>
          <w:color w:val="auto"/>
        </w:rPr>
      </w:pPr>
    </w:p>
    <w:p>
      <w:pPr>
        <w:ind w:left="680" w:right="200" w:firstLine="399"/>
        <w:spacing w:after="0" w:line="262" w:lineRule="auto"/>
        <w:rPr>
          <w:sz w:val="20"/>
          <w:szCs w:val="20"/>
          <w:color w:val="auto"/>
        </w:rPr>
      </w:pPr>
      <w:r>
        <w:rPr>
          <w:rFonts w:ascii="Arial" w:cs="Arial" w:eastAsia="Arial" w:hAnsi="Arial"/>
          <w:sz w:val="13"/>
          <w:szCs w:val="13"/>
          <w:color w:val="auto"/>
        </w:rPr>
        <w:t>We participate in a union sponsored, collectively bargained pension plan (“Union Plan”). Contributions are determined in accordance with the provisions of negotiated labor contracts and generally are based on the number of hours worked. Several factors could result in potential funding deficiencies which could cause us to make significantly higher future contributions to these plans, including unfavorable investment performance, changes in demographics, and increased benefits to participants. At this time, we are unable to determine the amount of additional contributions, if any.</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represents the contribution expense for the profit sharing, ESOP, ESPP and pension plans: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580" w:type="dxa"/>
            <w:vAlign w:val="bottom"/>
            <w:gridSpan w:val="2"/>
          </w:tcPr>
          <w:p>
            <w:pPr>
              <w:spacing w:after="0"/>
              <w:rPr>
                <w:sz w:val="20"/>
                <w:szCs w:val="20"/>
                <w:color w:val="auto"/>
              </w:rPr>
            </w:pPr>
            <w:r>
              <w:rPr>
                <w:rFonts w:ascii="Arial" w:cs="Arial" w:eastAsia="Arial" w:hAnsi="Arial"/>
                <w:sz w:val="11"/>
                <w:szCs w:val="11"/>
                <w:b w:val="1"/>
                <w:bCs w:val="1"/>
                <w:color w:val="auto"/>
              </w:rPr>
              <w:t>Benefit Plan</w:t>
            </w:r>
          </w:p>
        </w:tc>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6"/>
              <w:spacing w:after="0"/>
              <w:rPr>
                <w:sz w:val="20"/>
                <w:szCs w:val="20"/>
                <w:color w:val="auto"/>
              </w:rPr>
            </w:pPr>
            <w:r>
              <w:rPr>
                <w:rFonts w:ascii="Arial" w:cs="Arial" w:eastAsia="Arial" w:hAnsi="Arial"/>
                <w:sz w:val="11"/>
                <w:szCs w:val="11"/>
                <w:b w:val="1"/>
                <w:bCs w:val="1"/>
                <w:color w:val="auto"/>
                <w:w w:val="97"/>
              </w:rPr>
              <w:t>2011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6"/>
              <w:spacing w:after="0"/>
              <w:rPr>
                <w:sz w:val="20"/>
                <w:szCs w:val="20"/>
                <w:color w:val="auto"/>
              </w:rPr>
            </w:pPr>
            <w:r>
              <w:rPr>
                <w:rFonts w:ascii="Arial" w:cs="Arial" w:eastAsia="Arial" w:hAnsi="Arial"/>
                <w:sz w:val="11"/>
                <w:szCs w:val="11"/>
                <w:b w:val="1"/>
                <w:bCs w:val="1"/>
                <w:color w:val="auto"/>
                <w:w w:val="97"/>
              </w:rPr>
              <w:t>2010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76"/>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 w:type="dxa"/>
            <w:vAlign w:val="bottom"/>
            <w:tcBorders>
              <w:right w:val="single" w:sz="8" w:color="CCEEFF"/>
            </w:tcBorders>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Profit sharing</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2,844</w:t>
            </w:r>
          </w:p>
        </w:tc>
        <w:tc>
          <w:tcPr>
            <w:tcW w:w="2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ESOP</w:t>
            </w:r>
          </w:p>
        </w:tc>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815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899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right w:val="single" w:sz="8" w:color="CCEEFF"/>
            </w:tcBorders>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ESPP</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Union pension</w:t>
            </w:r>
          </w:p>
        </w:tc>
        <w:tc>
          <w:tcPr>
            <w:tcW w:w="3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right w:val="single" w:sz="8" w:color="CCEEFF"/>
            </w:tcBorders>
          </w:tcPr>
          <w:p>
            <w:pPr>
              <w:spacing w:after="0"/>
              <w:rPr>
                <w:sz w:val="13"/>
                <w:szCs w:val="13"/>
                <w:color w:val="auto"/>
              </w:rPr>
            </w:pPr>
          </w:p>
        </w:tc>
        <w:tc>
          <w:tcPr>
            <w:tcW w:w="45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contribution expense</w:t>
            </w:r>
          </w:p>
        </w:tc>
        <w:tc>
          <w:tcPr>
            <w:tcW w:w="30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4,764</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do not currently offer any other significant post-retirement or post-employment benefits.</w:t>
      </w:r>
    </w:p>
    <w:p>
      <w:pPr>
        <w:spacing w:after="0" w:line="173"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Note 9 —</w:t>
      </w:r>
      <w:r>
        <w:rPr>
          <w:sz w:val="20"/>
          <w:szCs w:val="20"/>
          <w:color w:val="auto"/>
        </w:rPr>
        <w:tab/>
      </w:r>
      <w:r>
        <w:rPr>
          <w:rFonts w:ascii="Arial" w:cs="Arial" w:eastAsia="Arial" w:hAnsi="Arial"/>
          <w:sz w:val="11"/>
          <w:szCs w:val="11"/>
          <w:b w:val="1"/>
          <w:bCs w:val="1"/>
          <w:color w:val="auto"/>
        </w:rPr>
        <w:t>Commitments and Contingencies</w:t>
      </w:r>
    </w:p>
    <w:p>
      <w:pPr>
        <w:spacing w:after="0" w:line="102"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b w:val="1"/>
          <w:bCs w:val="1"/>
          <w:i w:val="1"/>
          <w:iCs w:val="1"/>
          <w:color w:val="auto"/>
        </w:rPr>
        <w:t xml:space="preserve">Leases — </w:t>
      </w:r>
      <w:r>
        <w:rPr>
          <w:rFonts w:ascii="Arial" w:cs="Arial" w:eastAsia="Arial" w:hAnsi="Arial"/>
          <w:sz w:val="13"/>
          <w:szCs w:val="13"/>
          <w:color w:val="auto"/>
        </w:rPr>
        <w:t>We have various operating leases for trucks and land and buildings on which some of our operations are located. Future minimum lease payments due under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leases with an initial term of one year or more at April 3, 2011 are as follows: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400" w:type="dxa"/>
            <w:vAlign w:val="bottom"/>
          </w:tcPr>
          <w:p>
            <w:pPr>
              <w:jc w:val="right"/>
              <w:ind w:right="41"/>
              <w:spacing w:after="0"/>
              <w:rPr>
                <w:sz w:val="20"/>
                <w:szCs w:val="20"/>
                <w:color w:val="auto"/>
              </w:rPr>
            </w:pPr>
            <w:r>
              <w:rPr>
                <w:rFonts w:ascii="Arial" w:cs="Arial" w:eastAsia="Arial" w:hAnsi="Arial"/>
                <w:sz w:val="11"/>
                <w:szCs w:val="11"/>
                <w:b w:val="1"/>
                <w:bCs w:val="1"/>
                <w:color w:val="auto"/>
              </w:rPr>
              <w:t>2012</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2013</w:t>
            </w:r>
          </w:p>
        </w:tc>
        <w:tc>
          <w:tcPr>
            <w:tcW w:w="6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2014</w:t>
            </w:r>
          </w:p>
        </w:tc>
        <w:tc>
          <w:tcPr>
            <w:tcW w:w="660" w:type="dxa"/>
            <w:vAlign w:val="bottom"/>
            <w:gridSpan w:val="2"/>
          </w:tcPr>
          <w:p>
            <w:pPr>
              <w:jc w:val="right"/>
              <w:ind w:right="33"/>
              <w:spacing w:after="0"/>
              <w:rPr>
                <w:sz w:val="20"/>
                <w:szCs w:val="20"/>
                <w:color w:val="auto"/>
              </w:rPr>
            </w:pPr>
            <w:r>
              <w:rPr>
                <w:rFonts w:ascii="Arial" w:cs="Arial" w:eastAsia="Arial" w:hAnsi="Arial"/>
                <w:sz w:val="11"/>
                <w:szCs w:val="11"/>
                <w:b w:val="1"/>
                <w:bCs w:val="1"/>
                <w:color w:val="auto"/>
              </w:rPr>
              <w:t>2015</w:t>
            </w:r>
          </w:p>
        </w:tc>
        <w:tc>
          <w:tcPr>
            <w:tcW w:w="60" w:type="dxa"/>
            <w:vAlign w:val="bottom"/>
          </w:tcPr>
          <w:p>
            <w:pPr>
              <w:spacing w:after="0"/>
              <w:rPr>
                <w:sz w:val="10"/>
                <w:szCs w:val="10"/>
                <w:color w:val="auto"/>
              </w:rPr>
            </w:pPr>
          </w:p>
        </w:tc>
        <w:tc>
          <w:tcPr>
            <w:tcW w:w="620" w:type="dxa"/>
            <w:vAlign w:val="bottom"/>
            <w:gridSpan w:val="3"/>
          </w:tcPr>
          <w:p>
            <w:pPr>
              <w:jc w:val="right"/>
              <w:ind w:right="47"/>
              <w:spacing w:after="0"/>
              <w:rPr>
                <w:sz w:val="20"/>
                <w:szCs w:val="20"/>
                <w:color w:val="auto"/>
              </w:rPr>
            </w:pPr>
            <w:r>
              <w:rPr>
                <w:rFonts w:ascii="Arial" w:cs="Arial" w:eastAsia="Arial" w:hAnsi="Arial"/>
                <w:sz w:val="11"/>
                <w:szCs w:val="11"/>
                <w:b w:val="1"/>
                <w:bCs w:val="1"/>
                <w:color w:val="auto"/>
              </w:rPr>
              <w:t>2016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Thereafter</w:t>
            </w:r>
          </w:p>
        </w:tc>
      </w:tr>
      <w:tr>
        <w:trPr>
          <w:trHeight w:val="126"/>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4"/>
              </w:rPr>
              <w:t>thousands)</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Minimum lease payment</w:t>
            </w:r>
          </w:p>
        </w:tc>
        <w:tc>
          <w:tcPr>
            <w:tcW w:w="4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w w:val="89"/>
              </w:rPr>
              <w:t>$669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w:t>
            </w:r>
          </w:p>
        </w:tc>
        <w:tc>
          <w:tcPr>
            <w:tcW w:w="66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$670</w:t>
            </w: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7"/>
              <w:spacing w:after="0"/>
              <w:rPr>
                <w:sz w:val="20"/>
                <w:szCs w:val="20"/>
                <w:color w:val="auto"/>
              </w:rPr>
            </w:pPr>
            <w:r>
              <w:rPr>
                <w:rFonts w:ascii="Arial" w:cs="Arial" w:eastAsia="Arial" w:hAnsi="Arial"/>
                <w:sz w:val="13"/>
                <w:szCs w:val="13"/>
                <w:color w:val="auto"/>
              </w:rPr>
              <w:t>$622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1"/>
              <w:spacing w:after="0"/>
              <w:rPr>
                <w:sz w:val="20"/>
                <w:szCs w:val="20"/>
                <w:color w:val="auto"/>
              </w:rPr>
            </w:pPr>
            <w:r>
              <w:rPr>
                <w:rFonts w:ascii="Arial" w:cs="Arial" w:eastAsia="Arial" w:hAnsi="Arial"/>
                <w:sz w:val="13"/>
                <w:szCs w:val="13"/>
                <w:color w:val="auto"/>
              </w:rPr>
              <w:t>$3,739</w:t>
            </w:r>
          </w:p>
        </w:tc>
        <w:tc>
          <w:tcPr>
            <w:tcW w:w="100" w:type="dxa"/>
            <w:vAlign w:val="bottom"/>
            <w:shd w:val="clear" w:color="auto" w:fill="CCEEFF"/>
          </w:tcPr>
          <w:p>
            <w:pPr>
              <w:spacing w:after="0"/>
              <w:rPr>
                <w:sz w:val="14"/>
                <w:szCs w:val="14"/>
                <w:color w:val="auto"/>
              </w:rPr>
            </w:pPr>
          </w:p>
        </w:tc>
      </w:tr>
      <w:tr>
        <w:trPr>
          <w:trHeight w:val="246"/>
        </w:trPr>
        <w:tc>
          <w:tcPr>
            <w:tcW w:w="20" w:type="dxa"/>
            <w:vAlign w:val="bottom"/>
          </w:tcPr>
          <w:p>
            <w:pPr>
              <w:spacing w:after="0"/>
              <w:rPr>
                <w:sz w:val="21"/>
                <w:szCs w:val="21"/>
                <w:color w:val="auto"/>
              </w:rPr>
            </w:pPr>
          </w:p>
        </w:tc>
        <w:tc>
          <w:tcPr>
            <w:tcW w:w="5720" w:type="dxa"/>
            <w:vAlign w:val="bottom"/>
          </w:tcPr>
          <w:p>
            <w:pPr>
              <w:ind w:left="380"/>
              <w:spacing w:after="0"/>
              <w:rPr>
                <w:sz w:val="20"/>
                <w:szCs w:val="20"/>
                <w:color w:val="auto"/>
              </w:rPr>
            </w:pPr>
            <w:r>
              <w:rPr>
                <w:rFonts w:ascii="Arial" w:cs="Arial" w:eastAsia="Arial" w:hAnsi="Arial"/>
                <w:sz w:val="13"/>
                <w:szCs w:val="13"/>
                <w:color w:val="auto"/>
              </w:rPr>
              <w:t>Total rental expense for the fiscal years 2011, 2010 and 2009 were as follows:</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7"/>
              </w:rPr>
              <w:t>2011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7"/>
              </w:rPr>
              <w:t>2010</w:t>
            </w:r>
          </w:p>
        </w:tc>
        <w:tc>
          <w:tcPr>
            <w:tcW w:w="40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8"/>
                <w:szCs w:val="18"/>
                <w:color w:val="auto"/>
              </w:rPr>
            </w:pPr>
          </w:p>
        </w:tc>
      </w:tr>
      <w:tr>
        <w:trPr>
          <w:trHeight w:val="126"/>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ind w:left="220"/>
              <w:spacing w:after="0" w:line="116" w:lineRule="exact"/>
              <w:rPr>
                <w:sz w:val="20"/>
                <w:szCs w:val="20"/>
                <w:color w:val="auto"/>
              </w:rPr>
            </w:pPr>
            <w:r>
              <w:rPr>
                <w:rFonts w:ascii="Arial" w:cs="Arial" w:eastAsia="Arial" w:hAnsi="Arial"/>
                <w:sz w:val="11"/>
                <w:szCs w:val="11"/>
                <w:b w:val="1"/>
                <w:bCs w:val="1"/>
                <w:color w:val="auto"/>
              </w:rPr>
              <w:t>(In</w:t>
            </w:r>
          </w:p>
        </w:tc>
        <w:tc>
          <w:tcPr>
            <w:tcW w:w="1080" w:type="dxa"/>
            <w:vAlign w:val="bottom"/>
            <w:gridSpan w:val="5"/>
          </w:tcPr>
          <w:p>
            <w:pPr>
              <w:spacing w:after="0"/>
              <w:rPr>
                <w:sz w:val="20"/>
                <w:szCs w:val="20"/>
                <w:color w:val="auto"/>
              </w:rPr>
            </w:pPr>
            <w:r>
              <w:rPr>
                <w:rFonts w:ascii="Arial" w:cs="Arial" w:eastAsia="Arial" w:hAnsi="Arial"/>
                <w:sz w:val="11"/>
                <w:szCs w:val="11"/>
                <w:b w:val="1"/>
                <w:bCs w:val="1"/>
                <w:color w:val="auto"/>
              </w:rPr>
              <w:t>thousands)</w:t>
            </w:r>
          </w:p>
        </w:tc>
      </w:tr>
      <w:tr>
        <w:trPr>
          <w:trHeight w:val="171"/>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Minimum rentals</w:t>
            </w: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$ 552</w:t>
            </w:r>
          </w:p>
        </w:tc>
        <w:tc>
          <w:tcPr>
            <w:tcW w:w="3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$ 577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$ 538</w:t>
            </w:r>
          </w:p>
        </w:tc>
        <w:tc>
          <w:tcPr>
            <w:tcW w:w="100" w:type="dxa"/>
            <w:vAlign w:val="bottom"/>
            <w:shd w:val="clear" w:color="auto" w:fill="CCEEFF"/>
          </w:tcPr>
          <w:p>
            <w:pPr>
              <w:spacing w:after="0"/>
              <w:rPr>
                <w:sz w:val="14"/>
                <w:szCs w:val="14"/>
                <w:color w:val="auto"/>
              </w:rPr>
            </w:pPr>
          </w:p>
        </w:tc>
      </w:tr>
      <w:tr>
        <w:trPr>
          <w:trHeight w:val="158"/>
        </w:trPr>
        <w:tc>
          <w:tcPr>
            <w:tcW w:w="2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Contingent rentals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102</w:t>
            </w:r>
          </w:p>
        </w:tc>
        <w:tc>
          <w:tcPr>
            <w:tcW w:w="400" w:type="dxa"/>
            <w:vAlign w:val="bottom"/>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Total rental expense</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$ 666</w:t>
            </w:r>
          </w:p>
        </w:tc>
        <w:tc>
          <w:tcPr>
            <w:tcW w:w="32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$ 679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$ 644</w:t>
            </w:r>
          </w:p>
        </w:tc>
        <w:tc>
          <w:tcPr>
            <w:tcW w:w="100" w:type="dxa"/>
            <w:vAlign w:val="bottom"/>
            <w:shd w:val="clear" w:color="auto" w:fill="CCEEFF"/>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Litigation — </w:t>
      </w:r>
      <w:r>
        <w:rPr>
          <w:rFonts w:ascii="Arial" w:cs="Arial" w:eastAsia="Arial" w:hAnsi="Arial"/>
          <w:sz w:val="13"/>
          <w:szCs w:val="13"/>
          <w:color w:val="auto"/>
        </w:rPr>
        <w:t>We are a party from time to time in litigation arising in the ordinary course of our business. To date, none of the litigation has had a material effect on us.</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680" w:right="820" w:firstLine="399"/>
        <w:spacing w:after="0" w:line="280" w:lineRule="auto"/>
        <w:rPr>
          <w:sz w:val="20"/>
          <w:szCs w:val="20"/>
          <w:color w:val="auto"/>
        </w:rPr>
      </w:pPr>
      <w:r>
        <w:rPr>
          <w:rFonts w:ascii="Arial" w:cs="Arial" w:eastAsia="Arial" w:hAnsi="Arial"/>
          <w:sz w:val="12"/>
          <w:szCs w:val="12"/>
          <w:color w:val="auto"/>
        </w:rPr>
        <w:t>On November 3, 2009, ICL Performance Products, LP (“ICL”), a chemical supplier to us, filed a lawsuit in the United States District Court for the 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this action is scheduled for jury trial in late October 2011. We are not able to predict the ultimate outcome of this litigation, but it may be costly and disruptive. Lawsuits such as this can result in substantial costs and divert our management’s attention and resources, which may have a material adverse effect on our business and results of operations, including cash flows.</w:t>
      </w:r>
    </w:p>
    <w:p>
      <w:pPr>
        <w:spacing w:after="0" w:line="61"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b w:val="1"/>
          <w:bCs w:val="1"/>
          <w:i w:val="1"/>
          <w:iCs w:val="1"/>
          <w:color w:val="auto"/>
        </w:rPr>
        <w:t xml:space="preserve">Asset Retirement Obligations — </w:t>
      </w:r>
      <w:r>
        <w:rPr>
          <w:rFonts w:ascii="Arial" w:cs="Arial" w:eastAsia="Arial" w:hAnsi="Arial"/>
          <w:sz w:val="13"/>
          <w:szCs w:val="13"/>
          <w:color w:val="auto"/>
        </w:rPr>
        <w:t>We have three leases of land (two relate to Hawkins and one relates to Vertex), and at the end of the lease term (currently 2014 for the Vertex lease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2018 for the Hawkins leases if the leases are not renewed), we have a specified amount of time to remove the property and buildings. At the end of the specified amount of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its tenants; and because it is more likely than not that the buildings will have value at the end of the lease life and therefore, may not be removed by either the lessee or the lessor. Therefore, in accordance with ASC 410-20, “Asset Retirement and Environmental Obligations,” we have not recorded an asset retirement obligation as of April 3, 2011. We will continue to monitor the factors surrounding the requirement to record an asset retirement obligation and will recognize the fair value of a liability in the period in which it is incurred and a reasonable estimate can be made.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80" w:type="dxa"/>
            <w:vAlign w:val="bottom"/>
            <w:gridSpan w:val="2"/>
          </w:tcPr>
          <w:p>
            <w:pPr>
              <w:ind w:left="680"/>
              <w:spacing w:after="0"/>
              <w:rPr>
                <w:sz w:val="20"/>
                <w:szCs w:val="20"/>
                <w:color w:val="auto"/>
              </w:rPr>
            </w:pPr>
            <w:r>
              <w:rPr>
                <w:rFonts w:ascii="Arial" w:cs="Arial" w:eastAsia="Arial" w:hAnsi="Arial"/>
                <w:sz w:val="13"/>
                <w:szCs w:val="13"/>
                <w:b w:val="1"/>
                <w:bCs w:val="1"/>
                <w:color w:val="auto"/>
              </w:rPr>
              <w:t>Note 10 —</w:t>
            </w:r>
          </w:p>
        </w:tc>
        <w:tc>
          <w:tcPr>
            <w:tcW w:w="3840" w:type="dxa"/>
            <w:vAlign w:val="bottom"/>
          </w:tcPr>
          <w:p>
            <w:pPr>
              <w:spacing w:after="0"/>
              <w:rPr>
                <w:sz w:val="20"/>
                <w:szCs w:val="20"/>
                <w:color w:val="auto"/>
              </w:rPr>
            </w:pPr>
            <w:r>
              <w:rPr>
                <w:rFonts w:ascii="Arial" w:cs="Arial" w:eastAsia="Arial" w:hAnsi="Arial"/>
                <w:sz w:val="13"/>
                <w:szCs w:val="13"/>
                <w:b w:val="1"/>
                <w:bCs w:val="1"/>
                <w:color w:val="auto"/>
              </w:rPr>
              <w:t>Income Taxes</w:t>
            </w: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4720" w:type="dxa"/>
            <w:vAlign w:val="bottom"/>
            <w:gridSpan w:val="2"/>
          </w:tcPr>
          <w:p>
            <w:pPr>
              <w:ind w:left="380"/>
              <w:spacing w:after="0"/>
              <w:rPr>
                <w:sz w:val="20"/>
                <w:szCs w:val="20"/>
                <w:color w:val="auto"/>
              </w:rPr>
            </w:pPr>
            <w:r>
              <w:rPr>
                <w:rFonts w:ascii="Arial" w:cs="Arial" w:eastAsia="Arial" w:hAnsi="Arial"/>
                <w:sz w:val="13"/>
                <w:szCs w:val="13"/>
                <w:color w:val="auto"/>
                <w:w w:val="96"/>
              </w:rPr>
              <w:t>The provisions for income taxes for fiscal 2011, 2010 and 2009 are as follows: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w w:val="97"/>
              </w:rPr>
              <w:t>2011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w w:val="97"/>
              </w:rPr>
              <w:t>2010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 current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9,818</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8,874</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w w:val="94"/>
              </w:rPr>
              <w:t>State — current</w:t>
            </w:r>
          </w:p>
        </w:tc>
        <w:tc>
          <w:tcPr>
            <w:tcW w:w="3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current</w:t>
            </w:r>
          </w:p>
        </w:tc>
        <w:tc>
          <w:tcPr>
            <w:tcW w:w="384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11,205</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Arial" w:cs="Arial" w:eastAsia="Arial" w:hAnsi="Arial"/>
                <w:sz w:val="13"/>
                <w:szCs w:val="13"/>
                <w:color w:val="auto"/>
              </w:rPr>
              <w:t>Federal — deferred</w:t>
            </w: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(69)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5,739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2,420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3"/>
                <w:szCs w:val="13"/>
                <w:color w:val="auto"/>
                <w:w w:val="86"/>
              </w:rPr>
              <w:t>State — deferred</w:t>
            </w:r>
          </w:p>
        </w:tc>
        <w:tc>
          <w:tcPr>
            <w:tcW w:w="384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(299)</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80" w:type="dxa"/>
            <w:vAlign w:val="bottom"/>
            <w:vMerge w:val="restart"/>
          </w:tcPr>
          <w:p>
            <w:pPr>
              <w:ind w:left="120"/>
              <w:spacing w:after="0"/>
              <w:rPr>
                <w:sz w:val="20"/>
                <w:szCs w:val="20"/>
                <w:color w:val="auto"/>
              </w:rPr>
            </w:pPr>
            <w:r>
              <w:rPr>
                <w:rFonts w:ascii="Arial" w:cs="Arial" w:eastAsia="Arial" w:hAnsi="Arial"/>
                <w:sz w:val="13"/>
                <w:szCs w:val="13"/>
                <w:color w:val="auto"/>
                <w:w w:val="91"/>
              </w:rPr>
              <w:t>Total deferred</w:t>
            </w:r>
          </w:p>
        </w:tc>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(368)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7,152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3,046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spacing w:after="0"/>
              <w:rPr>
                <w:sz w:val="14"/>
                <w:szCs w:val="14"/>
                <w:color w:val="auto"/>
              </w:rPr>
            </w:pPr>
          </w:p>
        </w:tc>
        <w:tc>
          <w:tcPr>
            <w:tcW w:w="4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provision</w:t>
            </w:r>
          </w:p>
        </w:tc>
        <w:tc>
          <w:tcPr>
            <w:tcW w:w="25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15,387</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14,251</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60" w:type="dxa"/>
            <w:vAlign w:val="bottom"/>
          </w:tcPr>
          <w:p>
            <w:pPr>
              <w:jc w:val="right"/>
              <w:ind w:right="2174"/>
              <w:spacing w:after="0"/>
              <w:rPr>
                <w:sz w:val="20"/>
                <w:szCs w:val="20"/>
                <w:color w:val="auto"/>
              </w:rPr>
            </w:pPr>
            <w:r>
              <w:rPr>
                <w:rFonts w:ascii="Arial" w:cs="Arial" w:eastAsia="Arial" w:hAnsi="Arial"/>
                <w:sz w:val="13"/>
                <w:szCs w:val="13"/>
                <w:color w:val="auto"/>
              </w:rPr>
              <w:t>40</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25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Reconciliations of the provisions for income taxes, based on income from continuing operations, to the applicable federal statutory income tax rate of 35% are listed below.</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320" w:type="dxa"/>
            <w:vAlign w:val="bottom"/>
            <w:gridSpan w:val="3"/>
          </w:tcPr>
          <w:p>
            <w:pPr>
              <w:ind w:left="60"/>
              <w:spacing w:after="0"/>
              <w:rPr>
                <w:sz w:val="20"/>
                <w:szCs w:val="20"/>
                <w:color w:val="auto"/>
              </w:rPr>
            </w:pPr>
            <w:r>
              <w:rPr>
                <w:rFonts w:ascii="Arial" w:cs="Arial" w:eastAsia="Arial" w:hAnsi="Arial"/>
                <w:sz w:val="11"/>
                <w:szCs w:val="11"/>
                <w:b w:val="1"/>
                <w:bCs w:val="1"/>
                <w:color w:val="auto"/>
                <w:w w:val="97"/>
              </w:rPr>
              <w:t>2011</w:t>
            </w:r>
          </w:p>
        </w:tc>
        <w:tc>
          <w:tcPr>
            <w:tcW w:w="44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97"/>
              </w:rPr>
              <w:t>2010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w:t>
            </w:r>
          </w:p>
        </w:tc>
        <w:tc>
          <w:tcPr>
            <w:tcW w:w="760" w:type="dxa"/>
            <w:vAlign w:val="bottom"/>
            <w:tcBorders>
              <w:right w:val="single" w:sz="8" w:color="CCEEFF"/>
            </w:tcBorders>
            <w:gridSpan w:val="4"/>
            <w:shd w:val="clear" w:color="auto" w:fill="CCEEFF"/>
          </w:tcPr>
          <w:p>
            <w:pPr>
              <w:jc w:val="right"/>
              <w:ind w:right="261"/>
              <w:spacing w:after="0"/>
              <w:rPr>
                <w:sz w:val="20"/>
                <w:szCs w:val="20"/>
                <w:color w:val="auto"/>
              </w:rPr>
            </w:pPr>
            <w:r>
              <w:rPr>
                <w:rFonts w:ascii="Arial" w:cs="Arial" w:eastAsia="Arial" w:hAnsi="Arial"/>
                <w:sz w:val="13"/>
                <w:szCs w:val="13"/>
                <w:color w:val="auto"/>
              </w:rPr>
              <w:t>35.0%</w:t>
            </w:r>
          </w:p>
        </w:tc>
        <w:tc>
          <w:tcPr>
            <w:tcW w:w="58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35.0%</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spacing w:after="0"/>
              <w:rPr>
                <w:sz w:val="20"/>
                <w:szCs w:val="20"/>
                <w:color w:val="auto"/>
              </w:rPr>
            </w:pPr>
            <w:r>
              <w:rPr>
                <w:rFonts w:ascii="Arial" w:cs="Arial" w:eastAsia="Arial" w:hAnsi="Arial"/>
                <w:sz w:val="13"/>
                <w:szCs w:val="13"/>
                <w:color w:val="auto"/>
              </w:rPr>
              <w:t>State income taxes, net of federal deduction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8"/>
              </w:rPr>
              <w:t>4.7</w:t>
            </w:r>
          </w:p>
        </w:tc>
        <w:tc>
          <w:tcPr>
            <w:tcW w:w="4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ESOP dividend deduction on allocated shares</w:t>
            </w:r>
          </w:p>
        </w:tc>
        <w:tc>
          <w:tcPr>
            <w:tcW w:w="760" w:type="dxa"/>
            <w:vAlign w:val="bottom"/>
            <w:tcBorders>
              <w:right w:val="single" w:sz="8" w:color="CCEEFF"/>
            </w:tcBorders>
            <w:gridSpan w:val="4"/>
            <w:shd w:val="clear" w:color="auto" w:fill="CCEEFF"/>
          </w:tcPr>
          <w:p>
            <w:pPr>
              <w:jc w:val="right"/>
              <w:ind w:right="341"/>
              <w:spacing w:after="0"/>
              <w:rPr>
                <w:sz w:val="20"/>
                <w:szCs w:val="20"/>
                <w:color w:val="auto"/>
              </w:rPr>
            </w:pPr>
            <w:r>
              <w:rPr>
                <w:rFonts w:ascii="Arial" w:cs="Arial" w:eastAsia="Arial" w:hAnsi="Arial"/>
                <w:sz w:val="13"/>
                <w:szCs w:val="13"/>
                <w:color w:val="auto"/>
              </w:rPr>
              <w:t>(1.2)</w:t>
            </w:r>
          </w:p>
        </w:tc>
        <w:tc>
          <w:tcPr>
            <w:tcW w:w="40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spacing w:after="0"/>
              <w:rPr>
                <w:sz w:val="20"/>
                <w:szCs w:val="20"/>
                <w:color w:val="auto"/>
              </w:rPr>
            </w:pPr>
            <w:r>
              <w:rPr>
                <w:rFonts w:ascii="Arial" w:cs="Arial" w:eastAsia="Arial" w:hAnsi="Arial"/>
                <w:sz w:val="13"/>
                <w:szCs w:val="13"/>
                <w:color w:val="auto"/>
              </w:rPr>
              <w:t>Domestic production deduction</w:t>
            </w:r>
          </w:p>
        </w:tc>
        <w:tc>
          <w:tcPr>
            <w:tcW w:w="760" w:type="dxa"/>
            <w:vAlign w:val="bottom"/>
            <w:gridSpan w:val="4"/>
          </w:tcPr>
          <w:p>
            <w:pPr>
              <w:jc w:val="right"/>
              <w:ind w:right="341"/>
              <w:spacing w:after="0"/>
              <w:rPr>
                <w:sz w:val="20"/>
                <w:szCs w:val="20"/>
                <w:color w:val="auto"/>
              </w:rPr>
            </w:pPr>
            <w:r>
              <w:rPr>
                <w:rFonts w:ascii="Arial" w:cs="Arial" w:eastAsia="Arial" w:hAnsi="Arial"/>
                <w:sz w:val="13"/>
                <w:szCs w:val="13"/>
                <w:color w:val="auto"/>
              </w:rPr>
              <w:t>(1.3)</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1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Other — net</w:t>
            </w:r>
          </w:p>
        </w:tc>
        <w:tc>
          <w:tcPr>
            <w:tcW w:w="760" w:type="dxa"/>
            <w:vAlign w:val="bottom"/>
            <w:tcBorders>
              <w:right w:val="single" w:sz="8" w:color="CCEEFF"/>
            </w:tcBorders>
            <w:gridSpan w:val="4"/>
            <w:shd w:val="clear" w:color="auto" w:fill="CCEEFF"/>
          </w:tcPr>
          <w:p>
            <w:pPr>
              <w:jc w:val="right"/>
              <w:ind w:right="341"/>
              <w:spacing w:after="0"/>
              <w:rPr>
                <w:sz w:val="20"/>
                <w:szCs w:val="20"/>
                <w:color w:val="auto"/>
              </w:rPr>
            </w:pPr>
            <w:r>
              <w:rPr>
                <w:rFonts w:ascii="Arial" w:cs="Arial" w:eastAsia="Arial" w:hAnsi="Arial"/>
                <w:sz w:val="13"/>
                <w:szCs w:val="13"/>
                <w:color w:val="auto"/>
              </w:rPr>
              <w:t>(0.1)</w:t>
            </w:r>
          </w:p>
        </w:tc>
        <w:tc>
          <w:tcPr>
            <w:tcW w:w="3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0"/>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20" w:type="dxa"/>
            <w:vAlign w:val="bottom"/>
            <w:vMerge w:val="continue"/>
          </w:tcPr>
          <w:p>
            <w:pPr>
              <w:spacing w:after="0"/>
              <w:rPr>
                <w:sz w:val="14"/>
                <w:szCs w:val="14"/>
                <w:color w:val="auto"/>
              </w:rPr>
            </w:pPr>
          </w:p>
        </w:tc>
        <w:tc>
          <w:tcPr>
            <w:tcW w:w="760" w:type="dxa"/>
            <w:vAlign w:val="bottom"/>
            <w:gridSpan w:val="4"/>
          </w:tcPr>
          <w:p>
            <w:pPr>
              <w:jc w:val="right"/>
              <w:ind w:right="261"/>
              <w:spacing w:after="0"/>
              <w:rPr>
                <w:sz w:val="20"/>
                <w:szCs w:val="20"/>
                <w:color w:val="auto"/>
              </w:rPr>
            </w:pPr>
            <w:r>
              <w:rPr>
                <w:rFonts w:ascii="Arial" w:cs="Arial" w:eastAsia="Arial" w:hAnsi="Arial"/>
                <w:sz w:val="13"/>
                <w:szCs w:val="13"/>
                <w:color w:val="auto"/>
              </w:rPr>
              <w:t>37.1%</w:t>
            </w: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39.3%</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20" w:type="dxa"/>
            <w:vAlign w:val="bottom"/>
          </w:tcPr>
          <w:p>
            <w:pPr>
              <w:ind w:left="380"/>
              <w:spacing w:after="0"/>
              <w:rPr>
                <w:sz w:val="20"/>
                <w:szCs w:val="20"/>
                <w:color w:val="auto"/>
              </w:rPr>
            </w:pPr>
            <w:r>
              <w:rPr>
                <w:rFonts w:ascii="Arial" w:cs="Arial" w:eastAsia="Arial" w:hAnsi="Arial"/>
                <w:sz w:val="13"/>
                <w:szCs w:val="13"/>
                <w:color w:val="auto"/>
              </w:rPr>
              <w:t>The tax effects of items comprising our net deferred tax asset (liability) as of April 3, 2011 and March 28, 2010 are as follows:</w:t>
            </w: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1"/>
                <w:szCs w:val="11"/>
                <w:b w:val="1"/>
                <w:bCs w:val="1"/>
                <w:color w:val="auto"/>
              </w:rPr>
              <w:t>2011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1"/>
                <w:szCs w:val="11"/>
                <w:b w:val="1"/>
                <w:bCs w:val="1"/>
                <w:color w:val="auto"/>
                <w:w w:val="97"/>
              </w:rPr>
              <w:t>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58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84"/>
              </w:rPr>
              <w:t>thousands)</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ind w:left="120"/>
              <w:spacing w:after="0"/>
              <w:rPr>
                <w:sz w:val="20"/>
                <w:szCs w:val="20"/>
                <w:color w:val="auto"/>
              </w:rPr>
            </w:pPr>
            <w:r>
              <w:rPr>
                <w:rFonts w:ascii="Arial" w:cs="Arial" w:eastAsia="Arial" w:hAnsi="Arial"/>
                <w:sz w:val="13"/>
                <w:szCs w:val="13"/>
                <w:color w:val="auto"/>
              </w:rPr>
              <w:t>Trade receivables</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162</w:t>
            </w: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intangibles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3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ind w:left="120"/>
              <w:spacing w:after="0"/>
              <w:rPr>
                <w:sz w:val="20"/>
                <w:szCs w:val="20"/>
                <w:color w:val="auto"/>
              </w:rPr>
            </w:pPr>
            <w:r>
              <w:rPr>
                <w:rFonts w:ascii="Arial" w:cs="Arial" w:eastAsia="Arial" w:hAnsi="Arial"/>
                <w:sz w:val="13"/>
                <w:szCs w:val="13"/>
                <w:color w:val="auto"/>
              </w:rPr>
              <w:t>Accruals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919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720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3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040" w:type="dxa"/>
            <w:vAlign w:val="bottom"/>
            <w:gridSpan w:val="2"/>
          </w:tcPr>
          <w:p>
            <w:pPr>
              <w:spacing w:after="0"/>
              <w:rPr>
                <w:sz w:val="20"/>
                <w:szCs w:val="20"/>
                <w:color w:val="auto"/>
              </w:rPr>
            </w:pPr>
            <w:r>
              <w:rPr>
                <w:rFonts w:ascii="Arial" w:cs="Arial" w:eastAsia="Arial" w:hAnsi="Arial"/>
                <w:sz w:val="13"/>
                <w:szCs w:val="13"/>
                <w:color w:val="auto"/>
              </w:rPr>
              <w:t>Total deferred tax assets</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1,740</w:t>
            </w: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right w:val="single" w:sz="8" w:color="CCEEFF"/>
            </w:tcBorders>
            <w:shd w:val="clear" w:color="auto" w:fill="CCEEFF"/>
          </w:tcPr>
          <w:p>
            <w:pPr>
              <w:spacing w:after="0"/>
              <w:rPr>
                <w:sz w:val="15"/>
                <w:szCs w:val="15"/>
                <w:color w:val="auto"/>
              </w:rPr>
            </w:pPr>
          </w:p>
        </w:tc>
        <w:tc>
          <w:tcPr>
            <w:tcW w:w="32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ind w:left="120"/>
              <w:spacing w:after="0"/>
              <w:rPr>
                <w:sz w:val="20"/>
                <w:szCs w:val="20"/>
                <w:color w:val="auto"/>
              </w:rPr>
            </w:pPr>
            <w:r>
              <w:rPr>
                <w:rFonts w:ascii="Arial" w:cs="Arial" w:eastAsia="Arial" w:hAnsi="Arial"/>
                <w:sz w:val="13"/>
                <w:szCs w:val="13"/>
                <w:color w:val="auto"/>
              </w:rPr>
              <w:t>Inventories</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(3,190)</w:t>
            </w: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(3,696)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3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ind w:left="120"/>
              <w:spacing w:after="0"/>
              <w:rPr>
                <w:sz w:val="20"/>
                <w:szCs w:val="20"/>
                <w:color w:val="auto"/>
              </w:rPr>
            </w:pPr>
            <w:r>
              <w:rPr>
                <w:rFonts w:ascii="Arial" w:cs="Arial" w:eastAsia="Arial" w:hAnsi="Arial"/>
                <w:sz w:val="13"/>
                <w:szCs w:val="13"/>
                <w:color w:val="auto"/>
              </w:rPr>
              <w:t>Excess of tax over book depreciation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(8,762)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(7,743)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intangibles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3"/>
                <w:szCs w:val="13"/>
                <w:color w:val="auto"/>
              </w:rPr>
              <w:t>Total deferred tax liabilities</w:t>
            </w: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(12,235)</w:t>
            </w:r>
          </w:p>
        </w:tc>
        <w:tc>
          <w:tcPr>
            <w:tcW w:w="5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(11,930)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liabilities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(10,495)</w:t>
            </w:r>
          </w:p>
        </w:tc>
        <w:tc>
          <w:tcPr>
            <w:tcW w:w="58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(10,918)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As of April 3, 2011, the Company has determined that it is more likely than not that the deferred tax assets at April 3, 2011 will be realized either through future taxable income or reversals of taxable temporary differences. As of April 3, 2011 and March 28, 2010, there were no unrecognized tax benefits. Accordingly, a tabular reconciliation from beginning to ending periods is not provided.</w:t>
      </w:r>
    </w:p>
    <w:p>
      <w:pPr>
        <w:spacing w:after="0" w:line="67" w:lineRule="exact"/>
        <w:rPr>
          <w:sz w:val="20"/>
          <w:szCs w:val="20"/>
          <w:color w:val="auto"/>
        </w:rPr>
      </w:pPr>
    </w:p>
    <w:p>
      <w:pPr>
        <w:ind w:left="680" w:right="440" w:firstLine="399"/>
        <w:spacing w:after="0" w:line="279" w:lineRule="auto"/>
        <w:rPr>
          <w:sz w:val="20"/>
          <w:szCs w:val="20"/>
          <w:color w:val="auto"/>
        </w:rPr>
      </w:pPr>
      <w:r>
        <w:rPr>
          <w:rFonts w:ascii="Arial" w:cs="Arial" w:eastAsia="Arial" w:hAnsi="Arial"/>
          <w:sz w:val="13"/>
          <w:szCs w:val="13"/>
          <w:color w:val="auto"/>
        </w:rPr>
        <w:t>We are subject to U.S. federal income tax as well as income tax of multiple state jurisdictions. The tax years beginning with 2007 remain open to examination by the Internal Revenue Service, and with few exceptions, state and local income tax jurisdictions.</w:t>
      </w:r>
    </w:p>
    <w:p>
      <w:pPr>
        <w:spacing w:after="0" w:line="13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Note 11 —</w:t>
      </w:r>
      <w:r>
        <w:rPr>
          <w:sz w:val="20"/>
          <w:szCs w:val="20"/>
          <w:color w:val="auto"/>
        </w:rPr>
        <w:tab/>
      </w:r>
      <w:r>
        <w:rPr>
          <w:rFonts w:ascii="Arial" w:cs="Arial" w:eastAsia="Arial" w:hAnsi="Arial"/>
          <w:sz w:val="11"/>
          <w:szCs w:val="11"/>
          <w:b w:val="1"/>
          <w:bCs w:val="1"/>
          <w:color w:val="auto"/>
        </w:rPr>
        <w:t>Discontinued Operations</w:t>
      </w:r>
    </w:p>
    <w:p>
      <w:pPr>
        <w:spacing w:after="0" w:line="102"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In February 2009, we agreed to sell our inventory and entered into a marketing agreement regarding the business of our Pharmaceutical segment, which provided pharmaceutical chemicals to retail pharmacies and small-scale pharmaceutical manufacturers. On May 22, 2009 the majority of the inventory was sold for cash of approximately $1.6 million which approximated its carrying value. The remaining inventory, with a carrying value of approximately $0.1 million, was sold during fiscal 2010. The agreement provides for annual payments based on a percentage of gross profit on future sales up to a maximum of approximately $3.7 million. We have no significant remaining obligations to fulfill under the agreement. We initially recorded a receivable of approximately $1.7 million, equal to the carrying value of the assets that were related to this business. The first year payment under the agreement of approximately $0.8 million was received in the second quarter of fiscal 2011, leaving a $0.9 million receivable remaining as of the end of fiscal 2011, which is expected to be collected in the second quarter of fiscal 2012. Amounts received in excess of the remaining receivable, during fiscal 2012 and subsequent years, will be recorded as a gain on sale of discontinued operations in those periods. The results of the Pharmaceutical segment have been reported as discontinued operations for all periods presented.</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00" w:lineRule="exact"/>
        <w:rPr>
          <w:sz w:val="20"/>
          <w:szCs w:val="20"/>
          <w:color w:val="auto"/>
        </w:rPr>
      </w:pPr>
    </w:p>
    <w:p>
      <w:pPr>
        <w:spacing w:after="0" w:line="224"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Note 12 —</w:t>
      </w:r>
      <w:r>
        <w:rPr>
          <w:sz w:val="20"/>
          <w:szCs w:val="20"/>
          <w:color w:val="auto"/>
        </w:rPr>
        <w:tab/>
      </w:r>
      <w:r>
        <w:rPr>
          <w:rFonts w:ascii="Arial" w:cs="Arial" w:eastAsia="Arial" w:hAnsi="Arial"/>
          <w:sz w:val="12"/>
          <w:szCs w:val="12"/>
          <w:b w:val="1"/>
          <w:bCs w:val="1"/>
          <w:color w:val="auto"/>
        </w:rPr>
        <w:t>Segment Information</w:t>
      </w:r>
    </w:p>
    <w:p>
      <w:pPr>
        <w:spacing w:after="0" w:line="102"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 to 10% or more of our revenue. No single customer represents 10% or more of either of our segments’ sales. Sales are primarily within the United States and all assets are located within the United States.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4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Reportable Segments</w:t>
            </w: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36"/>
              <w:spacing w:after="0"/>
              <w:rPr>
                <w:sz w:val="20"/>
                <w:szCs w:val="20"/>
                <w:color w:val="auto"/>
              </w:rPr>
            </w:pPr>
            <w:r>
              <w:rPr>
                <w:rFonts w:ascii="Arial" w:cs="Arial" w:eastAsia="Arial" w:hAnsi="Arial"/>
                <w:sz w:val="11"/>
                <w:szCs w:val="11"/>
                <w:b w:val="1"/>
                <w:bCs w:val="1"/>
                <w:color w:val="auto"/>
              </w:rPr>
              <w:t>Water</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Arial" w:cs="Arial" w:eastAsia="Arial" w:hAnsi="Arial"/>
                <w:sz w:val="11"/>
                <w:szCs w:val="11"/>
                <w:b w:val="1"/>
                <w:bCs w:val="1"/>
                <w:color w:val="auto"/>
                <w:w w:val="92"/>
              </w:rPr>
              <w:t>Industrial</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6"/>
              <w:spacing w:after="0"/>
              <w:rPr>
                <w:sz w:val="20"/>
                <w:szCs w:val="20"/>
                <w:color w:val="auto"/>
              </w:rPr>
            </w:pPr>
            <w:r>
              <w:rPr>
                <w:rFonts w:ascii="Arial" w:cs="Arial" w:eastAsia="Arial" w:hAnsi="Arial"/>
                <w:sz w:val="11"/>
                <w:szCs w:val="11"/>
                <w:b w:val="1"/>
                <w:bCs w:val="1"/>
                <w:color w:val="auto"/>
                <w:w w:val="86"/>
              </w:rPr>
              <w:t>Treatment</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87"/>
              </w:rPr>
              <w:t>(In thousands)</w:t>
            </w: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 w:type="dxa"/>
            <w:vAlign w:val="bottom"/>
            <w:tcBorders>
              <w:right w:val="single" w:sz="8" w:color="CCEEFF"/>
            </w:tcBorders>
          </w:tcPr>
          <w:p>
            <w:pPr>
              <w:spacing w:after="0"/>
              <w:rPr>
                <w:sz w:val="14"/>
                <w:szCs w:val="14"/>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Year Ended April 3, 2011:</w:t>
            </w:r>
          </w:p>
        </w:tc>
        <w:tc>
          <w:tcPr>
            <w:tcW w:w="2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360" w:type="dxa"/>
            <w:vAlign w:val="bottom"/>
            <w:gridSpan w:val="2"/>
          </w:tcPr>
          <w:p>
            <w:pPr>
              <w:ind w:left="60"/>
              <w:spacing w:after="0"/>
              <w:rPr>
                <w:sz w:val="20"/>
                <w:szCs w:val="20"/>
                <w:color w:val="auto"/>
              </w:rPr>
            </w:pPr>
            <w:r>
              <w:rPr>
                <w:rFonts w:ascii="Arial" w:cs="Arial" w:eastAsia="Arial" w:hAnsi="Arial"/>
                <w:sz w:val="13"/>
                <w:szCs w:val="13"/>
                <w:color w:val="auto"/>
              </w:rPr>
              <w:t>Sales</w:t>
            </w:r>
          </w:p>
        </w:tc>
        <w:tc>
          <w:tcPr>
            <w:tcW w:w="2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208,724</w:t>
            </w:r>
          </w:p>
        </w:tc>
        <w:tc>
          <w:tcPr>
            <w:tcW w:w="4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88,917</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297,641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right w:val="single" w:sz="8" w:color="CCEEFF"/>
            </w:tcBorders>
          </w:tcPr>
          <w:p>
            <w:pPr>
              <w:spacing w:after="0"/>
              <w:rPr>
                <w:sz w:val="13"/>
                <w:szCs w:val="13"/>
                <w:color w:val="auto"/>
              </w:rPr>
            </w:pPr>
          </w:p>
        </w:tc>
        <w:tc>
          <w:tcPr>
            <w:tcW w:w="4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Gross profit</w:t>
            </w:r>
          </w:p>
        </w:tc>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61,902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360" w:type="dxa"/>
            <w:vAlign w:val="bottom"/>
            <w:gridSpan w:val="2"/>
          </w:tcPr>
          <w:p>
            <w:pPr>
              <w:ind w:left="60"/>
              <w:spacing w:after="0"/>
              <w:rPr>
                <w:sz w:val="20"/>
                <w:szCs w:val="20"/>
                <w:color w:val="auto"/>
              </w:rPr>
            </w:pPr>
            <w:r>
              <w:rPr>
                <w:rFonts w:ascii="Arial" w:cs="Arial" w:eastAsia="Arial" w:hAnsi="Arial"/>
                <w:sz w:val="13"/>
                <w:szCs w:val="13"/>
                <w:color w:val="auto"/>
              </w:rPr>
              <w:t>Operating income</w:t>
            </w:r>
          </w:p>
        </w:tc>
        <w:tc>
          <w:tcPr>
            <w:tcW w:w="2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17,110</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14,852</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right w:val="single" w:sz="8" w:color="CCEEFF"/>
            </w:tcBorders>
          </w:tcPr>
          <w:p>
            <w:pPr>
              <w:spacing w:after="0"/>
              <w:rPr>
                <w:sz w:val="15"/>
                <w:szCs w:val="15"/>
                <w:color w:val="auto"/>
              </w:rPr>
            </w:pPr>
          </w:p>
        </w:tc>
        <w:tc>
          <w:tcPr>
            <w:tcW w:w="4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Identifiable assets*</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121,250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21,139</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142,389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40" w:type="dxa"/>
            <w:vAlign w:val="bottom"/>
            <w:gridSpan w:val="3"/>
          </w:tcPr>
          <w:p>
            <w:pPr>
              <w:spacing w:after="0"/>
              <w:rPr>
                <w:sz w:val="20"/>
                <w:szCs w:val="20"/>
                <w:color w:val="auto"/>
              </w:rPr>
            </w:pPr>
            <w:r>
              <w:rPr>
                <w:rFonts w:ascii="Arial" w:cs="Arial" w:eastAsia="Arial" w:hAnsi="Arial"/>
                <w:sz w:val="13"/>
                <w:szCs w:val="13"/>
                <w:color w:val="auto"/>
              </w:rPr>
              <w:t>Fiscal Year Ended March 28, 2010:</w:t>
            </w:r>
          </w:p>
        </w:tc>
        <w:tc>
          <w:tcPr>
            <w:tcW w:w="25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 w:type="dxa"/>
            <w:vAlign w:val="bottom"/>
            <w:tcBorders>
              <w:right w:val="single" w:sz="8" w:color="CCEEFF"/>
            </w:tcBorders>
          </w:tcPr>
          <w:p>
            <w:pPr>
              <w:spacing w:after="0"/>
              <w:rPr>
                <w:sz w:val="13"/>
                <w:szCs w:val="13"/>
                <w:color w:val="auto"/>
              </w:rPr>
            </w:pPr>
          </w:p>
        </w:tc>
        <w:tc>
          <w:tcPr>
            <w:tcW w:w="4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Sales</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174,901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82,198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257,099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360" w:type="dxa"/>
            <w:vAlign w:val="bottom"/>
            <w:gridSpan w:val="2"/>
          </w:tcPr>
          <w:p>
            <w:pPr>
              <w:ind w:left="60"/>
              <w:spacing w:after="0"/>
              <w:rPr>
                <w:sz w:val="20"/>
                <w:szCs w:val="20"/>
                <w:color w:val="auto"/>
              </w:rPr>
            </w:pPr>
            <w:r>
              <w:rPr>
                <w:rFonts w:ascii="Arial" w:cs="Arial" w:eastAsia="Arial" w:hAnsi="Arial"/>
                <w:sz w:val="13"/>
                <w:szCs w:val="13"/>
                <w:color w:val="auto"/>
              </w:rPr>
              <w:t>Gross profit</w:t>
            </w: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37,288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27,157</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64,445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Borders>
              <w:right w:val="single" w:sz="8" w:color="CCEEFF"/>
            </w:tcBorders>
          </w:tcPr>
          <w:p>
            <w:pPr>
              <w:spacing w:after="0"/>
              <w:rPr>
                <w:sz w:val="14"/>
                <w:szCs w:val="14"/>
                <w:color w:val="auto"/>
              </w:rPr>
            </w:pPr>
          </w:p>
        </w:tc>
        <w:tc>
          <w:tcPr>
            <w:tcW w:w="4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Operating income</w:t>
            </w:r>
          </w:p>
        </w:tc>
        <w:tc>
          <w:tcPr>
            <w:tcW w:w="25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20,937</w:t>
            </w:r>
          </w:p>
        </w:tc>
        <w:tc>
          <w:tcPr>
            <w:tcW w:w="3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17,903</w:t>
            </w:r>
          </w:p>
        </w:tc>
        <w:tc>
          <w:tcPr>
            <w:tcW w:w="4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360" w:type="dxa"/>
            <w:vAlign w:val="bottom"/>
            <w:gridSpan w:val="2"/>
          </w:tcPr>
          <w:p>
            <w:pPr>
              <w:ind w:left="60"/>
              <w:spacing w:after="0"/>
              <w:rPr>
                <w:sz w:val="20"/>
                <w:szCs w:val="20"/>
                <w:color w:val="auto"/>
              </w:rPr>
            </w:pPr>
            <w:r>
              <w:rPr>
                <w:rFonts w:ascii="Arial" w:cs="Arial" w:eastAsia="Arial" w:hAnsi="Arial"/>
                <w:sz w:val="13"/>
                <w:szCs w:val="13"/>
                <w:color w:val="auto"/>
              </w:rPr>
              <w:t>Identifiable assets*</w:t>
            </w:r>
          </w:p>
        </w:tc>
        <w:tc>
          <w:tcPr>
            <w:tcW w:w="2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79,602</w:t>
            </w:r>
          </w:p>
        </w:tc>
        <w:tc>
          <w:tcPr>
            <w:tcW w:w="4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19,152</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98,754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right w:val="single" w:sz="8" w:color="CCEEFF"/>
            </w:tcBorders>
          </w:tcPr>
          <w:p>
            <w:pPr>
              <w:spacing w:after="0"/>
              <w:rPr>
                <w:sz w:val="15"/>
                <w:szCs w:val="15"/>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Year Ended March 29, 2009:</w:t>
            </w:r>
          </w:p>
        </w:tc>
        <w:tc>
          <w:tcPr>
            <w:tcW w:w="25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360" w:type="dxa"/>
            <w:vAlign w:val="bottom"/>
            <w:gridSpan w:val="2"/>
          </w:tcPr>
          <w:p>
            <w:pPr>
              <w:ind w:left="60"/>
              <w:spacing w:after="0"/>
              <w:rPr>
                <w:sz w:val="20"/>
                <w:szCs w:val="20"/>
                <w:color w:val="auto"/>
              </w:rPr>
            </w:pPr>
            <w:r>
              <w:rPr>
                <w:rFonts w:ascii="Arial" w:cs="Arial" w:eastAsia="Arial" w:hAnsi="Arial"/>
                <w:sz w:val="13"/>
                <w:szCs w:val="13"/>
                <w:color w:val="auto"/>
              </w:rPr>
              <w:t>Sales</w:t>
            </w:r>
          </w:p>
        </w:tc>
        <w:tc>
          <w:tcPr>
            <w:tcW w:w="2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201,596</w:t>
            </w:r>
          </w:p>
        </w:tc>
        <w:tc>
          <w:tcPr>
            <w:tcW w:w="4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82,760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284,356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0" w:type="dxa"/>
            <w:vAlign w:val="bottom"/>
            <w:tcBorders>
              <w:right w:val="single" w:sz="8" w:color="CCEEFF"/>
            </w:tcBorders>
          </w:tcPr>
          <w:p>
            <w:pPr>
              <w:spacing w:after="0"/>
              <w:rPr>
                <w:sz w:val="13"/>
                <w:szCs w:val="13"/>
                <w:color w:val="auto"/>
              </w:rPr>
            </w:pPr>
          </w:p>
        </w:tc>
        <w:tc>
          <w:tcPr>
            <w:tcW w:w="4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Gross profit</w:t>
            </w:r>
          </w:p>
        </w:tc>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41,466</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360" w:type="dxa"/>
            <w:vAlign w:val="bottom"/>
            <w:gridSpan w:val="2"/>
          </w:tcPr>
          <w:p>
            <w:pPr>
              <w:ind w:left="60"/>
              <w:spacing w:after="0"/>
              <w:rPr>
                <w:sz w:val="20"/>
                <w:szCs w:val="20"/>
                <w:color w:val="auto"/>
              </w:rPr>
            </w:pPr>
            <w:r>
              <w:rPr>
                <w:rFonts w:ascii="Arial" w:cs="Arial" w:eastAsia="Arial" w:hAnsi="Arial"/>
                <w:sz w:val="13"/>
                <w:szCs w:val="13"/>
                <w:color w:val="auto"/>
              </w:rPr>
              <w:t>Operating income</w:t>
            </w:r>
          </w:p>
        </w:tc>
        <w:tc>
          <w:tcPr>
            <w:tcW w:w="2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25,520</w:t>
            </w: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11,817</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0" w:type="dxa"/>
            <w:vAlign w:val="bottom"/>
            <w:tcBorders>
              <w:right w:val="single" w:sz="8" w:color="CCEEFF"/>
            </w:tcBorders>
          </w:tcPr>
          <w:p>
            <w:pPr>
              <w:spacing w:after="0"/>
              <w:rPr>
                <w:sz w:val="15"/>
                <w:szCs w:val="15"/>
                <w:color w:val="auto"/>
              </w:rPr>
            </w:pPr>
          </w:p>
        </w:tc>
        <w:tc>
          <w:tcPr>
            <w:tcW w:w="43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Identifiable assets*</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78,083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20,896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00" w:right="320" w:hanging="213"/>
        <w:spacing w:after="0" w:line="266" w:lineRule="auto"/>
        <w:tabs>
          <w:tab w:leader="none" w:pos="90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Unallocated assets consisting primarily of cash and cash equivalents, investments and prepaid expenses were $41.7 million at April 3, 2011, $60.5 million at March 28, 2010 and $33.4 million at March 29, 2009. Additionally, assets associated with the discontinued operations of the Pharmaceutical segment were $0.9 million at April 3, 2011, $1.0 million at March 28, 2010 and $3.9 million at March 29, 2009.</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u w:val="single" w:color="auto"/>
          <w:color w:val="auto"/>
        </w:rPr>
        <w:t>NOTES TO CONSOLIDATED FINANCIAL STATEMENTS</w:t>
      </w:r>
      <w:r>
        <w:rPr>
          <w:rFonts w:ascii="Arial" w:cs="Arial" w:eastAsia="Arial" w:hAnsi="Arial"/>
          <w:sz w:val="13"/>
          <w:szCs w:val="13"/>
          <w:b w:val="1"/>
          <w:bCs w:val="1"/>
          <w:color w:val="auto"/>
        </w:rPr>
        <w:t xml:space="preserve"> — (Continued)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Note 13 —</w:t>
            </w:r>
          </w:p>
        </w:tc>
        <w:tc>
          <w:tcPr>
            <w:tcW w:w="3460" w:type="dxa"/>
            <w:vAlign w:val="bottom"/>
          </w:tcPr>
          <w:p>
            <w:pPr>
              <w:ind w:left="120"/>
              <w:spacing w:after="0"/>
              <w:rPr>
                <w:sz w:val="20"/>
                <w:szCs w:val="20"/>
                <w:color w:val="auto"/>
              </w:rPr>
            </w:pPr>
            <w:r>
              <w:rPr>
                <w:rFonts w:ascii="Arial" w:cs="Arial" w:eastAsia="Arial" w:hAnsi="Arial"/>
                <w:sz w:val="13"/>
                <w:szCs w:val="13"/>
                <w:b w:val="1"/>
                <w:bCs w:val="1"/>
                <w:color w:val="auto"/>
              </w:rPr>
              <w:t>Selected Quarterly Financial Data (Unaudited)</w:t>
            </w: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Fiscal 2011</w:t>
            </w: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rPr>
              <w:t>First</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77"/>
              <w:spacing w:after="0" w:line="99" w:lineRule="exact"/>
              <w:rPr>
                <w:sz w:val="20"/>
                <w:szCs w:val="20"/>
                <w:color w:val="auto"/>
              </w:rPr>
            </w:pPr>
            <w:r>
              <w:rPr>
                <w:rFonts w:ascii="Arial" w:cs="Arial" w:eastAsia="Arial" w:hAnsi="Arial"/>
                <w:sz w:val="11"/>
                <w:szCs w:val="11"/>
                <w:b w:val="1"/>
                <w:bCs w:val="1"/>
                <w:color w:val="auto"/>
                <w:w w:val="85"/>
              </w:rPr>
              <w:t>Second</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96"/>
              <w:spacing w:after="0" w:line="99" w:lineRule="exact"/>
              <w:rPr>
                <w:sz w:val="20"/>
                <w:szCs w:val="20"/>
                <w:color w:val="auto"/>
              </w:rPr>
            </w:pPr>
            <w:r>
              <w:rPr>
                <w:rFonts w:ascii="Arial" w:cs="Arial" w:eastAsia="Arial" w:hAnsi="Arial"/>
                <w:sz w:val="11"/>
                <w:szCs w:val="11"/>
                <w:b w:val="1"/>
                <w:bCs w:val="1"/>
                <w:color w:val="auto"/>
              </w:rPr>
              <w:t>Third</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91"/>
              </w:rPr>
              <w:t>Fourth</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auto"/>
                <w:w w:val="82"/>
              </w:rPr>
              <w:t>except per share data)</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34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74,665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70,620</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81,957</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Gross profit</w:t>
            </w:r>
          </w:p>
        </w:tc>
        <w:tc>
          <w:tcPr>
            <w:tcW w:w="3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18,447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17,742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13,726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11,986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Income from continuing operations</w:t>
            </w:r>
          </w:p>
        </w:tc>
        <w:tc>
          <w:tcPr>
            <w:tcW w:w="2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7,337</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6,832</w:t>
            </w: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4,254</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920" w:type="dxa"/>
            <w:vAlign w:val="bottom"/>
            <w:gridSpan w:val="3"/>
            <w:vMerge w:val="restart"/>
          </w:tcPr>
          <w:p>
            <w:pPr>
              <w:ind w:left="680"/>
              <w:spacing w:after="0"/>
              <w:rPr>
                <w:sz w:val="20"/>
                <w:szCs w:val="20"/>
                <w:color w:val="auto"/>
              </w:rPr>
            </w:pPr>
            <w:r>
              <w:rPr>
                <w:rFonts w:ascii="Arial" w:cs="Arial" w:eastAsia="Arial" w:hAnsi="Arial"/>
                <w:sz w:val="13"/>
                <w:szCs w:val="13"/>
                <w:color w:val="auto"/>
              </w:rPr>
              <w:t>Basic net income per share</w:t>
            </w: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920" w:type="dxa"/>
            <w:vAlign w:val="bottom"/>
            <w:gridSpan w:val="3"/>
            <w:vMerge w:val="continue"/>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0.72</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0.67</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0.41</w:t>
            </w:r>
          </w:p>
        </w:tc>
        <w:tc>
          <w:tcPr>
            <w:tcW w:w="22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0.18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per share</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Fiscal 2010</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ind w:right="136"/>
              <w:spacing w:after="0" w:line="99" w:lineRule="exact"/>
              <w:rPr>
                <w:sz w:val="20"/>
                <w:szCs w:val="20"/>
                <w:color w:val="auto"/>
              </w:rPr>
            </w:pPr>
            <w:r>
              <w:rPr>
                <w:rFonts w:ascii="Arial" w:cs="Arial" w:eastAsia="Arial" w:hAnsi="Arial"/>
                <w:sz w:val="11"/>
                <w:szCs w:val="11"/>
                <w:b w:val="1"/>
                <w:bCs w:val="1"/>
                <w:color w:val="auto"/>
              </w:rPr>
              <w:t>First</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ind w:right="77"/>
              <w:spacing w:after="0" w:line="99" w:lineRule="exact"/>
              <w:rPr>
                <w:sz w:val="20"/>
                <w:szCs w:val="20"/>
                <w:color w:val="auto"/>
              </w:rPr>
            </w:pPr>
            <w:r>
              <w:rPr>
                <w:rFonts w:ascii="Arial" w:cs="Arial" w:eastAsia="Arial" w:hAnsi="Arial"/>
                <w:sz w:val="11"/>
                <w:szCs w:val="11"/>
                <w:b w:val="1"/>
                <w:bCs w:val="1"/>
                <w:color w:val="auto"/>
                <w:w w:val="85"/>
              </w:rPr>
              <w:t>Second</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right"/>
              <w:ind w:right="380"/>
              <w:spacing w:after="0" w:line="99" w:lineRule="exact"/>
              <w:rPr>
                <w:sz w:val="20"/>
                <w:szCs w:val="20"/>
                <w:color w:val="auto"/>
              </w:rPr>
            </w:pPr>
            <w:r>
              <w:rPr>
                <w:rFonts w:ascii="Arial" w:cs="Arial" w:eastAsia="Arial" w:hAnsi="Arial"/>
                <w:sz w:val="11"/>
                <w:szCs w:val="11"/>
                <w:b w:val="1"/>
                <w:bCs w:val="1"/>
                <w:color w:val="auto"/>
              </w:rPr>
              <w:t>Third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76"/>
              <w:spacing w:after="0" w:line="99" w:lineRule="exact"/>
              <w:rPr>
                <w:sz w:val="20"/>
                <w:szCs w:val="20"/>
                <w:color w:val="auto"/>
              </w:rPr>
            </w:pPr>
            <w:r>
              <w:rPr>
                <w:rFonts w:ascii="Arial" w:cs="Arial" w:eastAsia="Arial" w:hAnsi="Arial"/>
                <w:sz w:val="11"/>
                <w:szCs w:val="11"/>
                <w:b w:val="1"/>
                <w:bCs w:val="1"/>
                <w:color w:val="auto"/>
                <w:w w:val="91"/>
              </w:rPr>
              <w:t>Fourth</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700" w:type="dxa"/>
            <w:vAlign w:val="bottom"/>
            <w:vMerge w:val="continue"/>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34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73,586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60,627</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57,910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Gross profit</w:t>
            </w:r>
          </w:p>
        </w:tc>
        <w:tc>
          <w:tcPr>
            <w:tcW w:w="3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15,856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17,416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15,855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15,318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9,083</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Income from continuing operations</w:t>
            </w:r>
          </w:p>
        </w:tc>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5,944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6,665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5,595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5,534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from discontinued operations, net of tax</w:t>
            </w:r>
          </w:p>
        </w:tc>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ind w:left="680"/>
              <w:spacing w:after="0"/>
              <w:rPr>
                <w:sz w:val="20"/>
                <w:szCs w:val="20"/>
                <w:color w:val="auto"/>
              </w:rPr>
            </w:pPr>
            <w:r>
              <w:rPr>
                <w:rFonts w:ascii="Arial" w:cs="Arial" w:eastAsia="Arial" w:hAnsi="Arial"/>
                <w:sz w:val="13"/>
                <w:szCs w:val="13"/>
                <w:color w:val="auto"/>
              </w:rPr>
              <w:t>Net income</w:t>
            </w:r>
          </w:p>
        </w:tc>
        <w:tc>
          <w:tcPr>
            <w:tcW w:w="3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460" w:type="dxa"/>
            <w:vAlign w:val="bottom"/>
            <w:gridSpan w:val="2"/>
            <w:vMerge w:val="continue"/>
          </w:tcPr>
          <w:p>
            <w:pPr>
              <w:spacing w:after="0"/>
              <w:rPr>
                <w:sz w:val="13"/>
                <w:szCs w:val="13"/>
                <w:color w:val="auto"/>
              </w:rPr>
            </w:pPr>
          </w:p>
        </w:tc>
        <w:tc>
          <w:tcPr>
            <w:tcW w:w="3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6,053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6,665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5,595</w:t>
            </w:r>
          </w:p>
        </w:tc>
        <w:tc>
          <w:tcPr>
            <w:tcW w:w="22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5,534</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700" w:type="dxa"/>
            <w:vAlign w:val="bottom"/>
          </w:tcPr>
          <w:p>
            <w:pPr>
              <w:spacing w:after="0"/>
              <w:rPr>
                <w:sz w:val="15"/>
                <w:szCs w:val="15"/>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0.59</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0.55</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920" w:type="dxa"/>
            <w:vAlign w:val="bottom"/>
            <w:gridSpan w:val="3"/>
            <w:vMerge w:val="restart"/>
          </w:tcPr>
          <w:p>
            <w:pPr>
              <w:ind w:left="680"/>
              <w:spacing w:after="0"/>
              <w:rPr>
                <w:sz w:val="20"/>
                <w:szCs w:val="20"/>
                <w:color w:val="auto"/>
              </w:rPr>
            </w:pPr>
            <w:r>
              <w:rPr>
                <w:rFonts w:ascii="Arial" w:cs="Arial" w:eastAsia="Arial" w:hAnsi="Arial"/>
                <w:sz w:val="13"/>
                <w:szCs w:val="13"/>
                <w:color w:val="auto"/>
              </w:rPr>
              <w:t>Diluted net income per share</w:t>
            </w: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92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0.59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0.65</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0.54</w:t>
            </w:r>
          </w:p>
        </w:tc>
        <w:tc>
          <w:tcPr>
            <w:tcW w:w="220" w:type="dxa"/>
            <w:vAlign w:val="bottom"/>
          </w:tcPr>
          <w:p>
            <w:pPr>
              <w:spacing w:after="0"/>
              <w:rPr>
                <w:sz w:val="15"/>
                <w:szCs w:val="15"/>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0.54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3"/>
        </w:trPr>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60" w:type="dxa"/>
            <w:vAlign w:val="bottom"/>
          </w:tcPr>
          <w:p>
            <w:pPr>
              <w:jc w:val="right"/>
              <w:ind w:right="1174"/>
              <w:spacing w:after="0"/>
              <w:rPr>
                <w:sz w:val="20"/>
                <w:szCs w:val="20"/>
                <w:color w:val="auto"/>
              </w:rPr>
            </w:pPr>
            <w:r>
              <w:rPr>
                <w:rFonts w:ascii="Arial" w:cs="Arial" w:eastAsia="Arial" w:hAnsi="Arial"/>
                <w:sz w:val="13"/>
                <w:szCs w:val="13"/>
                <w:color w:val="auto"/>
              </w:rPr>
              <w:t>43</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2"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2" w:lineRule="exact"/>
        <w:rPr>
          <w:sz w:val="20"/>
          <w:szCs w:val="20"/>
          <w:color w:val="auto"/>
        </w:rPr>
      </w:pPr>
    </w:p>
    <w:p>
      <w:pPr>
        <w:jc w:val="both"/>
        <w:ind w:left="680" w:right="1140" w:firstLine="399"/>
        <w:spacing w:after="0" w:line="304"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 w:lineRule="exact"/>
        <w:rPr>
          <w:sz w:val="20"/>
          <w:szCs w:val="20"/>
          <w:color w:val="auto"/>
        </w:rPr>
      </w:pPr>
    </w:p>
    <w:p>
      <w:pPr>
        <w:ind w:left="680" w:right="860" w:firstLine="7"/>
        <w:spacing w:after="0" w:line="258" w:lineRule="auto"/>
        <w:tabs>
          <w:tab w:leader="none" w:pos="867" w:val="left"/>
        </w:tabs>
        <w:numPr>
          <w:ilvl w:val="0"/>
          <w:numId w:val="5"/>
        </w:numPr>
        <w:rPr>
          <w:rFonts w:ascii="Arial" w:cs="Arial" w:eastAsia="Arial" w:hAnsi="Arial"/>
          <w:sz w:val="13"/>
          <w:szCs w:val="13"/>
          <w:color w:val="auto"/>
        </w:rPr>
      </w:pPr>
      <w:r>
        <w:rPr>
          <w:rFonts w:ascii="Arial" w:cs="Arial" w:eastAsia="Arial" w:hAnsi="Arial"/>
          <w:sz w:val="13"/>
          <w:szCs w:val="13"/>
          <w:color w:val="auto"/>
        </w:rPr>
        <w:t>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72" w:lineRule="exact"/>
        <w:rPr>
          <w:sz w:val="20"/>
          <w:szCs w:val="20"/>
          <w:color w:val="auto"/>
        </w:rPr>
      </w:pPr>
    </w:p>
    <w:p>
      <w:pPr>
        <w:ind w:left="680" w:right="880" w:firstLine="399"/>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67" w:lineRule="exact"/>
        <w:rPr>
          <w:sz w:val="20"/>
          <w:szCs w:val="20"/>
          <w:color w:val="auto"/>
        </w:rPr>
      </w:pPr>
    </w:p>
    <w:p>
      <w:pPr>
        <w:ind w:left="680" w:right="940" w:firstLine="399"/>
        <w:spacing w:after="0" w:line="266" w:lineRule="auto"/>
        <w:rPr>
          <w:sz w:val="20"/>
          <w:szCs w:val="20"/>
          <w:color w:val="auto"/>
        </w:rPr>
      </w:pPr>
      <w:r>
        <w:rPr>
          <w:rFonts w:ascii="Arial" w:cs="Arial" w:eastAsia="Arial" w:hAnsi="Arial"/>
          <w:sz w:val="13"/>
          <w:szCs w:val="13"/>
          <w:color w:val="auto"/>
        </w:rPr>
        <w:t xml:space="preserve">Our management assessed the effectiveness of our internal control over financial reporting as of April 3, 2011, based on the criteria described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issued by the Committee of Sponsoring Organizations (“COSO”) of the Treadway Commission. Based on this assessment, management believes that our internal control over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reporting was effective as of April 3, 2011.</w:t>
      </w:r>
    </w:p>
    <w:p>
      <w:pPr>
        <w:spacing w:after="0" w:line="67" w:lineRule="exact"/>
        <w:rPr>
          <w:sz w:val="20"/>
          <w:szCs w:val="20"/>
          <w:color w:val="auto"/>
        </w:rPr>
      </w:pPr>
    </w:p>
    <w:p>
      <w:pPr>
        <w:ind w:left="680" w:right="820" w:firstLine="399"/>
        <w:spacing w:after="0" w:line="279" w:lineRule="auto"/>
        <w:rPr>
          <w:sz w:val="20"/>
          <w:szCs w:val="20"/>
          <w:color w:val="auto"/>
        </w:rPr>
      </w:pPr>
      <w:r>
        <w:rPr>
          <w:rFonts w:ascii="Arial" w:cs="Arial" w:eastAsia="Arial" w:hAnsi="Arial"/>
          <w:sz w:val="13"/>
          <w:szCs w:val="13"/>
          <w:color w:val="auto"/>
        </w:rPr>
        <w:t>Our independent registered public accounting firm has issued an attestation report on our internal control over financial reporting for April 3, 2011. That attestation report is set forth immediately following this management report.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/s/ Patrick H. Hawkins</w:t>
            </w:r>
          </w:p>
        </w:tc>
        <w:tc>
          <w:tcPr>
            <w:tcW w:w="5180" w:type="dxa"/>
            <w:vAlign w:val="bottom"/>
            <w:gridSpan w:val="2"/>
          </w:tcPr>
          <w:p>
            <w:pPr>
              <w:ind w:left="500"/>
              <w:spacing w:after="0"/>
              <w:rPr>
                <w:sz w:val="20"/>
                <w:szCs w:val="20"/>
                <w:color w:val="auto"/>
              </w:rPr>
            </w:pPr>
            <w:r>
              <w:rPr>
                <w:rFonts w:ascii="Arial" w:cs="Arial" w:eastAsia="Arial" w:hAnsi="Arial"/>
                <w:sz w:val="13"/>
                <w:szCs w:val="13"/>
                <w:color w:val="auto"/>
              </w:rPr>
              <w:t>/s/ Kathleen P. Pepski</w:t>
            </w:r>
          </w:p>
        </w:tc>
        <w:tc>
          <w:tcPr>
            <w:tcW w:w="800" w:type="dxa"/>
            <w:vAlign w:val="bottom"/>
          </w:tcPr>
          <w:p>
            <w:pPr>
              <w:spacing w:after="0"/>
              <w:rPr>
                <w:sz w:val="14"/>
                <w:szCs w:val="14"/>
                <w:color w:val="auto"/>
              </w:rPr>
            </w:pPr>
          </w:p>
        </w:tc>
      </w:tr>
      <w:tr>
        <w:trPr>
          <w:trHeight w:val="145"/>
        </w:trPr>
        <w:tc>
          <w:tcPr>
            <w:tcW w:w="680" w:type="dxa"/>
            <w:vAlign w:val="bottom"/>
          </w:tcPr>
          <w:p>
            <w:pPr>
              <w:spacing w:after="0"/>
              <w:rPr>
                <w:sz w:val="12"/>
                <w:szCs w:val="12"/>
                <w:color w:val="auto"/>
              </w:rPr>
            </w:pPr>
          </w:p>
        </w:tc>
        <w:tc>
          <w:tcPr>
            <w:tcW w:w="4800" w:type="dxa"/>
            <w:vAlign w:val="bottom"/>
            <w:tcBorders>
              <w:top w:val="single" w:sz="8" w:color="auto"/>
            </w:tcBorders>
          </w:tcPr>
          <w:p>
            <w:pPr>
              <w:spacing w:after="0" w:line="145" w:lineRule="exact"/>
              <w:rPr>
                <w:sz w:val="20"/>
                <w:szCs w:val="20"/>
                <w:color w:val="auto"/>
              </w:rPr>
            </w:pPr>
            <w:r>
              <w:rPr>
                <w:rFonts w:ascii="Arial" w:cs="Arial" w:eastAsia="Arial" w:hAnsi="Arial"/>
                <w:sz w:val="13"/>
                <w:szCs w:val="13"/>
                <w:color w:val="auto"/>
              </w:rPr>
              <w:t>Patrick H. Hawkins</w:t>
            </w:r>
          </w:p>
        </w:tc>
        <w:tc>
          <w:tcPr>
            <w:tcW w:w="500" w:type="dxa"/>
            <w:vAlign w:val="bottom"/>
          </w:tcPr>
          <w:p>
            <w:pPr>
              <w:spacing w:after="0"/>
              <w:rPr>
                <w:sz w:val="12"/>
                <w:szCs w:val="12"/>
                <w:color w:val="auto"/>
              </w:rPr>
            </w:pPr>
          </w:p>
        </w:tc>
        <w:tc>
          <w:tcPr>
            <w:tcW w:w="4680" w:type="dxa"/>
            <w:vAlign w:val="bottom"/>
            <w:tcBorders>
              <w:top w:val="single" w:sz="8" w:color="auto"/>
            </w:tcBorders>
          </w:tcPr>
          <w:p>
            <w:pPr>
              <w:spacing w:after="0" w:line="145" w:lineRule="exact"/>
              <w:rPr>
                <w:sz w:val="20"/>
                <w:szCs w:val="20"/>
                <w:color w:val="auto"/>
              </w:rPr>
            </w:pPr>
            <w:r>
              <w:rPr>
                <w:rFonts w:ascii="Arial" w:cs="Arial" w:eastAsia="Arial" w:hAnsi="Arial"/>
                <w:sz w:val="13"/>
                <w:szCs w:val="13"/>
                <w:color w:val="auto"/>
              </w:rPr>
              <w:t>Kathleen P. Pepski</w:t>
            </w:r>
          </w:p>
        </w:tc>
        <w:tc>
          <w:tcPr>
            <w:tcW w:w="800" w:type="dxa"/>
            <w:vAlign w:val="bottom"/>
          </w:tcPr>
          <w:p>
            <w:pPr>
              <w:spacing w:after="0"/>
              <w:rPr>
                <w:sz w:val="12"/>
                <w:szCs w:val="12"/>
                <w:color w:val="auto"/>
              </w:rPr>
            </w:pPr>
          </w:p>
        </w:tc>
      </w:tr>
      <w:tr>
        <w:trPr>
          <w:trHeight w:val="158"/>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Chief Executive Officer and President</w:t>
            </w:r>
          </w:p>
        </w:tc>
        <w:tc>
          <w:tcPr>
            <w:tcW w:w="5180" w:type="dxa"/>
            <w:vAlign w:val="bottom"/>
            <w:gridSpan w:val="2"/>
          </w:tcPr>
          <w:p>
            <w:pPr>
              <w:ind w:left="500"/>
              <w:spacing w:after="0"/>
              <w:rPr>
                <w:sz w:val="20"/>
                <w:szCs w:val="20"/>
                <w:color w:val="auto"/>
              </w:rPr>
            </w:pPr>
            <w:r>
              <w:rPr>
                <w:rFonts w:ascii="Arial" w:cs="Arial" w:eastAsia="Arial" w:hAnsi="Arial"/>
                <w:sz w:val="13"/>
                <w:szCs w:val="13"/>
                <w:color w:val="auto"/>
              </w:rPr>
              <w:t>Vice President, Chief Financial Officer, and Treasurer</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June 9, 2011</w:t>
            </w:r>
          </w:p>
        </w:tc>
        <w:tc>
          <w:tcPr>
            <w:tcW w:w="5180" w:type="dxa"/>
            <w:vAlign w:val="bottom"/>
            <w:gridSpan w:val="2"/>
          </w:tcPr>
          <w:p>
            <w:pPr>
              <w:ind w:left="500"/>
              <w:spacing w:after="0"/>
              <w:rPr>
                <w:sz w:val="20"/>
                <w:szCs w:val="20"/>
                <w:color w:val="auto"/>
              </w:rPr>
            </w:pPr>
            <w:r>
              <w:rPr>
                <w:rFonts w:ascii="Arial" w:cs="Arial" w:eastAsia="Arial" w:hAnsi="Arial"/>
                <w:sz w:val="13"/>
                <w:szCs w:val="13"/>
                <w:color w:val="auto"/>
              </w:rPr>
              <w:t>June 9, 2011</w:t>
            </w:r>
          </w:p>
        </w:tc>
        <w:tc>
          <w:tcPr>
            <w:tcW w:w="800" w:type="dxa"/>
            <w:vAlign w:val="bottom"/>
          </w:tcPr>
          <w:p>
            <w:pPr>
              <w:spacing w:after="0"/>
              <w:rPr>
                <w:sz w:val="14"/>
                <w:szCs w:val="14"/>
                <w:color w:val="auto"/>
              </w:rPr>
            </w:pPr>
          </w:p>
        </w:tc>
      </w:tr>
      <w:tr>
        <w:trPr>
          <w:trHeight w:val="445"/>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00" w:type="dxa"/>
            <w:vAlign w:val="bottom"/>
          </w:tcPr>
          <w:p>
            <w:pPr>
              <w:jc w:val="right"/>
              <w:ind w:right="174"/>
              <w:spacing w:after="0"/>
              <w:rPr>
                <w:sz w:val="20"/>
                <w:szCs w:val="20"/>
                <w:color w:val="auto"/>
              </w:rPr>
            </w:pPr>
            <w:r>
              <w:rPr>
                <w:rFonts w:ascii="Arial" w:cs="Arial" w:eastAsia="Arial" w:hAnsi="Arial"/>
                <w:sz w:val="13"/>
                <w:szCs w:val="13"/>
                <w:color w:val="auto"/>
              </w:rPr>
              <w:t>44</w:t>
            </w:r>
          </w:p>
        </w:tc>
        <w:tc>
          <w:tcPr>
            <w:tcW w:w="4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Attestation Report of Registered Public Accounting Firm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attestation report required under this Item 9A is contained in Item 8 of this Annual Report on 10-K under the caption “Report of Independent Registered Public Accounting</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Firm.”</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Procedures</w:t>
      </w:r>
    </w:p>
    <w:p>
      <w:pPr>
        <w:spacing w:after="0" w:line="102" w:lineRule="exact"/>
        <w:rPr>
          <w:sz w:val="20"/>
          <w:szCs w:val="20"/>
          <w:color w:val="auto"/>
        </w:rPr>
      </w:pPr>
    </w:p>
    <w:p>
      <w:pPr>
        <w:ind w:left="680" w:right="200" w:firstLine="399"/>
        <w:spacing w:after="0" w:line="279" w:lineRule="auto"/>
        <w:rPr>
          <w:sz w:val="20"/>
          <w:szCs w:val="20"/>
          <w:color w:val="auto"/>
        </w:rPr>
      </w:pPr>
      <w:r>
        <w:rPr>
          <w:rFonts w:ascii="Arial" w:cs="Arial" w:eastAsia="Arial" w:hAnsi="Arial"/>
          <w:sz w:val="13"/>
          <w:szCs w:val="13"/>
          <w:color w:val="auto"/>
        </w:rPr>
        <w:t>Except as set forth below, there was no change in our internal control over financial reporting during the fourth quarter of fiscal 2011 that has materially affected, or is reasonably likely to materially affect, our internal control over financial reporting.</w:t>
      </w:r>
    </w:p>
    <w:p>
      <w:pPr>
        <w:spacing w:after="0" w:line="58" w:lineRule="exact"/>
        <w:rPr>
          <w:sz w:val="20"/>
          <w:szCs w:val="20"/>
          <w:color w:val="auto"/>
        </w:rPr>
      </w:pPr>
    </w:p>
    <w:p>
      <w:pPr>
        <w:ind w:left="680" w:right="340" w:firstLine="399"/>
        <w:spacing w:after="0" w:line="262" w:lineRule="auto"/>
        <w:rPr>
          <w:sz w:val="20"/>
          <w:szCs w:val="20"/>
          <w:color w:val="auto"/>
        </w:rPr>
      </w:pPr>
      <w:r>
        <w:rPr>
          <w:rFonts w:ascii="Arial" w:cs="Arial" w:eastAsia="Arial" w:hAnsi="Arial"/>
          <w:sz w:val="13"/>
          <w:szCs w:val="13"/>
          <w:color w:val="auto"/>
        </w:rPr>
        <w:t>In connection with the Vertex acquisition management has elected to exclude Vertex from management’s assessment of the effectiveness of our internal control over financial reporting for the year ended April 3, 2011 as permitted by the Securities and Exchange Commission. As of April 3, 2011, total net tangible assets attributable to Vertex represented approximately $20 million or 12% of our total assets. Total revenue attributable to Vertex represented approximately $9 million of net revenue, or 3% of net revenue for the fiscal year ended April 3, 2011.</w:t>
      </w:r>
    </w:p>
    <w:p>
      <w:pPr>
        <w:spacing w:after="0" w:line="14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25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III</w:t>
      </w:r>
    </w:p>
    <w:p>
      <w:pPr>
        <w:spacing w:after="0" w:line="102"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Certain information required by Part III is incorporated by reference from Hawkins’ definitive Proxy Statement for the Annual Meeting of Shareholders to be held on August 2, 2011 (the “2011 Proxy Statement”). Except for those portions specifically incorporated in this Form 10-K by reference to Hawkins’ Proxy Statement, no other portions of the 2011 Proxy Statement are deemed to be filed as part of this Form 10-K.</w:t>
      </w:r>
    </w:p>
    <w:p>
      <w:pPr>
        <w:spacing w:after="0" w:line="14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executive officers, their ages and offices held, as of May 31, 2011 are set forth below:</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72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2000" w:type="dxa"/>
            <w:vAlign w:val="bottom"/>
          </w:tcPr>
          <w:p>
            <w:pPr>
              <w:jc w:val="right"/>
              <w:ind w:right="36"/>
              <w:spacing w:after="0"/>
              <w:rPr>
                <w:sz w:val="20"/>
                <w:szCs w:val="20"/>
                <w:color w:val="auto"/>
              </w:rPr>
            </w:pPr>
            <w:r>
              <w:rPr>
                <w:rFonts w:ascii="Arial" w:cs="Arial" w:eastAsia="Arial" w:hAnsi="Arial"/>
                <w:sz w:val="11"/>
                <w:szCs w:val="11"/>
                <w:b w:val="1"/>
                <w:bCs w:val="1"/>
                <w:color w:val="auto"/>
              </w:rPr>
              <w:t>Age</w:t>
            </w:r>
          </w:p>
        </w:tc>
        <w:tc>
          <w:tcPr>
            <w:tcW w:w="5260" w:type="dxa"/>
            <w:vAlign w:val="bottom"/>
          </w:tcPr>
          <w:p>
            <w:pPr>
              <w:ind w:left="2660"/>
              <w:spacing w:after="0"/>
              <w:rPr>
                <w:sz w:val="20"/>
                <w:szCs w:val="20"/>
                <w:color w:val="auto"/>
              </w:rPr>
            </w:pPr>
            <w:r>
              <w:rPr>
                <w:rFonts w:ascii="Arial" w:cs="Arial" w:eastAsia="Arial" w:hAnsi="Arial"/>
                <w:sz w:val="11"/>
                <w:szCs w:val="11"/>
                <w:b w:val="1"/>
                <w:bCs w:val="1"/>
                <w:u w:val="single" w:color="auto"/>
                <w:color w:val="auto"/>
              </w:rPr>
              <w:t>O</w:t>
            </w:r>
            <w:r>
              <w:rPr>
                <w:rFonts w:ascii="Arial" w:cs="Arial" w:eastAsia="Arial" w:hAnsi="Arial"/>
                <w:sz w:val="11"/>
                <w:szCs w:val="11"/>
                <w:b w:val="1"/>
                <w:bCs w:val="1"/>
                <w:color w:val="auto"/>
              </w:rPr>
              <w:t>ffice</w:t>
            </w:r>
          </w:p>
        </w:tc>
        <w:tc>
          <w:tcPr>
            <w:tcW w:w="0" w:type="dxa"/>
            <w:vAlign w:val="bottom"/>
          </w:tcPr>
          <w:p>
            <w:pPr>
              <w:spacing w:after="0"/>
              <w:rPr>
                <w:sz w:val="1"/>
                <w:szCs w:val="1"/>
                <w:color w:val="auto"/>
              </w:rPr>
            </w:pPr>
          </w:p>
        </w:tc>
      </w:tr>
      <w:tr>
        <w:trPr>
          <w:trHeight w:val="49"/>
        </w:trPr>
        <w:tc>
          <w:tcPr>
            <w:tcW w:w="20" w:type="dxa"/>
            <w:vAlign w:val="bottom"/>
            <w:vMerge w:val="restart"/>
          </w:tcPr>
          <w:p>
            <w:pPr>
              <w:spacing w:after="0"/>
              <w:rPr>
                <w:sz w:val="4"/>
                <w:szCs w:val="4"/>
                <w:color w:val="auto"/>
              </w:rPr>
            </w:pPr>
          </w:p>
        </w:tc>
        <w:tc>
          <w:tcPr>
            <w:tcW w:w="27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Patrick H. Hawkins</w:t>
            </w: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40</w:t>
            </w: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Chief Executive Officer and President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Kathleen P. Pepski</w:t>
            </w: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56</w:t>
            </w:r>
          </w:p>
        </w:tc>
        <w:tc>
          <w:tcPr>
            <w:tcW w:w="5260" w:type="dxa"/>
            <w:vAlign w:val="bottom"/>
          </w:tcPr>
          <w:p>
            <w:pPr>
              <w:ind w:left="100"/>
              <w:spacing w:after="0"/>
              <w:rPr>
                <w:sz w:val="20"/>
                <w:szCs w:val="20"/>
                <w:color w:val="auto"/>
              </w:rPr>
            </w:pPr>
            <w:r>
              <w:rPr>
                <w:rFonts w:ascii="Arial" w:cs="Arial" w:eastAsia="Arial" w:hAnsi="Arial"/>
                <w:sz w:val="13"/>
                <w:szCs w:val="13"/>
                <w:color w:val="auto"/>
              </w:rPr>
              <w:t>Vice President, Chief Financial Officer, and Treasurer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Mark A. Beyer</w:t>
            </w: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49</w:t>
            </w: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 Operations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Richard G. Erstad</w:t>
            </w: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47</w:t>
            </w:r>
          </w:p>
        </w:tc>
        <w:tc>
          <w:tcPr>
            <w:tcW w:w="5260" w:type="dxa"/>
            <w:vAlign w:val="bottom"/>
          </w:tcPr>
          <w:p>
            <w:pPr>
              <w:ind w:left="100"/>
              <w:spacing w:after="0"/>
              <w:rPr>
                <w:sz w:val="20"/>
                <w:szCs w:val="20"/>
                <w:color w:val="auto"/>
              </w:rPr>
            </w:pPr>
            <w:r>
              <w:rPr>
                <w:rFonts w:ascii="Arial" w:cs="Arial" w:eastAsia="Arial" w:hAnsi="Arial"/>
                <w:sz w:val="13"/>
                <w:szCs w:val="13"/>
                <w:color w:val="auto"/>
              </w:rPr>
              <w:t>Vice President, General Counsel and Secretary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Theresa R. Moran</w:t>
            </w: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48</w:t>
            </w: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 Quality and Support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Keenan A. Paulson</w:t>
            </w: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61</w:t>
            </w:r>
          </w:p>
        </w:tc>
        <w:tc>
          <w:tcPr>
            <w:tcW w:w="5260" w:type="dxa"/>
            <w:vAlign w:val="bottom"/>
          </w:tcPr>
          <w:p>
            <w:pPr>
              <w:ind w:left="100"/>
              <w:spacing w:after="0"/>
              <w:rPr>
                <w:sz w:val="20"/>
                <w:szCs w:val="20"/>
                <w:color w:val="auto"/>
              </w:rPr>
            </w:pPr>
            <w:r>
              <w:rPr>
                <w:rFonts w:ascii="Arial" w:cs="Arial" w:eastAsia="Arial" w:hAnsi="Arial"/>
                <w:sz w:val="13"/>
                <w:szCs w:val="13"/>
                <w:color w:val="auto"/>
              </w:rPr>
              <w:t>Vice President — Water Treatment Group</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John R. Sevenich</w:t>
            </w: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w:t>
            </w:r>
          </w:p>
        </w:tc>
        <w:tc>
          <w:tcPr>
            <w:tcW w:w="52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Vice President — Industrial Group</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2"/>
          <w:szCs w:val="12"/>
          <w:i w:val="1"/>
          <w:iCs w:val="1"/>
          <w:color w:val="auto"/>
        </w:rPr>
        <w:t xml:space="preserve">Patrick H. Hawkins </w:t>
      </w:r>
      <w:r>
        <w:rPr>
          <w:rFonts w:ascii="Arial" w:cs="Arial" w:eastAsia="Arial" w:hAnsi="Arial"/>
          <w:sz w:val="12"/>
          <w:szCs w:val="12"/>
          <w:color w:val="auto"/>
        </w:rPr>
        <w:t>was appointed to serve as our Chief Executive Officer and President in March 2011. He had previously been promoted to the position of President in March</w:t>
      </w:r>
      <w:r>
        <w:rPr>
          <w:rFonts w:ascii="Arial" w:cs="Arial" w:eastAsia="Arial" w:hAnsi="Arial"/>
          <w:sz w:val="12"/>
          <w:szCs w:val="12"/>
          <w:i w:val="1"/>
          <w:iCs w:val="1"/>
          <w:color w:val="auto"/>
        </w:rPr>
        <w:t xml:space="preserve"> </w:t>
      </w:r>
      <w:r>
        <w:rPr>
          <w:rFonts w:ascii="Arial" w:cs="Arial" w:eastAsia="Arial" w:hAnsi="Arial"/>
          <w:sz w:val="12"/>
          <w:szCs w:val="12"/>
          <w:color w:val="auto"/>
        </w:rPr>
        <w:t>2010 as part of the Board’s succession planning efforts.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Kathleen P. Pepski </w:t>
      </w:r>
      <w:r>
        <w:rPr>
          <w:rFonts w:ascii="Arial" w:cs="Arial" w:eastAsia="Arial" w:hAnsi="Arial"/>
          <w:sz w:val="13"/>
          <w:szCs w:val="13"/>
          <w:color w:val="auto"/>
        </w:rPr>
        <w:t>has been the Company’s Vice President, Chief Financial Officer and Treasurer since February 2008 and was Secretary from February 2008 to November 2008.</w:t>
      </w:r>
      <w:r>
        <w:rPr>
          <w:rFonts w:ascii="Arial" w:cs="Arial" w:eastAsia="Arial" w:hAnsi="Arial"/>
          <w:sz w:val="13"/>
          <w:szCs w:val="13"/>
          <w:i w:val="1"/>
          <w:iCs w:val="1"/>
          <w:color w:val="auto"/>
        </w:rPr>
        <w:t xml:space="preserve"> </w:t>
      </w:r>
      <w:r>
        <w:rPr>
          <w:rFonts w:ascii="Arial" w:cs="Arial" w:eastAsia="Arial" w:hAnsi="Arial"/>
          <w:sz w:val="13"/>
          <w:szCs w:val="13"/>
          <w:color w:val="auto"/>
        </w:rPr>
        <w:t>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right="400" w:firstLine="399"/>
        <w:spacing w:after="0" w:line="374" w:lineRule="auto"/>
        <w:rPr>
          <w:sz w:val="20"/>
          <w:szCs w:val="20"/>
          <w:color w:val="auto"/>
        </w:rPr>
      </w:pPr>
      <w:r>
        <w:rPr>
          <w:rFonts w:ascii="Arial" w:cs="Arial" w:eastAsia="Arial" w:hAnsi="Arial"/>
          <w:sz w:val="11"/>
          <w:szCs w:val="11"/>
          <w:i w:val="1"/>
          <w:iCs w:val="1"/>
          <w:color w:val="auto"/>
        </w:rPr>
        <w:t xml:space="preserve">Mark A. Beyer </w:t>
      </w:r>
      <w:r>
        <w:rPr>
          <w:rFonts w:ascii="Arial" w:cs="Arial" w:eastAsia="Arial" w:hAnsi="Arial"/>
          <w:sz w:val="11"/>
          <w:szCs w:val="11"/>
          <w:color w:val="auto"/>
        </w:rPr>
        <w:t>has been the Company’s Vice President of Operations since September 2009. Mr. Beyer previously held operations leadership positions with Boston Scientific</w:t>
      </w:r>
      <w:r>
        <w:rPr>
          <w:rFonts w:ascii="Arial" w:cs="Arial" w:eastAsia="Arial" w:hAnsi="Arial"/>
          <w:sz w:val="11"/>
          <w:szCs w:val="11"/>
          <w:i w:val="1"/>
          <w:iCs w:val="1"/>
          <w:color w:val="auto"/>
        </w:rPr>
        <w:t xml:space="preserve"> </w:t>
      </w:r>
      <w:r>
        <w:rPr>
          <w:rFonts w:ascii="Arial" w:cs="Arial" w:eastAsia="Arial" w:hAnsi="Arial"/>
          <w:sz w:val="11"/>
          <w:szCs w:val="11"/>
          <w:color w:val="auto"/>
        </w:rPr>
        <w:t>Corporation, a medical device manufacturer, and General Mills, Inc., a diversified food company. He was self-employed as a consultant from January 2005 to September 2009.</w:t>
      </w:r>
    </w:p>
    <w:p>
      <w:pPr>
        <w:spacing w:after="0" w:line="11" w:lineRule="exact"/>
        <w:rPr>
          <w:sz w:val="20"/>
          <w:szCs w:val="20"/>
          <w:color w:val="auto"/>
        </w:rPr>
      </w:pPr>
    </w:p>
    <w:p>
      <w:pPr>
        <w:ind w:left="680" w:right="200" w:firstLine="399"/>
        <w:spacing w:after="0" w:line="266" w:lineRule="auto"/>
        <w:rPr>
          <w:sz w:val="20"/>
          <w:szCs w:val="20"/>
          <w:color w:val="auto"/>
        </w:rPr>
      </w:pPr>
      <w:r>
        <w:rPr>
          <w:rFonts w:ascii="Arial" w:cs="Arial" w:eastAsia="Arial" w:hAnsi="Arial"/>
          <w:sz w:val="13"/>
          <w:szCs w:val="13"/>
          <w:i w:val="1"/>
          <w:iCs w:val="1"/>
          <w:color w:val="auto"/>
        </w:rPr>
        <w:t xml:space="preserve">Richard G. Erstad </w:t>
      </w:r>
      <w:r>
        <w:rPr>
          <w:rFonts w:ascii="Arial" w:cs="Arial" w:eastAsia="Arial" w:hAnsi="Arial"/>
          <w:sz w:val="13"/>
          <w:szCs w:val="13"/>
          <w:color w:val="auto"/>
        </w:rPr>
        <w:t>has been the Company’s Vice President, General Counsel and Secretary since November 2008. He was General Counsel and Secretary of BUCA, Inc., a</w:t>
      </w:r>
      <w:r>
        <w:rPr>
          <w:rFonts w:ascii="Arial" w:cs="Arial" w:eastAsia="Arial" w:hAnsi="Arial"/>
          <w:sz w:val="13"/>
          <w:szCs w:val="13"/>
          <w:i w:val="1"/>
          <w:iCs w:val="1"/>
          <w:color w:val="auto"/>
        </w:rPr>
        <w:t xml:space="preserve"> </w:t>
      </w:r>
      <w:r>
        <w:rPr>
          <w:rFonts w:ascii="Arial" w:cs="Arial" w:eastAsia="Arial" w:hAnsi="Arial"/>
          <w:sz w:val="13"/>
          <w:szCs w:val="13"/>
          <w:color w:val="auto"/>
        </w:rPr>
        <w:t>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67"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Theresa R. Moran </w:t>
      </w:r>
      <w:r>
        <w:rPr>
          <w:rFonts w:ascii="Arial" w:cs="Arial" w:eastAsia="Arial" w:hAnsi="Arial"/>
          <w:sz w:val="13"/>
          <w:szCs w:val="13"/>
          <w:color w:val="auto"/>
        </w:rPr>
        <w:t>has been the Company’s Vice President — Quality and Support since February 2010. Since joining the Company in 1981, Ms. Moran has served the Company in</w:t>
      </w:r>
      <w:r>
        <w:rPr>
          <w:rFonts w:ascii="Arial" w:cs="Arial" w:eastAsia="Arial" w:hAnsi="Arial"/>
          <w:sz w:val="13"/>
          <w:szCs w:val="13"/>
          <w:i w:val="1"/>
          <w:iCs w:val="1"/>
          <w:color w:val="auto"/>
        </w:rPr>
        <w:t xml:space="preserve"> </w:t>
      </w:r>
      <w:r>
        <w:rPr>
          <w:rFonts w:ascii="Arial" w:cs="Arial" w:eastAsia="Arial" w:hAnsi="Arial"/>
          <w:sz w:val="13"/>
          <w:szCs w:val="13"/>
          <w:color w:val="auto"/>
        </w:rPr>
        <w:t>a variety of positions, including Administration Operations Manager from 1999 to 2007 and most recently as Director — Process Improvement, a position she held from 2007 until the time of her promotion.</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i w:val="1"/>
          <w:iCs w:val="1"/>
          <w:color w:val="auto"/>
        </w:rPr>
        <w:t xml:space="preserve">Keenan A. Paulson </w:t>
      </w:r>
      <w:r>
        <w:rPr>
          <w:rFonts w:ascii="Arial" w:cs="Arial" w:eastAsia="Arial" w:hAnsi="Arial"/>
          <w:sz w:val="13"/>
          <w:szCs w:val="13"/>
          <w:color w:val="auto"/>
        </w:rPr>
        <w:t>has been the Company’s Vice President — Water Treatment Group since May 2000. Prior to attaining this position, Ms. Paulson held various positions during her</w:t>
      </w:r>
      <w:r>
        <w:rPr>
          <w:rFonts w:ascii="Arial" w:cs="Arial" w:eastAsia="Arial" w:hAnsi="Arial"/>
          <w:sz w:val="13"/>
          <w:szCs w:val="13"/>
          <w:i w:val="1"/>
          <w:iCs w:val="1"/>
          <w:color w:val="auto"/>
        </w:rPr>
        <w:t xml:space="preserve"> </w:t>
      </w:r>
      <w:r>
        <w:rPr>
          <w:rFonts w:ascii="Arial" w:cs="Arial" w:eastAsia="Arial" w:hAnsi="Arial"/>
          <w:sz w:val="13"/>
          <w:szCs w:val="13"/>
          <w:color w:val="auto"/>
        </w:rPr>
        <w:t>37-year career with the Company, most recently as its Water Treatment General Manager.</w:t>
      </w:r>
    </w:p>
    <w:p>
      <w:pPr>
        <w:spacing w:after="0" w:line="58"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i w:val="1"/>
          <w:iCs w:val="1"/>
          <w:color w:val="auto"/>
        </w:rPr>
        <w:t xml:space="preserve">John R. Sevenich </w:t>
      </w:r>
      <w:r>
        <w:rPr>
          <w:rFonts w:ascii="Arial" w:cs="Arial" w:eastAsia="Arial" w:hAnsi="Arial"/>
          <w:sz w:val="13"/>
          <w:szCs w:val="13"/>
          <w:color w:val="auto"/>
        </w:rPr>
        <w:t>has been the Company’s Vice President — Industrial Group since May 2000. He was the Business Unit Manager of Manufacturing from 1998 to 2000 and was a</w:t>
      </w:r>
      <w:r>
        <w:rPr>
          <w:rFonts w:ascii="Arial" w:cs="Arial" w:eastAsia="Arial" w:hAnsi="Arial"/>
          <w:sz w:val="13"/>
          <w:szCs w:val="13"/>
          <w:i w:val="1"/>
          <w:iCs w:val="1"/>
          <w:color w:val="auto"/>
        </w:rPr>
        <w:t xml:space="preserve"> </w:t>
      </w:r>
      <w:r>
        <w:rPr>
          <w:rFonts w:ascii="Arial" w:cs="Arial" w:eastAsia="Arial" w:hAnsi="Arial"/>
          <w:sz w:val="13"/>
          <w:szCs w:val="13"/>
          <w:color w:val="auto"/>
        </w:rPr>
        <w:t>Sales Representative with the Company from 1989 to 1998.</w:t>
      </w:r>
    </w:p>
    <w:p>
      <w:pPr>
        <w:spacing w:after="0" w:line="58" w:lineRule="exact"/>
        <w:rPr>
          <w:sz w:val="20"/>
          <w:szCs w:val="20"/>
          <w:color w:val="auto"/>
        </w:rPr>
      </w:pPr>
    </w:p>
    <w:p>
      <w:pPr>
        <w:ind w:left="680" w:right="480" w:firstLine="399"/>
        <w:spacing w:after="0" w:line="279" w:lineRule="auto"/>
        <w:rPr>
          <w:sz w:val="20"/>
          <w:szCs w:val="20"/>
          <w:color w:val="auto"/>
        </w:rPr>
      </w:pPr>
      <w:r>
        <w:rPr>
          <w:rFonts w:ascii="Arial" w:cs="Arial" w:eastAsia="Arial" w:hAnsi="Arial"/>
          <w:sz w:val="13"/>
          <w:szCs w:val="13"/>
          <w:color w:val="auto"/>
        </w:rPr>
        <w:t>“Election of Directors,” “Corporate Governance,” and “Section 16(a) Beneficial Ownership Reporting Compliance” of the 2010 Proxy Statement are incorporated herein by reference.</w:t>
      </w:r>
    </w:p>
    <w:p>
      <w:pPr>
        <w:spacing w:after="0" w:line="58"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4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“Compensation of Executive Officers and Directors” of the 2011 Proxy Statement is incorporated herein by this reference.</w:t>
      </w:r>
    </w:p>
    <w:p>
      <w:pPr>
        <w:spacing w:after="0" w:line="17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2" w:lineRule="exact"/>
        <w:rPr>
          <w:sz w:val="20"/>
          <w:szCs w:val="20"/>
          <w:color w:val="auto"/>
        </w:rPr>
      </w:pPr>
    </w:p>
    <w:p>
      <w:pPr>
        <w:ind w:left="680" w:right="500" w:firstLine="399"/>
        <w:spacing w:after="0" w:line="279" w:lineRule="auto"/>
        <w:rPr>
          <w:sz w:val="20"/>
          <w:szCs w:val="20"/>
          <w:color w:val="auto"/>
        </w:rPr>
      </w:pPr>
      <w:r>
        <w:rPr>
          <w:rFonts w:ascii="Arial" w:cs="Arial" w:eastAsia="Arial" w:hAnsi="Arial"/>
          <w:sz w:val="13"/>
          <w:szCs w:val="13"/>
          <w:color w:val="auto"/>
        </w:rPr>
        <w:t>“Security Ownership of Management and Beneficial Ownership” and “Equity Compensation Plan Information” of the 2011 Proxy Statement are incorporated herein by this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“Election of Directors” and “Related Party Transactions” of the 2011 Proxy Statement are incorporated herein by this reference.</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“Independent Registered Public Accounting Firm’s Fees” of the 2011 Proxy Statement is incorporated herein by this reference.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0" w:type="dxa"/>
            <w:vAlign w:val="bottom"/>
          </w:tcPr>
          <w:p>
            <w:pPr>
              <w:spacing w:after="0"/>
              <w:rPr>
                <w:sz w:val="14"/>
                <w:szCs w:val="14"/>
                <w:color w:val="auto"/>
              </w:rPr>
            </w:pPr>
          </w:p>
        </w:tc>
        <w:tc>
          <w:tcPr>
            <w:tcW w:w="10060" w:type="dxa"/>
            <w:vAlign w:val="bottom"/>
          </w:tcPr>
          <w:p>
            <w:pPr>
              <w:ind w:left="4020"/>
              <w:spacing w:after="0"/>
              <w:rPr>
                <w:sz w:val="20"/>
                <w:szCs w:val="20"/>
                <w:color w:val="auto"/>
              </w:rPr>
            </w:pPr>
            <w:r>
              <w:rPr>
                <w:rFonts w:ascii="Arial" w:cs="Arial" w:eastAsia="Arial" w:hAnsi="Arial"/>
                <w:sz w:val="13"/>
                <w:szCs w:val="13"/>
                <w:b w:val="1"/>
                <w:bCs w:val="1"/>
                <w:color w:val="auto"/>
              </w:rPr>
              <w:t>PART IV</w:t>
            </w:r>
          </w:p>
        </w:tc>
      </w:tr>
      <w:tr>
        <w:trPr>
          <w:trHeight w:val="326"/>
        </w:trPr>
        <w:tc>
          <w:tcPr>
            <w:tcW w:w="1400" w:type="dxa"/>
            <w:vAlign w:val="bottom"/>
          </w:tcPr>
          <w:p>
            <w:pPr>
              <w:ind w:left="680"/>
              <w:spacing w:after="0"/>
              <w:rPr>
                <w:sz w:val="20"/>
                <w:szCs w:val="20"/>
                <w:color w:val="auto"/>
              </w:rPr>
            </w:pPr>
            <w:r>
              <w:rPr>
                <w:rFonts w:ascii="Arial" w:cs="Arial" w:eastAsia="Arial" w:hAnsi="Arial"/>
                <w:sz w:val="13"/>
                <w:szCs w:val="13"/>
                <w:b w:val="1"/>
                <w:bCs w:val="1"/>
                <w:color w:val="auto"/>
              </w:rPr>
              <w:t>ITEM 15.</w:t>
            </w:r>
          </w:p>
        </w:tc>
        <w:tc>
          <w:tcPr>
            <w:tcW w:w="10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r>
      <w:tr>
        <w:trPr>
          <w:trHeight w:val="257"/>
        </w:trPr>
        <w:tc>
          <w:tcPr>
            <w:tcW w:w="1400" w:type="dxa"/>
            <w:vAlign w:val="bottom"/>
          </w:tcPr>
          <w:p>
            <w:pPr>
              <w:ind w:left="780"/>
              <w:spacing w:after="0"/>
              <w:rPr>
                <w:sz w:val="20"/>
                <w:szCs w:val="20"/>
                <w:color w:val="auto"/>
              </w:rPr>
            </w:pPr>
            <w:r>
              <w:rPr>
                <w:rFonts w:ascii="Arial" w:cs="Arial" w:eastAsia="Arial" w:hAnsi="Arial"/>
                <w:sz w:val="13"/>
                <w:szCs w:val="13"/>
                <w:color w:val="auto"/>
              </w:rPr>
              <w:t>(a)(1)</w:t>
            </w:r>
          </w:p>
        </w:tc>
        <w:tc>
          <w:tcPr>
            <w:tcW w:w="10060" w:type="dxa"/>
            <w:vAlign w:val="bottom"/>
          </w:tcPr>
          <w:p>
            <w:pPr>
              <w:ind w:left="180"/>
              <w:spacing w:after="0"/>
              <w:rPr>
                <w:sz w:val="20"/>
                <w:szCs w:val="20"/>
                <w:color w:val="auto"/>
              </w:rPr>
            </w:pPr>
            <w:r>
              <w:rPr>
                <w:rFonts w:ascii="Arial" w:cs="Arial" w:eastAsia="Arial" w:hAnsi="Arial"/>
                <w:sz w:val="13"/>
                <w:szCs w:val="13"/>
                <w:color w:val="auto"/>
              </w:rPr>
              <w:t>FINANCIAL STATEMENTS OF THE COMPANY</w:t>
            </w:r>
          </w:p>
        </w:tc>
      </w:tr>
      <w:tr>
        <w:trPr>
          <w:trHeight w:val="230"/>
        </w:trPr>
        <w:tc>
          <w:tcPr>
            <w:tcW w:w="140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The following financial statements of Hawkins, Inc. are filed as part of this Annual Report on Form 10-K:</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Reports of Independent Registered Public Accounting Firms.</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Consolidated Balance Sheets at April 3, 2011 and March 28, 2010.</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Consolidated Statements of Income for the fiscal years ended April 3, 2011, March 28, 2010, and March 29, 2009.</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Consolidated Statements of Shareholders’ Equity for the fiscal years ended April 3, 2011, March 28, 2010, and March 29, 2009.</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Consolidated Statements of Cash Flows for the fiscal years ended April 3, 2011, March 28, 2010, and March 29, 2009.</w:t>
            </w:r>
          </w:p>
        </w:tc>
      </w:tr>
      <w:tr>
        <w:trPr>
          <w:trHeight w:val="165"/>
        </w:trPr>
        <w:tc>
          <w:tcPr>
            <w:tcW w:w="1400" w:type="dxa"/>
            <w:vAlign w:val="bottom"/>
          </w:tcPr>
          <w:p>
            <w:pPr>
              <w:spacing w:after="0"/>
              <w:rPr>
                <w:sz w:val="14"/>
                <w:szCs w:val="14"/>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Notes to Consolidated Financial Statements.</w:t>
            </w:r>
          </w:p>
        </w:tc>
      </w:tr>
      <w:tr>
        <w:trPr>
          <w:trHeight w:val="309"/>
        </w:trPr>
        <w:tc>
          <w:tcPr>
            <w:tcW w:w="1400" w:type="dxa"/>
            <w:vAlign w:val="bottom"/>
          </w:tcPr>
          <w:p>
            <w:pPr>
              <w:ind w:left="780"/>
              <w:spacing w:after="0"/>
              <w:rPr>
                <w:sz w:val="20"/>
                <w:szCs w:val="20"/>
                <w:color w:val="auto"/>
              </w:rPr>
            </w:pPr>
            <w:r>
              <w:rPr>
                <w:rFonts w:ascii="Arial" w:cs="Arial" w:eastAsia="Arial" w:hAnsi="Arial"/>
                <w:sz w:val="13"/>
                <w:szCs w:val="13"/>
                <w:color w:val="auto"/>
              </w:rPr>
              <w:t>(a)(2)</w:t>
            </w:r>
          </w:p>
        </w:tc>
        <w:tc>
          <w:tcPr>
            <w:tcW w:w="10060" w:type="dxa"/>
            <w:vAlign w:val="bottom"/>
          </w:tcPr>
          <w:p>
            <w:pPr>
              <w:ind w:left="180"/>
              <w:spacing w:after="0"/>
              <w:rPr>
                <w:sz w:val="20"/>
                <w:szCs w:val="20"/>
                <w:color w:val="auto"/>
              </w:rPr>
            </w:pPr>
            <w:r>
              <w:rPr>
                <w:rFonts w:ascii="Arial" w:cs="Arial" w:eastAsia="Arial" w:hAnsi="Arial"/>
                <w:sz w:val="13"/>
                <w:szCs w:val="13"/>
                <w:color w:val="auto"/>
              </w:rPr>
              <w:t>FINANCIAL STATEMENT SCHEDULES OF THE COMPANY</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The additional financial data listed below is included as a schedule to this Annual Report on Form 10-K and should be read in conjunction with the financial statements</w:t>
            </w:r>
          </w:p>
        </w:tc>
      </w:tr>
      <w:tr>
        <w:trPr>
          <w:trHeight w:val="158"/>
        </w:trPr>
        <w:tc>
          <w:tcPr>
            <w:tcW w:w="1400" w:type="dxa"/>
            <w:vAlign w:val="bottom"/>
          </w:tcPr>
          <w:p>
            <w:pPr>
              <w:spacing w:after="0"/>
              <w:rPr>
                <w:sz w:val="13"/>
                <w:szCs w:val="13"/>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presented in Part II, Item 8. Schedules not included with this additional financial data have been omitted because they are not required or the required information is</w:t>
            </w:r>
          </w:p>
        </w:tc>
      </w:tr>
      <w:tr>
        <w:trPr>
          <w:trHeight w:val="165"/>
        </w:trPr>
        <w:tc>
          <w:tcPr>
            <w:tcW w:w="1400" w:type="dxa"/>
            <w:vAlign w:val="bottom"/>
          </w:tcPr>
          <w:p>
            <w:pPr>
              <w:spacing w:after="0"/>
              <w:rPr>
                <w:sz w:val="14"/>
                <w:szCs w:val="14"/>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included in the financial statements or the notes.</w:t>
            </w:r>
          </w:p>
        </w:tc>
      </w:tr>
      <w:tr>
        <w:trPr>
          <w:trHeight w:val="237"/>
        </w:trPr>
        <w:tc>
          <w:tcPr>
            <w:tcW w:w="140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The following financial statement schedule for the fiscal years 2011, 2010 and 2009.</w:t>
            </w:r>
          </w:p>
        </w:tc>
      </w:tr>
      <w:tr>
        <w:trPr>
          <w:trHeight w:val="237"/>
        </w:trPr>
        <w:tc>
          <w:tcPr>
            <w:tcW w:w="1400" w:type="dxa"/>
            <w:vAlign w:val="bottom"/>
          </w:tcPr>
          <w:p>
            <w:pPr>
              <w:spacing w:after="0"/>
              <w:rPr>
                <w:sz w:val="20"/>
                <w:szCs w:val="20"/>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Schedule II — Valuation and Qualifying Accounts.</w:t>
            </w:r>
          </w:p>
        </w:tc>
      </w:tr>
      <w:tr>
        <w:trPr>
          <w:trHeight w:val="309"/>
        </w:trPr>
        <w:tc>
          <w:tcPr>
            <w:tcW w:w="1400" w:type="dxa"/>
            <w:vAlign w:val="bottom"/>
          </w:tcPr>
          <w:p>
            <w:pPr>
              <w:ind w:left="780"/>
              <w:spacing w:after="0"/>
              <w:rPr>
                <w:sz w:val="20"/>
                <w:szCs w:val="20"/>
                <w:color w:val="auto"/>
              </w:rPr>
            </w:pPr>
            <w:r>
              <w:rPr>
                <w:rFonts w:ascii="Arial" w:cs="Arial" w:eastAsia="Arial" w:hAnsi="Arial"/>
                <w:sz w:val="13"/>
                <w:szCs w:val="13"/>
                <w:color w:val="auto"/>
              </w:rPr>
              <w:t>(a)(3)</w:t>
            </w:r>
          </w:p>
        </w:tc>
        <w:tc>
          <w:tcPr>
            <w:tcW w:w="10060" w:type="dxa"/>
            <w:vAlign w:val="bottom"/>
          </w:tcPr>
          <w:p>
            <w:pPr>
              <w:ind w:left="180"/>
              <w:spacing w:after="0"/>
              <w:rPr>
                <w:sz w:val="20"/>
                <w:szCs w:val="20"/>
                <w:color w:val="auto"/>
              </w:rPr>
            </w:pPr>
            <w:r>
              <w:rPr>
                <w:rFonts w:ascii="Arial" w:cs="Arial" w:eastAsia="Arial" w:hAnsi="Arial"/>
                <w:sz w:val="13"/>
                <w:szCs w:val="13"/>
                <w:color w:val="auto"/>
              </w:rPr>
              <w:t>EXHIBITS</w:t>
            </w:r>
          </w:p>
        </w:tc>
      </w:tr>
      <w:tr>
        <w:trPr>
          <w:trHeight w:val="165"/>
        </w:trPr>
        <w:tc>
          <w:tcPr>
            <w:tcW w:w="1400" w:type="dxa"/>
            <w:vAlign w:val="bottom"/>
          </w:tcPr>
          <w:p>
            <w:pPr>
              <w:spacing w:after="0"/>
              <w:rPr>
                <w:sz w:val="14"/>
                <w:szCs w:val="14"/>
                <w:color w:val="auto"/>
              </w:rPr>
            </w:pPr>
          </w:p>
        </w:tc>
        <w:tc>
          <w:tcPr>
            <w:tcW w:w="10060" w:type="dxa"/>
            <w:vAlign w:val="bottom"/>
          </w:tcPr>
          <w:p>
            <w:pPr>
              <w:ind w:left="180"/>
              <w:spacing w:after="0"/>
              <w:rPr>
                <w:sz w:val="20"/>
                <w:szCs w:val="20"/>
                <w:color w:val="auto"/>
              </w:rPr>
            </w:pPr>
            <w:r>
              <w:rPr>
                <w:rFonts w:ascii="Arial" w:cs="Arial" w:eastAsia="Arial" w:hAnsi="Arial"/>
                <w:sz w:val="13"/>
                <w:szCs w:val="13"/>
                <w:color w:val="auto"/>
              </w:rPr>
              <w:t>The exhibits of this Annual Report on Form 10-K included herein are set forth on the attached Exhibit Index.</w:t>
            </w:r>
          </w:p>
        </w:tc>
      </w:tr>
      <w:tr>
        <w:trPr>
          <w:trHeight w:val="455"/>
        </w:trPr>
        <w:tc>
          <w:tcPr>
            <w:tcW w:w="140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3"/>
                <w:szCs w:val="13"/>
                <w:color w:val="auto"/>
              </w:rPr>
              <w:t>47</w:t>
            </w:r>
          </w:p>
        </w:tc>
      </w:tr>
      <w:tr>
        <w:trPr>
          <w:trHeight w:val="165"/>
        </w:trPr>
        <w:tc>
          <w:tcPr>
            <w:tcW w:w="1400" w:type="dxa"/>
            <w:vAlign w:val="bottom"/>
            <w:tcBorders>
              <w:bottom w:val="single" w:sz="8" w:color="808080"/>
            </w:tcBorders>
          </w:tcPr>
          <w:p>
            <w:pPr>
              <w:spacing w:after="0"/>
              <w:rPr>
                <w:sz w:val="14"/>
                <w:szCs w:val="14"/>
                <w:color w:val="auto"/>
              </w:rPr>
            </w:pPr>
          </w:p>
        </w:tc>
        <w:tc>
          <w:tcPr>
            <w:tcW w:w="10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52" w:lineRule="exact"/>
        <w:rPr>
          <w:sz w:val="20"/>
          <w:szCs w:val="20"/>
          <w:color w:val="auto"/>
        </w:rPr>
      </w:pPr>
    </w:p>
    <w:p>
      <w:pPr>
        <w:ind w:left="680" w:right="1000" w:firstLine="399"/>
        <w:spacing w:after="0" w:line="279" w:lineRule="auto"/>
        <w:rPr>
          <w:sz w:val="20"/>
          <w:szCs w:val="20"/>
          <w:color w:val="auto"/>
        </w:rPr>
      </w:pPr>
      <w:r>
        <w:rPr>
          <w:rFonts w:ascii="Arial" w:cs="Arial" w:eastAsia="Arial" w:hAnsi="Arial"/>
          <w:sz w:val="13"/>
          <w:szCs w:val="13"/>
          <w:color w:val="auto"/>
        </w:rPr>
        <w:t>Pursuant to the requirements of Section 13 or 15(d) of the Securities Exchange Act of 1934, the Company has duly caused this report to be signed on its behalf by the undersigned, thereunto duly authorized.</w:t>
      </w:r>
    </w:p>
    <w:p>
      <w:pPr>
        <w:spacing w:after="0" w:line="24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40" w:type="dxa"/>
            <w:vAlign w:val="bottom"/>
            <w:gridSpan w:val="2"/>
          </w:tcPr>
          <w:p>
            <w:pPr>
              <w:ind w:left="2280"/>
              <w:spacing w:after="0"/>
              <w:rPr>
                <w:sz w:val="20"/>
                <w:szCs w:val="20"/>
                <w:color w:val="auto"/>
              </w:rPr>
            </w:pPr>
            <w:r>
              <w:rPr>
                <w:rFonts w:ascii="Arial" w:cs="Arial" w:eastAsia="Arial" w:hAnsi="Arial"/>
                <w:sz w:val="13"/>
                <w:szCs w:val="13"/>
                <w:color w:val="auto"/>
              </w:rPr>
              <w:t>HAWKINS, INC.</w:t>
            </w:r>
          </w:p>
        </w:tc>
      </w:tr>
      <w:tr>
        <w:trPr>
          <w:trHeight w:val="476"/>
        </w:trPr>
        <w:tc>
          <w:tcPr>
            <w:tcW w:w="2620" w:type="dxa"/>
            <w:vAlign w:val="bottom"/>
            <w:gridSpan w:val="3"/>
          </w:tcPr>
          <w:p>
            <w:pPr>
              <w:spacing w:after="0"/>
              <w:rPr>
                <w:sz w:val="20"/>
                <w:szCs w:val="20"/>
                <w:color w:val="auto"/>
              </w:rPr>
            </w:pPr>
            <w:r>
              <w:rPr>
                <w:rFonts w:ascii="Arial" w:cs="Arial" w:eastAsia="Arial" w:hAnsi="Arial"/>
                <w:sz w:val="13"/>
                <w:szCs w:val="13"/>
                <w:color w:val="auto"/>
              </w:rPr>
              <w:t>Date: June 9, 2011</w:t>
            </w:r>
          </w:p>
        </w:tc>
        <w:tc>
          <w:tcPr>
            <w:tcW w:w="8240" w:type="dxa"/>
            <w:vAlign w:val="bottom"/>
            <w:gridSpan w:val="2"/>
          </w:tcPr>
          <w:p>
            <w:pPr>
              <w:ind w:left="2280"/>
              <w:spacing w:after="0"/>
              <w:rPr>
                <w:sz w:val="20"/>
                <w:szCs w:val="20"/>
                <w:color w:val="auto"/>
              </w:rPr>
            </w:pPr>
            <w:r>
              <w:rPr>
                <w:rFonts w:ascii="Arial" w:cs="Arial" w:eastAsia="Arial" w:hAnsi="Arial"/>
                <w:sz w:val="13"/>
                <w:szCs w:val="13"/>
                <w:color w:val="auto"/>
              </w:rPr>
              <w:t>By  /s/ Patrick H. Hawkins</w:t>
            </w:r>
          </w:p>
        </w:tc>
      </w:tr>
      <w:tr>
        <w:trPr>
          <w:trHeight w:val="149"/>
        </w:trPr>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6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Patrick H. Hawkins,</w:t>
            </w:r>
          </w:p>
        </w:tc>
      </w:tr>
      <w:tr>
        <w:trPr>
          <w:trHeight w:val="165"/>
        </w:trPr>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660" w:type="dxa"/>
            <w:vAlign w:val="bottom"/>
          </w:tcPr>
          <w:p>
            <w:pPr>
              <w:spacing w:after="0"/>
              <w:rPr>
                <w:sz w:val="20"/>
                <w:szCs w:val="20"/>
                <w:color w:val="auto"/>
              </w:rPr>
            </w:pPr>
            <w:r>
              <w:rPr>
                <w:rFonts w:ascii="Arial" w:cs="Arial" w:eastAsia="Arial" w:hAnsi="Arial"/>
                <w:sz w:val="13"/>
                <w:szCs w:val="13"/>
                <w:color w:val="auto"/>
              </w:rPr>
              <w:t>Chief Executive Officer and President</w:t>
            </w:r>
          </w:p>
        </w:tc>
      </w:tr>
      <w:tr>
        <w:trPr>
          <w:trHeight w:val="208"/>
        </w:trPr>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40" w:type="dxa"/>
            <w:vAlign w:val="bottom"/>
            <w:gridSpan w:val="2"/>
          </w:tcPr>
          <w:p>
            <w:pPr>
              <w:ind w:left="1640"/>
              <w:spacing w:after="0"/>
              <w:rPr>
                <w:sz w:val="20"/>
                <w:szCs w:val="20"/>
                <w:color w:val="auto"/>
              </w:rPr>
            </w:pPr>
            <w:r>
              <w:rPr>
                <w:rFonts w:ascii="Arial" w:cs="Arial" w:eastAsia="Arial" w:hAnsi="Arial"/>
                <w:sz w:val="13"/>
                <w:szCs w:val="13"/>
                <w:b w:val="1"/>
                <w:bCs w:val="1"/>
                <w:color w:val="auto"/>
              </w:rPr>
              <w:t>POWER OF ATTORNEY</w:t>
            </w:r>
          </w:p>
        </w:tc>
      </w:tr>
    </w:tbl>
    <w:p>
      <w:pPr>
        <w:spacing w:after="0" w:line="32" w:lineRule="exact"/>
        <w:rPr>
          <w:sz w:val="20"/>
          <w:szCs w:val="20"/>
          <w:color w:val="auto"/>
        </w:rPr>
      </w:pPr>
    </w:p>
    <w:p>
      <w:pPr>
        <w:ind w:left="680" w:right="920" w:firstLine="399"/>
        <w:spacing w:after="0" w:line="285" w:lineRule="auto"/>
        <w:rPr>
          <w:sz w:val="20"/>
          <w:szCs w:val="20"/>
          <w:color w:val="auto"/>
        </w:rPr>
      </w:pPr>
      <w:r>
        <w:rPr>
          <w:rFonts w:ascii="Arial" w:cs="Arial" w:eastAsia="Arial" w:hAnsi="Arial"/>
          <w:sz w:val="12"/>
          <w:szCs w:val="12"/>
          <w:color w:val="auto"/>
        </w:rPr>
        <w:t>Each of the undersigned directors of the Company, does hereby make, constitute and appoint Patrick H. Hawkins and Kathleen P. Pepski, and either of them, the undersigned’s true and lawful attorney-in-fact and agent, acting alone, with full power of substitution, for the undersigned and in the undersigned’s name, place and stead, to sign and affix the undersigned’s name as such director of the Company, in any and all capacities, to any and all amendments to this Annual Report on Form 10-K and to file the same, with all exhibits thereto, and other documents in connection wherewith, with the Securities and Exchange Commission, granting unto said attorney-in-fact, and either of them, full power and authority to do and perform each and every act necessary or incidental to the performance and execution of the powers herein expressly granted.</w:t>
      </w:r>
    </w:p>
    <w:p>
      <w:pPr>
        <w:spacing w:after="0" w:line="1" w:lineRule="exact"/>
        <w:rPr>
          <w:sz w:val="20"/>
          <w:szCs w:val="20"/>
          <w:color w:val="auto"/>
        </w:rPr>
      </w:pPr>
    </w:p>
    <w:p>
      <w:pPr>
        <w:ind w:left="680" w:right="920" w:firstLine="399"/>
        <w:spacing w:after="0" w:line="279" w:lineRule="auto"/>
        <w:rPr>
          <w:sz w:val="20"/>
          <w:szCs w:val="20"/>
          <w:color w:val="auto"/>
        </w:rPr>
      </w:pPr>
      <w:r>
        <w:rPr>
          <w:rFonts w:ascii="Arial" w:cs="Arial" w:eastAsia="Arial" w:hAnsi="Arial"/>
          <w:sz w:val="13"/>
          <w:szCs w:val="13"/>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17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4840" w:type="dxa"/>
            <w:vAlign w:val="bottom"/>
          </w:tcPr>
          <w:p>
            <w:pPr>
              <w:ind w:left="40"/>
              <w:spacing w:after="0"/>
              <w:rPr>
                <w:sz w:val="20"/>
                <w:szCs w:val="20"/>
                <w:color w:val="auto"/>
              </w:rPr>
            </w:pPr>
            <w:r>
              <w:rPr>
                <w:rFonts w:ascii="Arial" w:cs="Arial" w:eastAsia="Arial" w:hAnsi="Arial"/>
                <w:sz w:val="13"/>
                <w:szCs w:val="13"/>
                <w:color w:val="auto"/>
              </w:rPr>
              <w:t>Patrick H. Hawkins</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49"/>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w w:val="95"/>
              </w:rPr>
              <w:t>Patrick H. Hawkins, Chief Executive Officer and President (Principal Executive Officer) and</w:t>
            </w:r>
          </w:p>
        </w:tc>
        <w:tc>
          <w:tcPr>
            <w:tcW w:w="4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65"/>
        </w:trPr>
        <w:tc>
          <w:tcPr>
            <w:tcW w:w="5000" w:type="dxa"/>
            <w:vAlign w:val="bottom"/>
            <w:gridSpan w:val="2"/>
          </w:tcPr>
          <w:p>
            <w:pPr>
              <w:spacing w:after="0"/>
              <w:rPr>
                <w:sz w:val="20"/>
                <w:szCs w:val="20"/>
                <w:color w:val="auto"/>
              </w:rPr>
            </w:pPr>
            <w:r>
              <w:rPr>
                <w:rFonts w:ascii="Arial" w:cs="Arial" w:eastAsia="Arial" w:hAnsi="Arial"/>
                <w:sz w:val="13"/>
                <w:szCs w:val="13"/>
                <w:color w:val="auto"/>
              </w:rPr>
              <w:t>Director</w:t>
            </w: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08"/>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4840" w:type="dxa"/>
            <w:vAlign w:val="bottom"/>
          </w:tcPr>
          <w:p>
            <w:pPr>
              <w:ind w:left="40"/>
              <w:spacing w:after="0"/>
              <w:rPr>
                <w:sz w:val="20"/>
                <w:szCs w:val="20"/>
                <w:color w:val="auto"/>
              </w:rPr>
            </w:pPr>
            <w:r>
              <w:rPr>
                <w:rFonts w:ascii="Arial" w:cs="Arial" w:eastAsia="Arial" w:hAnsi="Arial"/>
                <w:sz w:val="13"/>
                <w:szCs w:val="13"/>
                <w:color w:val="auto"/>
              </w:rPr>
              <w:t>Kathleen P. Pepski</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49"/>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w w:val="92"/>
              </w:rPr>
              <w:t>Kathleen P. Pepski, Vice President, Chief Financial Officer, and Treasurer (Principal Financial</w:t>
            </w:r>
          </w:p>
        </w:tc>
        <w:tc>
          <w:tcPr>
            <w:tcW w:w="4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65"/>
        </w:trPr>
        <w:tc>
          <w:tcPr>
            <w:tcW w:w="5000" w:type="dxa"/>
            <w:vAlign w:val="bottom"/>
            <w:gridSpan w:val="2"/>
          </w:tcPr>
          <w:p>
            <w:pPr>
              <w:spacing w:after="0"/>
              <w:rPr>
                <w:sz w:val="20"/>
                <w:szCs w:val="20"/>
                <w:color w:val="auto"/>
              </w:rPr>
            </w:pPr>
            <w:r>
              <w:rPr>
                <w:rFonts w:ascii="Arial" w:cs="Arial" w:eastAsia="Arial" w:hAnsi="Arial"/>
                <w:sz w:val="13"/>
                <w:szCs w:val="13"/>
                <w:color w:val="auto"/>
              </w:rPr>
              <w:t>Officer and Principal Accounting Officer)</w:t>
            </w: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08"/>
        </w:trPr>
        <w:tc>
          <w:tcPr>
            <w:tcW w:w="5000" w:type="dxa"/>
            <w:vAlign w:val="bottom"/>
            <w:gridSpan w:val="2"/>
          </w:tcPr>
          <w:p>
            <w:pPr>
              <w:spacing w:after="0"/>
              <w:rPr>
                <w:sz w:val="20"/>
                <w:szCs w:val="20"/>
                <w:color w:val="auto"/>
              </w:rPr>
            </w:pPr>
            <w:r>
              <w:rPr>
                <w:rFonts w:ascii="Arial" w:cs="Arial" w:eastAsia="Arial" w:hAnsi="Arial"/>
                <w:sz w:val="13"/>
                <w:szCs w:val="13"/>
                <w:color w:val="auto"/>
              </w:rPr>
              <w:t>/s/ John S. McKeon</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65"/>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John S. McKeon, Director, Chairman of the Board</w:t>
            </w:r>
          </w:p>
        </w:tc>
        <w:tc>
          <w:tcPr>
            <w:tcW w:w="43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99"/>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4840" w:type="dxa"/>
            <w:vAlign w:val="bottom"/>
          </w:tcPr>
          <w:p>
            <w:pPr>
              <w:ind w:left="40"/>
              <w:spacing w:after="0"/>
              <w:rPr>
                <w:sz w:val="20"/>
                <w:szCs w:val="20"/>
                <w:color w:val="auto"/>
              </w:rPr>
            </w:pPr>
            <w:r>
              <w:rPr>
                <w:rFonts w:ascii="Arial" w:cs="Arial" w:eastAsia="Arial" w:hAnsi="Arial"/>
                <w:sz w:val="13"/>
                <w:szCs w:val="13"/>
                <w:color w:val="auto"/>
              </w:rPr>
              <w:t>Duane M. Jergenson</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65"/>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Duane M. Jergenson, Director</w:t>
            </w:r>
          </w:p>
        </w:tc>
        <w:tc>
          <w:tcPr>
            <w:tcW w:w="43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99"/>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4840" w:type="dxa"/>
            <w:vAlign w:val="bottom"/>
          </w:tcPr>
          <w:p>
            <w:pPr>
              <w:ind w:left="40"/>
              <w:spacing w:after="0"/>
              <w:rPr>
                <w:sz w:val="20"/>
                <w:szCs w:val="20"/>
                <w:color w:val="auto"/>
              </w:rPr>
            </w:pPr>
            <w:r>
              <w:rPr>
                <w:rFonts w:ascii="Arial" w:cs="Arial" w:eastAsia="Arial" w:hAnsi="Arial"/>
                <w:sz w:val="13"/>
                <w:szCs w:val="13"/>
                <w:color w:val="auto"/>
              </w:rPr>
              <w:t>Daryl I. Skaar</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65"/>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Daryl I. Skaar, Director</w:t>
            </w:r>
          </w:p>
        </w:tc>
        <w:tc>
          <w:tcPr>
            <w:tcW w:w="43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99"/>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4840" w:type="dxa"/>
            <w:vAlign w:val="bottom"/>
          </w:tcPr>
          <w:p>
            <w:pPr>
              <w:ind w:left="40"/>
              <w:spacing w:after="0"/>
              <w:rPr>
                <w:sz w:val="20"/>
                <w:szCs w:val="20"/>
                <w:color w:val="auto"/>
              </w:rPr>
            </w:pPr>
            <w:r>
              <w:rPr>
                <w:rFonts w:ascii="Arial" w:cs="Arial" w:eastAsia="Arial" w:hAnsi="Arial"/>
                <w:sz w:val="13"/>
                <w:szCs w:val="13"/>
                <w:color w:val="auto"/>
              </w:rPr>
              <w:t>James A. Faulconbridge</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65"/>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James A. Faulconbridge, Director</w:t>
            </w:r>
          </w:p>
        </w:tc>
        <w:tc>
          <w:tcPr>
            <w:tcW w:w="43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99"/>
        </w:trPr>
        <w:tc>
          <w:tcPr>
            <w:tcW w:w="5000" w:type="dxa"/>
            <w:vAlign w:val="bottom"/>
            <w:gridSpan w:val="2"/>
          </w:tcPr>
          <w:p>
            <w:pPr>
              <w:spacing w:after="0"/>
              <w:rPr>
                <w:sz w:val="20"/>
                <w:szCs w:val="20"/>
                <w:color w:val="auto"/>
              </w:rPr>
            </w:pPr>
            <w:r>
              <w:rPr>
                <w:rFonts w:ascii="Arial" w:cs="Arial" w:eastAsia="Arial" w:hAnsi="Arial"/>
                <w:sz w:val="13"/>
                <w:szCs w:val="13"/>
                <w:color w:val="auto"/>
              </w:rPr>
              <w:t>/s/ James T. Thompson</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Date: June 9, 2011</w:t>
            </w:r>
          </w:p>
        </w:tc>
      </w:tr>
      <w:tr>
        <w:trPr>
          <w:trHeight w:val="165"/>
        </w:trPr>
        <w:tc>
          <w:tcPr>
            <w:tcW w:w="50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James T. Thompson, Director</w:t>
            </w:r>
          </w:p>
        </w:tc>
        <w:tc>
          <w:tcPr>
            <w:tcW w:w="43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308"/>
        </w:trPr>
        <w:tc>
          <w:tcPr>
            <w:tcW w:w="160" w:type="dxa"/>
            <w:vAlign w:val="bottom"/>
          </w:tcPr>
          <w:p>
            <w:pPr>
              <w:spacing w:after="0"/>
              <w:rPr>
                <w:sz w:val="20"/>
                <w:szCs w:val="20"/>
                <w:color w:val="auto"/>
              </w:rPr>
            </w:pPr>
            <w:r>
              <w:rPr>
                <w:rFonts w:ascii="Arial" w:cs="Arial" w:eastAsia="Arial" w:hAnsi="Arial"/>
                <w:sz w:val="13"/>
                <w:szCs w:val="13"/>
                <w:color w:val="auto"/>
              </w:rPr>
              <w:t>/s/</w:t>
            </w:r>
          </w:p>
        </w:tc>
        <w:tc>
          <w:tcPr>
            <w:tcW w:w="4840" w:type="dxa"/>
            <w:vAlign w:val="bottom"/>
          </w:tcPr>
          <w:p>
            <w:pPr>
              <w:ind w:left="40"/>
              <w:spacing w:after="0"/>
              <w:rPr>
                <w:sz w:val="20"/>
                <w:szCs w:val="20"/>
                <w:color w:val="auto"/>
              </w:rPr>
            </w:pPr>
            <w:r>
              <w:rPr>
                <w:rFonts w:ascii="Arial" w:cs="Arial" w:eastAsia="Arial" w:hAnsi="Arial"/>
                <w:sz w:val="13"/>
                <w:szCs w:val="13"/>
                <w:color w:val="auto"/>
              </w:rPr>
              <w:t>Jeffrey L. Wright</w:t>
            </w:r>
          </w:p>
        </w:tc>
        <w:tc>
          <w:tcPr>
            <w:tcW w:w="4980" w:type="dxa"/>
            <w:vAlign w:val="bottom"/>
            <w:gridSpan w:val="2"/>
          </w:tcPr>
          <w:p>
            <w:pPr>
              <w:ind w:left="4000"/>
              <w:spacing w:after="0"/>
              <w:rPr>
                <w:sz w:val="20"/>
                <w:szCs w:val="20"/>
                <w:color w:val="auto"/>
              </w:rPr>
            </w:pPr>
            <w:r>
              <w:rPr>
                <w:rFonts w:ascii="Arial" w:cs="Arial" w:eastAsia="Arial" w:hAnsi="Arial"/>
                <w:sz w:val="13"/>
                <w:szCs w:val="13"/>
                <w:color w:val="auto"/>
                <w:w w:val="87"/>
              </w:rPr>
              <w:t xml:space="preserve">Date: </w:t>
            </w:r>
            <w:r>
              <w:rPr>
                <w:rFonts w:ascii="Arial" w:cs="Arial" w:eastAsia="Arial" w:hAnsi="Arial"/>
                <w:sz w:val="13"/>
                <w:szCs w:val="13"/>
                <w:u w:val="single" w:color="auto"/>
                <w:color w:val="auto"/>
                <w:w w:val="87"/>
              </w:rPr>
              <w:t>June 9,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1270</wp:posOffset>
            </wp:positionV>
            <wp:extent cx="317055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0555" cy="63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Jeffrey L. Wright, Director</w:t>
      </w:r>
    </w:p>
    <w:p>
      <w:pPr>
        <w:spacing w:after="0" w:line="29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540"/>
          </w:cols>
          <w:pgMar w:left="220" w:top="345" w:right="1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1060"/>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escription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3080"/>
        <w:spacing w:after="0"/>
        <w:rPr>
          <w:sz w:val="20"/>
          <w:szCs w:val="20"/>
          <w:color w:val="auto"/>
        </w:rPr>
      </w:pPr>
      <w:r>
        <w:rPr>
          <w:rFonts w:ascii="Arial" w:cs="Arial" w:eastAsia="Arial" w:hAnsi="Arial"/>
          <w:sz w:val="13"/>
          <w:szCs w:val="13"/>
          <w:b w:val="1"/>
          <w:bCs w:val="1"/>
          <w:color w:val="auto"/>
        </w:rPr>
        <w:t>SCHEDULE II</w:t>
      </w:r>
    </w:p>
    <w:p>
      <w:pPr>
        <w:spacing w:after="0" w:line="177"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HAWKINS, INC.</w:t>
      </w:r>
    </w:p>
    <w:p>
      <w:pPr>
        <w:spacing w:after="0" w:line="98"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auto"/>
        </w:rPr>
        <w:t>VALUATION AND QUALIFYING ACCOUNTS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FISCAL YEARS ENDED APRIL 3, 2011, MARCH 28, 2010, AND MARCH 29, 2009</w:t>
      </w:r>
    </w:p>
    <w:p>
      <w:pPr>
        <w:spacing w:after="0" w:line="91" w:lineRule="exact"/>
        <w:rPr>
          <w:sz w:val="20"/>
          <w:szCs w:val="20"/>
          <w:color w:val="auto"/>
        </w:rPr>
      </w:pPr>
    </w:p>
    <w:tbl>
      <w:tblPr>
        <w:tblLayout w:type="fixed"/>
        <w:tblInd w:w="246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3"/>
              </w:rPr>
              <w:t>Balance at</w:t>
            </w:r>
          </w:p>
        </w:tc>
        <w:tc>
          <w:tcPr>
            <w:tcW w:w="660" w:type="dxa"/>
            <w:vAlign w:val="bottom"/>
          </w:tcPr>
          <w:p>
            <w:pPr>
              <w:spacing w:after="0"/>
              <w:rPr>
                <w:sz w:val="10"/>
                <w:szCs w:val="10"/>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Additions</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60" w:type="dxa"/>
            <w:vAlign w:val="bottom"/>
            <w:gridSpan w:val="2"/>
            <w:vMerge w:val="continue"/>
          </w:tcPr>
          <w:p>
            <w:pPr>
              <w:spacing w:after="0"/>
              <w:rPr>
                <w:sz w:val="7"/>
                <w:szCs w:val="7"/>
                <w:color w:val="auto"/>
              </w:rPr>
            </w:pPr>
          </w:p>
        </w:tc>
        <w:tc>
          <w:tcPr>
            <w:tcW w:w="660" w:type="dxa"/>
            <w:vAlign w:val="bottom"/>
            <w:tcBorders>
              <w:top w:val="single" w:sz="8" w:color="auto"/>
            </w:tcBorders>
          </w:tcPr>
          <w:p>
            <w:pPr>
              <w:jc w:val="center"/>
              <w:ind w:left="89"/>
              <w:spacing w:after="0" w:line="82" w:lineRule="exact"/>
              <w:rPr>
                <w:sz w:val="20"/>
                <w:szCs w:val="20"/>
                <w:color w:val="auto"/>
              </w:rPr>
            </w:pPr>
            <w:r>
              <w:rPr>
                <w:rFonts w:ascii="Arial" w:cs="Arial" w:eastAsia="Arial" w:hAnsi="Arial"/>
                <w:sz w:val="9"/>
                <w:szCs w:val="9"/>
                <w:b w:val="1"/>
                <w:bCs w:val="1"/>
                <w:color w:val="auto"/>
              </w:rPr>
              <w:t>Charged to</w:t>
            </w: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center"/>
              <w:spacing w:after="0" w:line="82" w:lineRule="exact"/>
              <w:rPr>
                <w:sz w:val="20"/>
                <w:szCs w:val="20"/>
                <w:color w:val="auto"/>
              </w:rPr>
            </w:pPr>
            <w:r>
              <w:rPr>
                <w:rFonts w:ascii="Arial" w:cs="Arial" w:eastAsia="Arial" w:hAnsi="Arial"/>
                <w:sz w:val="9"/>
                <w:szCs w:val="9"/>
                <w:b w:val="1"/>
                <w:bCs w:val="1"/>
                <w:color w:val="auto"/>
              </w:rPr>
              <w:t>Charged to</w:t>
            </w: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5"/>
              </w:rPr>
              <w:t>Beginning</w:t>
            </w:r>
          </w:p>
        </w:tc>
        <w:tc>
          <w:tcPr>
            <w:tcW w:w="660" w:type="dxa"/>
            <w:vAlign w:val="bottom"/>
          </w:tcPr>
          <w:p>
            <w:pPr>
              <w:jc w:val="center"/>
              <w:ind w:left="89"/>
              <w:spacing w:after="0" w:line="119" w:lineRule="exact"/>
              <w:rPr>
                <w:sz w:val="20"/>
                <w:szCs w:val="20"/>
                <w:color w:val="auto"/>
              </w:rPr>
            </w:pPr>
            <w:r>
              <w:rPr>
                <w:rFonts w:ascii="Arial" w:cs="Arial" w:eastAsia="Arial" w:hAnsi="Arial"/>
                <w:sz w:val="11"/>
                <w:szCs w:val="11"/>
                <w:b w:val="1"/>
                <w:bCs w:val="1"/>
                <w:color w:val="auto"/>
                <w:w w:val="82"/>
              </w:rPr>
              <w:t>Costs and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8"/>
              </w:rPr>
              <w:t>Other</w:t>
            </w:r>
          </w:p>
        </w:tc>
        <w:tc>
          <w:tcPr>
            <w:tcW w:w="80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Deductions</w:t>
            </w:r>
          </w:p>
        </w:tc>
        <w:tc>
          <w:tcPr>
            <w:tcW w:w="2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3"/>
              </w:rPr>
              <w:t>Balance at</w:t>
            </w:r>
          </w:p>
        </w:tc>
        <w:tc>
          <w:tcPr>
            <w:tcW w:w="0" w:type="dxa"/>
            <w:vAlign w:val="bottom"/>
          </w:tcPr>
          <w:p>
            <w:pPr>
              <w:spacing w:after="0"/>
              <w:rPr>
                <w:sz w:val="1"/>
                <w:szCs w:val="1"/>
                <w:color w:val="auto"/>
              </w:rPr>
            </w:pPr>
          </w:p>
        </w:tc>
      </w:tr>
      <w:tr>
        <w:trPr>
          <w:trHeight w:val="126"/>
        </w:trPr>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of Year</w:t>
            </w:r>
          </w:p>
        </w:tc>
        <w:tc>
          <w:tcPr>
            <w:tcW w:w="660" w:type="dxa"/>
            <w:vAlign w:val="bottom"/>
          </w:tcPr>
          <w:p>
            <w:pPr>
              <w:jc w:val="center"/>
              <w:ind w:left="69"/>
              <w:spacing w:after="0"/>
              <w:rPr>
                <w:sz w:val="20"/>
                <w:szCs w:val="20"/>
                <w:color w:val="auto"/>
              </w:rPr>
            </w:pPr>
            <w:r>
              <w:rPr>
                <w:rFonts w:ascii="Arial" w:cs="Arial" w:eastAsia="Arial" w:hAnsi="Arial"/>
                <w:sz w:val="11"/>
                <w:szCs w:val="11"/>
                <w:b w:val="1"/>
                <w:bCs w:val="1"/>
                <w:color w:val="auto"/>
                <w:w w:val="81"/>
              </w:rPr>
              <w:t>Expenses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3"/>
              </w:rPr>
              <w:t>Accounts</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Write-Offs</w:t>
            </w:r>
          </w:p>
        </w:tc>
        <w:tc>
          <w:tcPr>
            <w:tcW w:w="2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8"/>
              </w:rPr>
              <w:t>End of Year</w:t>
            </w:r>
          </w:p>
        </w:tc>
        <w:tc>
          <w:tcPr>
            <w:tcW w:w="0" w:type="dxa"/>
            <w:vAlign w:val="bottom"/>
          </w:tcPr>
          <w:p>
            <w:pPr>
              <w:spacing w:after="0"/>
              <w:rPr>
                <w:sz w:val="1"/>
                <w:szCs w:val="1"/>
                <w:color w:val="auto"/>
              </w:rPr>
            </w:pPr>
          </w:p>
        </w:tc>
      </w:tr>
      <w:tr>
        <w:trPr>
          <w:trHeight w:val="126"/>
        </w:trPr>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Borders>
              <w:top w:val="single" w:sz="8" w:color="auto"/>
            </w:tcBorders>
          </w:tcPr>
          <w:p>
            <w:pPr>
              <w:ind w:left="140"/>
              <w:spacing w:after="0"/>
              <w:rPr>
                <w:sz w:val="20"/>
                <w:szCs w:val="20"/>
                <w:color w:val="auto"/>
              </w:rPr>
            </w:pPr>
            <w:r>
              <w:rPr>
                <w:rFonts w:ascii="Arial" w:cs="Arial" w:eastAsia="Arial" w:hAnsi="Arial"/>
                <w:sz w:val="11"/>
                <w:szCs w:val="11"/>
                <w:b w:val="1"/>
                <w:bCs w:val="1"/>
                <w:color w:val="auto"/>
                <w:w w:val="76"/>
              </w:rPr>
              <w:t>(In thousands)</w:t>
            </w: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260" w:space="720"/>
            <w:col w:w="8480"/>
          </w:cols>
          <w:pgMar w:left="220" w:top="345" w:right="219" w:bottom="1440" w:gutter="0" w:footer="0" w:header="0"/>
        </w:sectPr>
      </w:pPr>
    </w:p>
    <w:tbl>
      <w:tblPr>
        <w:tblLayout w:type="fixed"/>
        <w:tblInd w:w="0" w:type="dxa"/>
        <w:tblCellMar>
          <w:top w:w="0" w:type="dxa"/>
          <w:left w:w="0" w:type="dxa"/>
          <w:bottom w:w="0" w:type="dxa"/>
          <w:right w:w="0" w:type="dxa"/>
        </w:tblCellMar>
      </w:tblPr>
      <w:tr>
        <w:trPr>
          <w:trHeight w:val="151"/>
        </w:trPr>
        <w:tc>
          <w:tcPr>
            <w:tcW w:w="70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Reserve deducted from asset to which it applies:</w:t>
            </w:r>
          </w:p>
        </w:tc>
        <w:tc>
          <w:tcPr>
            <w:tcW w:w="19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Year Ended April 3, 2011:</w:t>
            </w:r>
          </w:p>
        </w:tc>
        <w:tc>
          <w:tcPr>
            <w:tcW w:w="1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Allowance for doubtful accounts</w:t>
            </w:r>
          </w:p>
        </w:tc>
        <w:tc>
          <w:tcPr>
            <w:tcW w:w="192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$300</w:t>
            </w:r>
          </w:p>
        </w:tc>
        <w:tc>
          <w:tcPr>
            <w:tcW w:w="1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$120</w:t>
            </w:r>
          </w:p>
        </w:tc>
        <w:tc>
          <w:tcPr>
            <w:tcW w:w="1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14</w:t>
            </w:r>
          </w:p>
        </w:tc>
        <w:tc>
          <w:tcPr>
            <w:tcW w:w="11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$406</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Year Ended March 28, 2010:</w:t>
            </w:r>
          </w:p>
        </w:tc>
        <w:tc>
          <w:tcPr>
            <w:tcW w:w="1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Allowance for doubtful accounts</w:t>
            </w:r>
          </w:p>
        </w:tc>
        <w:tc>
          <w:tcPr>
            <w:tcW w:w="192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$350</w:t>
            </w:r>
          </w:p>
        </w:tc>
        <w:tc>
          <w:tcPr>
            <w:tcW w:w="1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 (29)</w:t>
            </w:r>
          </w:p>
        </w:tc>
        <w:tc>
          <w:tcPr>
            <w:tcW w:w="1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21</w:t>
            </w:r>
          </w:p>
        </w:tc>
        <w:tc>
          <w:tcPr>
            <w:tcW w:w="11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$300</w:t>
            </w: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Year Ended March 29, 2009:</w:t>
            </w:r>
          </w:p>
        </w:tc>
        <w:tc>
          <w:tcPr>
            <w:tcW w:w="1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700" w:type="dxa"/>
            <w:vAlign w:val="bottom"/>
          </w:tcPr>
          <w:p>
            <w:pPr>
              <w:spacing w:after="0"/>
              <w:rPr>
                <w:sz w:val="13"/>
                <w:szCs w:val="13"/>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Allowance for doubtful accounts</w:t>
            </w:r>
          </w:p>
        </w:tc>
        <w:tc>
          <w:tcPr>
            <w:tcW w:w="1920" w:type="dxa"/>
            <w:vAlign w:val="bottom"/>
            <w:shd w:val="clear" w:color="auto" w:fill="CCEEFF"/>
          </w:tcPr>
          <w:p>
            <w:pPr>
              <w:jc w:val="right"/>
              <w:ind w:right="354"/>
              <w:spacing w:after="0"/>
              <w:rPr>
                <w:sz w:val="20"/>
                <w:szCs w:val="20"/>
                <w:color w:val="auto"/>
              </w:rPr>
            </w:pPr>
            <w:r>
              <w:rPr>
                <w:rFonts w:ascii="Arial" w:cs="Arial" w:eastAsia="Arial" w:hAnsi="Arial"/>
                <w:sz w:val="13"/>
                <w:szCs w:val="13"/>
                <w:color w:val="auto"/>
              </w:rPr>
              <w:t>$225</w:t>
            </w:r>
          </w:p>
        </w:tc>
        <w:tc>
          <w:tcPr>
            <w:tcW w:w="1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$230</w:t>
            </w:r>
          </w:p>
        </w:tc>
        <w:tc>
          <w:tcPr>
            <w:tcW w:w="1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w w:val="82"/>
              </w:rPr>
              <w:t>105</w:t>
            </w:r>
          </w:p>
        </w:tc>
        <w:tc>
          <w:tcPr>
            <w:tcW w:w="1120" w:type="dxa"/>
            <w:vAlign w:val="bottom"/>
            <w:shd w:val="clear" w:color="auto" w:fill="CCEEFF"/>
          </w:tcPr>
          <w:p>
            <w:pPr>
              <w:jc w:val="right"/>
              <w:ind w:right="334"/>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r>
      <w:tr>
        <w:trPr>
          <w:trHeight w:val="453"/>
        </w:trPr>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20" w:type="dxa"/>
            <w:vAlign w:val="bottom"/>
          </w:tcPr>
          <w:p>
            <w:pPr>
              <w:jc w:val="right"/>
              <w:ind w:right="534"/>
              <w:spacing w:after="0"/>
              <w:rPr>
                <w:sz w:val="20"/>
                <w:szCs w:val="20"/>
                <w:color w:val="auto"/>
              </w:rPr>
            </w:pPr>
            <w:r>
              <w:rPr>
                <w:rFonts w:ascii="Arial" w:cs="Arial" w:eastAsia="Arial" w:hAnsi="Arial"/>
                <w:sz w:val="13"/>
                <w:szCs w:val="13"/>
                <w:color w:val="auto"/>
              </w:rPr>
              <w:t>49</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9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type w:val="continuous"/>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jc w:val="center"/>
        <w:ind w:right="-1079"/>
        <w:spacing w:after="0"/>
        <w:rPr>
          <w:sz w:val="20"/>
          <w:szCs w:val="20"/>
          <w:color w:val="auto"/>
        </w:rPr>
      </w:pPr>
      <w:r>
        <w:rPr>
          <w:rFonts w:ascii="Arial" w:cs="Arial" w:eastAsia="Arial" w:hAnsi="Arial"/>
          <w:sz w:val="12"/>
          <w:szCs w:val="12"/>
          <w:color w:val="auto"/>
        </w:rPr>
        <w:t>Unless otherwise indicated, all documents incorporated into this Annual Report on Form 10-K by reference to a document filed with the SEC are located under file number 0-7647.</w:t>
      </w:r>
    </w:p>
    <w:p>
      <w:pPr>
        <w:spacing w:after="0" w:line="111" w:lineRule="exact"/>
        <w:rPr>
          <w:sz w:val="20"/>
          <w:szCs w:val="20"/>
          <w:color w:val="auto"/>
        </w:rPr>
      </w:pPr>
    </w:p>
    <w:tbl>
      <w:tblPr>
        <w:tblLayout w:type="fixed"/>
        <w:tblInd w:w="1000" w:type="dxa"/>
        <w:tblCellMar>
          <w:top w:w="0" w:type="dxa"/>
          <w:left w:w="0" w:type="dxa"/>
          <w:bottom w:w="0" w:type="dxa"/>
          <w:right w:w="0" w:type="dxa"/>
        </w:tblCellMar>
      </w:tblPr>
      <w:tr>
        <w:trPr>
          <w:trHeight w:val="136"/>
        </w:trPr>
        <w:tc>
          <w:tcPr>
            <w:tcW w:w="500" w:type="dxa"/>
            <w:vAlign w:val="bottom"/>
          </w:tcPr>
          <w:p>
            <w:pPr>
              <w:jc w:val="right"/>
              <w:ind w:right="55"/>
              <w:spacing w:after="0"/>
              <w:rPr>
                <w:sz w:val="20"/>
                <w:szCs w:val="20"/>
                <w:color w:val="auto"/>
              </w:rPr>
            </w:pPr>
            <w:r>
              <w:rPr>
                <w:rFonts w:ascii="Arial" w:cs="Arial" w:eastAsia="Arial" w:hAnsi="Arial"/>
                <w:sz w:val="11"/>
                <w:szCs w:val="11"/>
                <w:b w:val="1"/>
                <w:bCs w:val="1"/>
                <w:color w:val="auto"/>
                <w:w w:val="98"/>
              </w:rPr>
              <w:t>Exhibit</w:t>
            </w:r>
          </w:p>
        </w:tc>
        <w:tc>
          <w:tcPr>
            <w:tcW w:w="3360" w:type="dxa"/>
            <w:vAlign w:val="bottom"/>
          </w:tcPr>
          <w:p>
            <w:pPr>
              <w:spacing w:after="0"/>
              <w:rPr>
                <w:sz w:val="11"/>
                <w:szCs w:val="11"/>
                <w:color w:val="auto"/>
              </w:rPr>
            </w:pPr>
          </w:p>
        </w:tc>
        <w:tc>
          <w:tcPr>
            <w:tcW w:w="3280" w:type="dxa"/>
            <w:vAlign w:val="bottom"/>
          </w:tcPr>
          <w:p>
            <w:pPr>
              <w:spacing w:after="0"/>
              <w:rPr>
                <w:sz w:val="20"/>
                <w:szCs w:val="20"/>
                <w:color w:val="auto"/>
              </w:rPr>
            </w:pPr>
            <w:r>
              <w:rPr>
                <w:rFonts w:ascii="Arial" w:cs="Arial" w:eastAsia="Arial" w:hAnsi="Arial"/>
                <w:sz w:val="11"/>
                <w:szCs w:val="11"/>
                <w:b w:val="1"/>
                <w:bCs w:val="1"/>
                <w:color w:val="auto"/>
              </w:rPr>
              <w:t>Description</w:t>
            </w:r>
          </w:p>
        </w:tc>
        <w:tc>
          <w:tcPr>
            <w:tcW w:w="2100" w:type="dxa"/>
            <w:vAlign w:val="bottom"/>
          </w:tcPr>
          <w:p>
            <w:pPr>
              <w:ind w:left="1360"/>
              <w:spacing w:after="0"/>
              <w:rPr>
                <w:sz w:val="20"/>
                <w:szCs w:val="20"/>
                <w:color w:val="auto"/>
              </w:rPr>
            </w:pPr>
            <w:r>
              <w:rPr>
                <w:rFonts w:ascii="Arial" w:cs="Arial" w:eastAsia="Arial" w:hAnsi="Arial"/>
                <w:sz w:val="11"/>
                <w:szCs w:val="11"/>
                <w:b w:val="1"/>
                <w:bCs w:val="1"/>
                <w:color w:val="auto"/>
                <w:w w:val="84"/>
              </w:rPr>
              <w:t>Method of Filing</w:t>
            </w:r>
          </w:p>
        </w:tc>
      </w:tr>
      <w:tr>
        <w:trPr>
          <w:trHeight w:val="20"/>
        </w:trPr>
        <w:tc>
          <w:tcPr>
            <w:tcW w:w="500" w:type="dxa"/>
            <w:vAlign w:val="bottom"/>
          </w:tcPr>
          <w:p>
            <w:pPr>
              <w:spacing w:after="0" w:line="20" w:lineRule="exact"/>
              <w:rPr>
                <w:sz w:val="1"/>
                <w:szCs w:val="1"/>
                <w:color w:val="auto"/>
              </w:rPr>
            </w:pPr>
          </w:p>
        </w:tc>
        <w:tc>
          <w:tcPr>
            <w:tcW w:w="3360" w:type="dxa"/>
            <w:vAlign w:val="bottom"/>
            <w:tcBorders>
              <w:right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79"/>
        </w:trPr>
        <w:tc>
          <w:tcPr>
            <w:tcW w:w="500" w:type="dxa"/>
            <w:vAlign w:val="bottom"/>
          </w:tcPr>
          <w:p>
            <w:pPr>
              <w:jc w:val="right"/>
              <w:ind w:right="215"/>
              <w:spacing w:after="0"/>
              <w:rPr>
                <w:sz w:val="20"/>
                <w:szCs w:val="20"/>
                <w:color w:val="auto"/>
              </w:rPr>
            </w:pPr>
            <w:r>
              <w:rPr>
                <w:rFonts w:ascii="Arial" w:cs="Arial" w:eastAsia="Arial" w:hAnsi="Arial"/>
                <w:sz w:val="13"/>
                <w:szCs w:val="13"/>
                <w:color w:val="auto"/>
              </w:rPr>
              <w:t>2.1</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w w:val="94"/>
              </w:rPr>
              <w:t>Asset Purchase Agreement, dated as of January 10, 2011, among Vertex Chemical Corporation, Novel Wash Co., Inc.,</w:t>
            </w:r>
          </w:p>
        </w:tc>
        <w:tc>
          <w:tcPr>
            <w:tcW w:w="2100" w:type="dxa"/>
            <w:vAlign w:val="bottom"/>
          </w:tcPr>
          <w:p>
            <w:pPr>
              <w:spacing w:after="0"/>
              <w:rPr>
                <w:sz w:val="15"/>
                <w:szCs w:val="15"/>
                <w:color w:val="auto"/>
              </w:rPr>
            </w:pPr>
          </w:p>
        </w:tc>
      </w:tr>
      <w:tr>
        <w:trPr>
          <w:trHeight w:val="158"/>
        </w:trPr>
        <w:tc>
          <w:tcPr>
            <w:tcW w:w="500" w:type="dxa"/>
            <w:vAlign w:val="bottom"/>
          </w:tcPr>
          <w:p>
            <w:pPr>
              <w:spacing w:after="0"/>
              <w:rPr>
                <w:sz w:val="13"/>
                <w:szCs w:val="13"/>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R.H.A. Corporation, Twin Acquisition Corp. and Hawkins, Inc.(1)</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rPr>
              <w:t>3.1</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Amended and Second Restated Articles of Incorporation as amended through February 27, 2001.(2)</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rPr>
              <w:t>3.2</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Amended and Restated By-Laws.(3)</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10.1*</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Retention Bonus Agreement with John R. Hawkins</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10.2*</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Description of Consulting Arrangement with John S. McKeon.(4)</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10.3*</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Hawkins, Inc. 2004 Omnibus Stock Plan.(5)</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10.4*</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Form of Restricted Stock Agreement under the Company’s 2004 Omnibus Stock Plan.(6)</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10.5*</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Form of Restricted Stock Agreement (Directors) under the Company’s 2004 Omnibus Stock Plan.(7)</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10.6*</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Form of Non-Statutory Stock Option Agreement under the Company’s 2004 Omnibus Stock Plan.(8)</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10.7*</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w w:val="94"/>
              </w:rPr>
              <w:t>Form of Performance-Based Restricted Stock Unit Award Notice and Restricted Stock Agreement under the Company’s</w:t>
            </w:r>
          </w:p>
        </w:tc>
        <w:tc>
          <w:tcPr>
            <w:tcW w:w="2100" w:type="dxa"/>
            <w:vAlign w:val="bottom"/>
          </w:tcPr>
          <w:p>
            <w:pPr>
              <w:spacing w:after="0"/>
              <w:rPr>
                <w:sz w:val="13"/>
                <w:szCs w:val="13"/>
                <w:color w:val="auto"/>
              </w:rPr>
            </w:pPr>
          </w:p>
        </w:tc>
      </w:tr>
      <w:tr>
        <w:trPr>
          <w:trHeight w:val="158"/>
        </w:trPr>
        <w:tc>
          <w:tcPr>
            <w:tcW w:w="500" w:type="dxa"/>
            <w:vAlign w:val="bottom"/>
          </w:tcPr>
          <w:p>
            <w:pPr>
              <w:spacing w:after="0"/>
              <w:rPr>
                <w:sz w:val="13"/>
                <w:szCs w:val="13"/>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2004 Omnibus Stock Plan.(9)</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10.8*</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Hawkins, Inc. 2010 Omnibus Incentive Plan.(10)</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155"/>
              <w:spacing w:after="0"/>
              <w:rPr>
                <w:sz w:val="20"/>
                <w:szCs w:val="20"/>
                <w:color w:val="auto"/>
              </w:rPr>
            </w:pPr>
            <w:r>
              <w:rPr>
                <w:rFonts w:ascii="Arial" w:cs="Arial" w:eastAsia="Arial" w:hAnsi="Arial"/>
                <w:sz w:val="13"/>
                <w:szCs w:val="13"/>
                <w:color w:val="auto"/>
                <w:w w:val="85"/>
              </w:rPr>
              <w:t>10.9*</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w w:val="95"/>
              </w:rPr>
              <w:t>Form of Performance-Based Unit Award Notice and Restricted Stock Agreement under the Company’s 2010 Omnibus</w:t>
            </w:r>
          </w:p>
        </w:tc>
        <w:tc>
          <w:tcPr>
            <w:tcW w:w="2100" w:type="dxa"/>
            <w:vAlign w:val="bottom"/>
          </w:tcPr>
          <w:p>
            <w:pPr>
              <w:spacing w:after="0"/>
              <w:rPr>
                <w:sz w:val="13"/>
                <w:szCs w:val="13"/>
                <w:color w:val="auto"/>
              </w:rPr>
            </w:pPr>
          </w:p>
        </w:tc>
      </w:tr>
      <w:tr>
        <w:trPr>
          <w:trHeight w:val="158"/>
        </w:trPr>
        <w:tc>
          <w:tcPr>
            <w:tcW w:w="500" w:type="dxa"/>
            <w:vAlign w:val="bottom"/>
          </w:tcPr>
          <w:p>
            <w:pPr>
              <w:spacing w:after="0"/>
              <w:rPr>
                <w:sz w:val="13"/>
                <w:szCs w:val="13"/>
                <w:color w:val="auto"/>
              </w:rPr>
            </w:pP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Incentive Plan.(11)</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75"/>
              <w:spacing w:after="0"/>
              <w:rPr>
                <w:sz w:val="20"/>
                <w:szCs w:val="20"/>
                <w:color w:val="auto"/>
              </w:rPr>
            </w:pPr>
            <w:r>
              <w:rPr>
                <w:rFonts w:ascii="Arial" w:cs="Arial" w:eastAsia="Arial" w:hAnsi="Arial"/>
                <w:sz w:val="13"/>
                <w:szCs w:val="13"/>
                <w:color w:val="auto"/>
                <w:w w:val="90"/>
              </w:rPr>
              <w:t>10.10*</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Form of Restricted Stock Agreement under the Company’s 2010 Omnibus Incentive Plan.(12)</w:t>
            </w:r>
          </w:p>
        </w:tc>
        <w:tc>
          <w:tcPr>
            <w:tcW w:w="2100" w:type="dxa"/>
            <w:vAlign w:val="bottom"/>
          </w:tcPr>
          <w:p>
            <w:pPr>
              <w:ind w:left="200"/>
              <w:spacing w:after="0"/>
              <w:rPr>
                <w:sz w:val="20"/>
                <w:szCs w:val="20"/>
                <w:color w:val="auto"/>
              </w:rPr>
            </w:pPr>
            <w:r>
              <w:rPr>
                <w:rFonts w:ascii="Arial" w:cs="Arial" w:eastAsia="Arial" w:hAnsi="Arial"/>
                <w:sz w:val="13"/>
                <w:szCs w:val="13"/>
                <w:color w:val="auto"/>
              </w:rPr>
              <w:t>Incorporated by Reference</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w w:val="78"/>
              </w:rPr>
              <w:t>23.1</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Consent of Independent Registered Public Accounting Firm.</w:t>
            </w:r>
          </w:p>
        </w:tc>
        <w:tc>
          <w:tcPr>
            <w:tcW w:w="2100" w:type="dxa"/>
            <w:vAlign w:val="bottom"/>
          </w:tcPr>
          <w:p>
            <w:pPr>
              <w:ind w:left="200"/>
              <w:spacing w:after="0"/>
              <w:rPr>
                <w:sz w:val="20"/>
                <w:szCs w:val="20"/>
                <w:color w:val="auto"/>
              </w:rPr>
            </w:pPr>
            <w:r>
              <w:rPr>
                <w:rFonts w:ascii="Arial" w:cs="Arial" w:eastAsia="Arial" w:hAnsi="Arial"/>
                <w:sz w:val="13"/>
                <w:szCs w:val="13"/>
                <w:color w:val="auto"/>
              </w:rPr>
              <w:t>Filed Electronically</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w w:val="78"/>
              </w:rPr>
              <w:t>23.2</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Consent of Independent Registered Public Accounting Firm.</w:t>
            </w:r>
          </w:p>
        </w:tc>
        <w:tc>
          <w:tcPr>
            <w:tcW w:w="2100" w:type="dxa"/>
            <w:vAlign w:val="bottom"/>
          </w:tcPr>
          <w:p>
            <w:pPr>
              <w:ind w:left="200"/>
              <w:spacing w:after="0"/>
              <w:rPr>
                <w:sz w:val="20"/>
                <w:szCs w:val="20"/>
                <w:color w:val="auto"/>
              </w:rPr>
            </w:pPr>
            <w:r>
              <w:rPr>
                <w:rFonts w:ascii="Arial" w:cs="Arial" w:eastAsia="Arial" w:hAnsi="Arial"/>
                <w:sz w:val="13"/>
                <w:szCs w:val="13"/>
                <w:color w:val="auto"/>
              </w:rPr>
              <w:t>Filed Electronically</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w w:val="78"/>
              </w:rPr>
              <w:t>31.1</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Certification by Chief Executive Officer pursuant to Rule 13a-14(a) of the Exchange Act.</w:t>
            </w:r>
          </w:p>
        </w:tc>
        <w:tc>
          <w:tcPr>
            <w:tcW w:w="2100" w:type="dxa"/>
            <w:vAlign w:val="bottom"/>
          </w:tcPr>
          <w:p>
            <w:pPr>
              <w:ind w:left="200"/>
              <w:spacing w:after="0"/>
              <w:rPr>
                <w:sz w:val="20"/>
                <w:szCs w:val="20"/>
                <w:color w:val="auto"/>
              </w:rPr>
            </w:pPr>
            <w:r>
              <w:rPr>
                <w:rFonts w:ascii="Arial" w:cs="Arial" w:eastAsia="Arial" w:hAnsi="Arial"/>
                <w:sz w:val="13"/>
                <w:szCs w:val="13"/>
                <w:color w:val="auto"/>
              </w:rPr>
              <w:t>Filed Electronically</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w w:val="78"/>
              </w:rPr>
              <w:t>31.2</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Certification by Chief Financial Officer pursuant to Rule 13a-14(a) of the Exchange Act.</w:t>
            </w:r>
          </w:p>
        </w:tc>
        <w:tc>
          <w:tcPr>
            <w:tcW w:w="2100" w:type="dxa"/>
            <w:vAlign w:val="bottom"/>
          </w:tcPr>
          <w:p>
            <w:pPr>
              <w:ind w:left="200"/>
              <w:spacing w:after="0"/>
              <w:rPr>
                <w:sz w:val="20"/>
                <w:szCs w:val="20"/>
                <w:color w:val="auto"/>
              </w:rPr>
            </w:pPr>
            <w:r>
              <w:rPr>
                <w:rFonts w:ascii="Arial" w:cs="Arial" w:eastAsia="Arial" w:hAnsi="Arial"/>
                <w:sz w:val="13"/>
                <w:szCs w:val="13"/>
                <w:color w:val="auto"/>
              </w:rPr>
              <w:t>Filed Electronically</w:t>
            </w:r>
          </w:p>
        </w:tc>
      </w:tr>
      <w:tr>
        <w:trPr>
          <w:trHeight w:val="158"/>
        </w:trPr>
        <w:tc>
          <w:tcPr>
            <w:tcW w:w="500" w:type="dxa"/>
            <w:vAlign w:val="bottom"/>
          </w:tcPr>
          <w:p>
            <w:pPr>
              <w:jc w:val="right"/>
              <w:ind w:right="215"/>
              <w:spacing w:after="0"/>
              <w:rPr>
                <w:sz w:val="20"/>
                <w:szCs w:val="20"/>
                <w:color w:val="auto"/>
              </w:rPr>
            </w:pPr>
            <w:r>
              <w:rPr>
                <w:rFonts w:ascii="Arial" w:cs="Arial" w:eastAsia="Arial" w:hAnsi="Arial"/>
                <w:sz w:val="13"/>
                <w:szCs w:val="13"/>
                <w:color w:val="auto"/>
                <w:w w:val="78"/>
              </w:rPr>
              <w:t>32.1</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Section 1350 Certification by Chief Executive Officer.</w:t>
            </w:r>
          </w:p>
        </w:tc>
        <w:tc>
          <w:tcPr>
            <w:tcW w:w="2100" w:type="dxa"/>
            <w:vAlign w:val="bottom"/>
          </w:tcPr>
          <w:p>
            <w:pPr>
              <w:ind w:left="200"/>
              <w:spacing w:after="0"/>
              <w:rPr>
                <w:sz w:val="20"/>
                <w:szCs w:val="20"/>
                <w:color w:val="auto"/>
              </w:rPr>
            </w:pPr>
            <w:r>
              <w:rPr>
                <w:rFonts w:ascii="Arial" w:cs="Arial" w:eastAsia="Arial" w:hAnsi="Arial"/>
                <w:sz w:val="13"/>
                <w:szCs w:val="13"/>
                <w:color w:val="auto"/>
              </w:rPr>
              <w:t>Filed Electronically</w:t>
            </w:r>
          </w:p>
        </w:tc>
      </w:tr>
      <w:tr>
        <w:trPr>
          <w:trHeight w:val="165"/>
        </w:trPr>
        <w:tc>
          <w:tcPr>
            <w:tcW w:w="500" w:type="dxa"/>
            <w:vAlign w:val="bottom"/>
          </w:tcPr>
          <w:p>
            <w:pPr>
              <w:jc w:val="right"/>
              <w:ind w:right="215"/>
              <w:spacing w:after="0"/>
              <w:rPr>
                <w:sz w:val="20"/>
                <w:szCs w:val="20"/>
                <w:color w:val="auto"/>
              </w:rPr>
            </w:pPr>
            <w:r>
              <w:rPr>
                <w:rFonts w:ascii="Arial" w:cs="Arial" w:eastAsia="Arial" w:hAnsi="Arial"/>
                <w:sz w:val="13"/>
                <w:szCs w:val="13"/>
                <w:color w:val="auto"/>
                <w:w w:val="78"/>
              </w:rPr>
              <w:t>32.2</w:t>
            </w:r>
          </w:p>
        </w:tc>
        <w:tc>
          <w:tcPr>
            <w:tcW w:w="6640" w:type="dxa"/>
            <w:vAlign w:val="bottom"/>
            <w:gridSpan w:val="2"/>
          </w:tcPr>
          <w:p>
            <w:pPr>
              <w:ind w:left="120"/>
              <w:spacing w:after="0"/>
              <w:rPr>
                <w:sz w:val="20"/>
                <w:szCs w:val="20"/>
                <w:color w:val="auto"/>
              </w:rPr>
            </w:pPr>
            <w:r>
              <w:rPr>
                <w:rFonts w:ascii="Arial" w:cs="Arial" w:eastAsia="Arial" w:hAnsi="Arial"/>
                <w:sz w:val="13"/>
                <w:szCs w:val="13"/>
                <w:color w:val="auto"/>
              </w:rPr>
              <w:t>Section 1350 Certification by Chief Financial Officer.</w:t>
            </w:r>
          </w:p>
        </w:tc>
        <w:tc>
          <w:tcPr>
            <w:tcW w:w="2100" w:type="dxa"/>
            <w:vAlign w:val="bottom"/>
          </w:tcPr>
          <w:p>
            <w:pPr>
              <w:ind w:left="200"/>
              <w:spacing w:after="0"/>
              <w:rPr>
                <w:sz w:val="20"/>
                <w:szCs w:val="20"/>
                <w:color w:val="auto"/>
              </w:rPr>
            </w:pPr>
            <w:r>
              <w:rPr>
                <w:rFonts w:ascii="Arial" w:cs="Arial" w:eastAsia="Arial" w:hAnsi="Arial"/>
                <w:sz w:val="13"/>
                <w:szCs w:val="13"/>
                <w:color w:val="auto"/>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-2239645</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-2239645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1100" w:hanging="292"/>
        <w:spacing w:after="0"/>
        <w:tabs>
          <w:tab w:leader="none" w:pos="1100" w:val="left"/>
        </w:tabs>
        <w:numPr>
          <w:ilvl w:val="0"/>
          <w:numId w:val="6"/>
        </w:numPr>
        <w:rPr>
          <w:rFonts w:ascii="Arial" w:cs="Arial" w:eastAsia="Arial" w:hAnsi="Arial"/>
          <w:sz w:val="13"/>
          <w:szCs w:val="13"/>
          <w:color w:val="auto"/>
        </w:rPr>
      </w:pPr>
      <w:r>
        <w:rPr>
          <w:rFonts w:ascii="Arial" w:cs="Arial" w:eastAsia="Arial" w:hAnsi="Arial"/>
          <w:sz w:val="13"/>
          <w:szCs w:val="13"/>
          <w:color w:val="auto"/>
        </w:rPr>
        <w:t>Management contract or compensation plan or arrangement required to be filed as an exhibit to this Annual Report on Form 10-K.</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Incorporated by reference to Exhibit 2.1 to the Company’s Current Report on Form 8-K dated January 10, 2011 and filed January 11, 2011</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Incorporated by reference to Exhibit 3.1 to the Company’s Annual Report on Form 10-K for the year ended September 30, 2001.</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Incorporated by reference to Exhibit 3.1 to the Company’s Current Report on Form 8-K dated October 28, 2009 and filed November 3, 2009.</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Incorporated by reference to Item 1.01 of the Company’s Current Report on Form 8-K dated August 5, 2009 and filed August 11, 2009.</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Incorporated by reference to Appendix B to the Company’s Proxy Statement for the 2004 Annual Meeting of Shareholders filed July 23, 2004.</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60"/>
          </w:cols>
          <w:pgMar w:left="220" w:top="345" w:right="11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100" w:hanging="260"/>
        <w:spacing w:after="0"/>
        <w:tabs>
          <w:tab w:leader="none" w:pos="110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Incorporated by reference to Exhibit 10.2 to the Company’s Quarterly Report on Form 10-Q for the quarterly period ended September 30, 2004 and filed November 9, 2004.</w:t>
      </w:r>
    </w:p>
    <w:p>
      <w:pPr>
        <w:spacing w:after="0" w:line="71" w:lineRule="exact"/>
        <w:rPr>
          <w:rFonts w:ascii="Arial" w:cs="Arial" w:eastAsia="Arial" w:hAnsi="Arial"/>
          <w:sz w:val="11"/>
          <w:szCs w:val="11"/>
          <w:color w:val="auto"/>
        </w:rPr>
      </w:pPr>
    </w:p>
    <w:p>
      <w:pPr>
        <w:ind w:left="1100" w:hanging="260"/>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Incorporated by reference to Exhibit 10.1 to the Company’s Quarterly Report on Form 10-Q for the quarterly period ended September 30, 2008.</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Incorporated by reference to Exhibit 10.1 to the Company’s Quarterly Report on Form 10-Q for the quarterly period ended June 30, 2008.</w:t>
      </w:r>
    </w:p>
    <w:p>
      <w:pPr>
        <w:spacing w:after="0" w:line="48" w:lineRule="exact"/>
        <w:rPr>
          <w:rFonts w:ascii="Arial" w:cs="Arial" w:eastAsia="Arial" w:hAnsi="Arial"/>
          <w:sz w:val="13"/>
          <w:szCs w:val="13"/>
          <w:color w:val="auto"/>
        </w:rPr>
      </w:pPr>
    </w:p>
    <w:p>
      <w:pPr>
        <w:ind w:left="1100" w:hanging="260"/>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Incorporated by reference to Exhibit 10.2 to the Company’s Quarterly Report on Form 10-Q for the quarterly period ended June 30, 2008.</w:t>
      </w:r>
    </w:p>
    <w:p>
      <w:pPr>
        <w:spacing w:after="0" w:line="48" w:lineRule="exact"/>
        <w:rPr>
          <w:rFonts w:ascii="Arial" w:cs="Arial" w:eastAsia="Arial" w:hAnsi="Arial"/>
          <w:sz w:val="13"/>
          <w:szCs w:val="13"/>
          <w:color w:val="auto"/>
        </w:rPr>
      </w:pPr>
    </w:p>
    <w:p>
      <w:pPr>
        <w:ind w:left="1100" w:hanging="326"/>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Incorporated by reference to Exhibit 10.1 to the Company’s Registration Statement on Form S-8 filed June 6, 2011 (file no. 333-174735).</w:t>
      </w:r>
    </w:p>
    <w:p>
      <w:pPr>
        <w:spacing w:after="0" w:line="48" w:lineRule="exact"/>
        <w:rPr>
          <w:rFonts w:ascii="Arial" w:cs="Arial" w:eastAsia="Arial" w:hAnsi="Arial"/>
          <w:sz w:val="13"/>
          <w:szCs w:val="13"/>
          <w:color w:val="auto"/>
        </w:rPr>
      </w:pPr>
    </w:p>
    <w:p>
      <w:pPr>
        <w:ind w:left="1100" w:hanging="321"/>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Incorporated by reference to Exhibit 10.1 to the Company’s Quarterly Report on Form 10-Q for the quarterly period ended June 30, 2010.</w:t>
      </w:r>
    </w:p>
    <w:p>
      <w:pPr>
        <w:spacing w:after="0" w:line="48" w:lineRule="exact"/>
        <w:rPr>
          <w:rFonts w:ascii="Arial" w:cs="Arial" w:eastAsia="Arial" w:hAnsi="Arial"/>
          <w:sz w:val="13"/>
          <w:szCs w:val="13"/>
          <w:color w:val="auto"/>
        </w:rPr>
      </w:pPr>
    </w:p>
    <w:p>
      <w:pPr>
        <w:ind w:left="1100" w:hanging="326"/>
        <w:spacing w:after="0"/>
        <w:tabs>
          <w:tab w:leader="none" w:pos="11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Incorporated by reference to Exhibit 10.2 to the Company’s Quarterly Report on Form 10-Q for the quarterly period ended June 30, 2010.</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0239"/>
          </w:cols>
          <w:pgMar w:left="220" w:top="345"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23.1</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Hawkins, Inc.:</w:t>
      </w:r>
    </w:p>
    <w:p>
      <w:pPr>
        <w:spacing w:after="0" w:line="88" w:lineRule="exact"/>
        <w:rPr>
          <w:sz w:val="20"/>
          <w:szCs w:val="20"/>
          <w:color w:val="auto"/>
        </w:rPr>
      </w:pPr>
    </w:p>
    <w:p>
      <w:pPr>
        <w:ind w:right="120"/>
        <w:spacing w:after="0" w:line="260" w:lineRule="auto"/>
        <w:rPr>
          <w:sz w:val="20"/>
          <w:szCs w:val="20"/>
          <w:color w:val="auto"/>
        </w:rPr>
      </w:pPr>
      <w:r>
        <w:rPr>
          <w:rFonts w:ascii="Arial" w:cs="Arial" w:eastAsia="Arial" w:hAnsi="Arial"/>
          <w:sz w:val="13"/>
          <w:szCs w:val="13"/>
          <w:color w:val="auto"/>
        </w:rPr>
        <w:t>We consent to the incorporation by reference in the registration statements No. 333-87582 on Form S-8 relating to the Hawkins, Inc. Employee Stock Purchase Plan, as Amended and Restated, No 333-172761 on Form S-8 relating to the Hawkins, Inc. Employee Stock Purchase Plan, 333-123080 on Form S-8 relating to the Hawkins, Inc. 2004 Omnibus Stock Plan, and 333-174735 on Form S-8 relating to the Hawkins, Inc. 2010 Omnibus Incentive Plan of our reports dated June 9, 2011, with respect to the balance sheets of Hawkins, Inc. as of April 3, 2011 and March 28, 2010, the related statements of income, shareholders’ equity, and cash flows for each of the years in the two-year period ended April 3, 2011, the related financial statement schedule, and the effectiveness of internal control over financial reporting as of April 3, 2011, which report appears in the April 3, 2011 annual report on Form 10-K of Hawkins, Inc.</w:t>
      </w:r>
    </w:p>
    <w:p>
      <w:pPr>
        <w:spacing w:after="0" w:line="60" w:lineRule="exact"/>
        <w:rPr>
          <w:sz w:val="20"/>
          <w:szCs w:val="20"/>
          <w:color w:val="auto"/>
        </w:rPr>
      </w:pPr>
    </w:p>
    <w:p>
      <w:pPr>
        <w:jc w:val="both"/>
        <w:ind w:right="240"/>
        <w:spacing w:after="0" w:line="266" w:lineRule="auto"/>
        <w:rPr>
          <w:sz w:val="20"/>
          <w:szCs w:val="20"/>
          <w:color w:val="auto"/>
        </w:rPr>
      </w:pPr>
      <w:r>
        <w:rPr>
          <w:rFonts w:ascii="Arial" w:cs="Arial" w:eastAsia="Arial" w:hAnsi="Arial"/>
          <w:sz w:val="13"/>
          <w:szCs w:val="13"/>
          <w:color w:val="auto"/>
        </w:rPr>
        <w:t>Our report dated June 9, 2011 on the effectiveness of internal control over financial reporting as of April 3, 2011, contains an explanatory paragraph stating that the Company acquired Vertex Chemical Corporation (“Vertex”) during fiscal year 2011 and that management excluded Vertex from its assessment of the effectiveness of the Company’s internal control over financial reporting as of April 3, 2011. Our audit of internal control over financial reporting for the Company also excluded an evaluation of the internal control over financial reporting of Vertex.</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June 9, 2011</w:t>
      </w:r>
    </w:p>
    <w:p>
      <w:pPr>
        <w:sectPr>
          <w:pgSz w:w="11900" w:h="16838" w:orient="portrait"/>
          <w:cols w:equalWidth="0" w:num="1">
            <w:col w:w="11460"/>
          </w:cols>
          <w:pgMar w:left="220" w:top="127"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b w:val="1"/>
          <w:bCs w:val="1"/>
          <w:color w:val="auto"/>
        </w:rPr>
        <w:t>EXHIBIT 23.2</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2" w:lineRule="exact"/>
        <w:rPr>
          <w:sz w:val="20"/>
          <w:szCs w:val="20"/>
          <w:color w:val="auto"/>
        </w:rPr>
      </w:pPr>
    </w:p>
    <w:p>
      <w:pPr>
        <w:ind w:right="180"/>
        <w:spacing w:after="0" w:line="279" w:lineRule="auto"/>
        <w:rPr>
          <w:sz w:val="20"/>
          <w:szCs w:val="20"/>
          <w:color w:val="auto"/>
        </w:rPr>
      </w:pPr>
      <w:r>
        <w:rPr>
          <w:rFonts w:ascii="Arial" w:cs="Arial" w:eastAsia="Arial" w:hAnsi="Arial"/>
          <w:sz w:val="13"/>
          <w:szCs w:val="13"/>
          <w:color w:val="auto"/>
        </w:rPr>
        <w:t>We consent to the incorporation by reference in Registration Statements No. 333-87582, 333-123080, 333-172761 and 333-174735 on Form S-8 of our reports dated June 5, 2009, relating to the financial statements and financial statement schedule of Hawkins, Inc., appearing in this Annual Report on Form 10-K of Hawkins, Inc. for the year ended April 3, 2011.</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June 9, 2011</w:t>
      </w:r>
    </w:p>
    <w:p>
      <w:pPr>
        <w:sectPr>
          <w:pgSz w:w="11900" w:h="16838" w:orient="portrait"/>
          <w:cols w:equalWidth="0" w:num="1">
            <w:col w:w="11460"/>
          </w:cols>
          <w:pgMar w:left="220" w:top="127" w:right="21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I, Patrick H. Hawkins, certify that:</w:t>
      </w:r>
    </w:p>
    <w:p>
      <w:pPr>
        <w:spacing w:after="0" w:line="8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Hawkins, Inc.;</w:t>
      </w:r>
    </w:p>
    <w:p>
      <w:pPr>
        <w:spacing w:after="0" w:line="97" w:lineRule="exact"/>
        <w:rPr>
          <w:rFonts w:ascii="Arial" w:cs="Arial" w:eastAsia="Arial" w:hAnsi="Arial"/>
          <w:sz w:val="13"/>
          <w:szCs w:val="13"/>
          <w:color w:val="auto"/>
        </w:rPr>
      </w:pPr>
    </w:p>
    <w:p>
      <w:pPr>
        <w:ind w:left="900" w:right="100" w:hanging="446"/>
        <w:spacing w:after="0" w:line="279" w:lineRule="auto"/>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Arial" w:cs="Arial" w:eastAsia="Arial" w:hAnsi="Arial"/>
          <w:sz w:val="13"/>
          <w:szCs w:val="13"/>
          <w:color w:val="auto"/>
        </w:rPr>
      </w:pPr>
    </w:p>
    <w:p>
      <w:pPr>
        <w:ind w:left="900" w:right="220" w:hanging="446"/>
        <w:spacing w:after="0" w:line="279" w:lineRule="auto"/>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3"/>
          <w:szCs w:val="13"/>
          <w:color w:val="auto"/>
        </w:rPr>
      </w:pPr>
    </w:p>
    <w:p>
      <w:pPr>
        <w:ind w:left="900" w:right="340" w:hanging="446"/>
        <w:spacing w:after="0" w:line="279" w:lineRule="auto"/>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7" w:lineRule="exact"/>
        <w:rPr>
          <w:rFonts w:ascii="Arial" w:cs="Arial" w:eastAsia="Arial" w:hAnsi="Arial"/>
          <w:sz w:val="13"/>
          <w:szCs w:val="13"/>
          <w:color w:val="auto"/>
        </w:rPr>
      </w:pPr>
    </w:p>
    <w:p>
      <w:pPr>
        <w:ind w:left="1360" w:right="160" w:hanging="451"/>
        <w:spacing w:after="0" w:line="322" w:lineRule="auto"/>
        <w:tabs>
          <w:tab w:leader="none" w:pos="1360"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20" w:hanging="451"/>
        <w:spacing w:after="0" w:line="322" w:lineRule="auto"/>
        <w:tabs>
          <w:tab w:leader="none" w:pos="1360"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80" w:hanging="451"/>
        <w:spacing w:after="0" w:line="279" w:lineRule="auto"/>
        <w:tabs>
          <w:tab w:leader="none" w:pos="1360" w:val="left"/>
        </w:tabs>
        <w:numPr>
          <w:ilvl w:val="1"/>
          <w:numId w:val="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Arial" w:cs="Arial" w:eastAsia="Arial" w:hAnsi="Arial"/>
          <w:sz w:val="13"/>
          <w:szCs w:val="13"/>
          <w:color w:val="auto"/>
        </w:rPr>
      </w:pPr>
    </w:p>
    <w:p>
      <w:pPr>
        <w:ind w:left="1360" w:hanging="451"/>
        <w:spacing w:after="0" w:line="322" w:lineRule="auto"/>
        <w:tabs>
          <w:tab w:leader="none" w:pos="1360"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5" w:lineRule="exact"/>
        <w:rPr>
          <w:rFonts w:ascii="Arial" w:cs="Arial" w:eastAsia="Arial" w:hAnsi="Arial"/>
          <w:sz w:val="12"/>
          <w:szCs w:val="12"/>
          <w:color w:val="auto"/>
        </w:rPr>
      </w:pPr>
    </w:p>
    <w:p>
      <w:pPr>
        <w:ind w:left="900" w:right="100" w:hanging="446"/>
        <w:spacing w:after="0" w:line="279" w:lineRule="auto"/>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3"/>
          <w:szCs w:val="13"/>
          <w:color w:val="auto"/>
        </w:rPr>
      </w:pPr>
    </w:p>
    <w:p>
      <w:pPr>
        <w:ind w:left="1360" w:right="80" w:hanging="451"/>
        <w:spacing w:after="0" w:line="279" w:lineRule="auto"/>
        <w:tabs>
          <w:tab w:leader="none" w:pos="1360" w:val="left"/>
        </w:tabs>
        <w:numPr>
          <w:ilvl w:val="1"/>
          <w:numId w:val="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3"/>
          <w:szCs w:val="13"/>
          <w:color w:val="auto"/>
        </w:rPr>
      </w:pPr>
    </w:p>
    <w:p>
      <w:pPr>
        <w:ind w:left="1360" w:hanging="451"/>
        <w:spacing w:after="0"/>
        <w:tabs>
          <w:tab w:leader="none" w:pos="1360" w:val="left"/>
        </w:tabs>
        <w:numPr>
          <w:ilvl w:val="1"/>
          <w:numId w:val="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Date: June 9, 2011</w:t>
      </w:r>
    </w:p>
    <w:p>
      <w:pPr>
        <w:spacing w:after="0" w:line="16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300736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07360" cy="6350"/>
                    </a:xfrm>
                    <a:prstGeom prst="rect">
                      <a:avLst/>
                    </a:prstGeom>
                    <a:noFill/>
                  </pic:spPr>
                </pic:pic>
              </a:graphicData>
            </a:graphic>
          </wp:anchor>
        </w:drawing>
      </w:r>
    </w:p>
    <w:p>
      <w:pPr>
        <w:spacing w:after="0" w:line="8" w:lineRule="exact"/>
        <w:rPr>
          <w:sz w:val="20"/>
          <w:szCs w:val="20"/>
          <w:color w:val="auto"/>
        </w:rPr>
      </w:pPr>
    </w:p>
    <w:p>
      <w:pPr>
        <w:ind w:left="6760"/>
        <w:spacing w:after="0"/>
        <w:rPr>
          <w:sz w:val="20"/>
          <w:szCs w:val="20"/>
          <w:color w:val="auto"/>
        </w:rPr>
      </w:pPr>
      <w:r>
        <w:rPr>
          <w:rFonts w:ascii="Arial" w:cs="Arial" w:eastAsia="Arial" w:hAnsi="Arial"/>
          <w:sz w:val="13"/>
          <w:szCs w:val="13"/>
          <w:color w:val="auto"/>
        </w:rPr>
        <w:t>Patrick H. Hawkins</w:t>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Chief Executive Officer and President</w:t>
      </w:r>
    </w:p>
    <w:p>
      <w:pPr>
        <w:sectPr>
          <w:pgSz w:w="11900" w:h="16838" w:orient="portrait"/>
          <w:cols w:equalWidth="0" w:num="1">
            <w:col w:w="11460"/>
          </w:cols>
          <w:pgMar w:left="220" w:top="127"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I, Kathleen P. Pepski, certify that:</w:t>
      </w:r>
    </w:p>
    <w:p>
      <w:pPr>
        <w:spacing w:after="0" w:line="88"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Hawkins, Inc.;</w:t>
      </w:r>
    </w:p>
    <w:p>
      <w:pPr>
        <w:spacing w:after="0" w:line="97" w:lineRule="exact"/>
        <w:rPr>
          <w:rFonts w:ascii="Arial" w:cs="Arial" w:eastAsia="Arial" w:hAnsi="Arial"/>
          <w:sz w:val="13"/>
          <w:szCs w:val="13"/>
          <w:color w:val="auto"/>
        </w:rPr>
      </w:pPr>
    </w:p>
    <w:p>
      <w:pPr>
        <w:ind w:left="900" w:right="100" w:hanging="446"/>
        <w:spacing w:after="0" w:line="279" w:lineRule="auto"/>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Arial" w:cs="Arial" w:eastAsia="Arial" w:hAnsi="Arial"/>
          <w:sz w:val="13"/>
          <w:szCs w:val="13"/>
          <w:color w:val="auto"/>
        </w:rPr>
      </w:pPr>
    </w:p>
    <w:p>
      <w:pPr>
        <w:ind w:left="900" w:right="220" w:hanging="446"/>
        <w:spacing w:after="0" w:line="279" w:lineRule="auto"/>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3"/>
          <w:szCs w:val="13"/>
          <w:color w:val="auto"/>
        </w:rPr>
      </w:pPr>
    </w:p>
    <w:p>
      <w:pPr>
        <w:ind w:left="900" w:right="340" w:hanging="446"/>
        <w:spacing w:after="0" w:line="279" w:lineRule="auto"/>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7" w:lineRule="exact"/>
        <w:rPr>
          <w:rFonts w:ascii="Arial" w:cs="Arial" w:eastAsia="Arial" w:hAnsi="Arial"/>
          <w:sz w:val="13"/>
          <w:szCs w:val="13"/>
          <w:color w:val="auto"/>
        </w:rPr>
      </w:pPr>
    </w:p>
    <w:p>
      <w:pPr>
        <w:ind w:left="1360" w:right="160" w:hanging="451"/>
        <w:spacing w:after="0" w:line="322" w:lineRule="auto"/>
        <w:tabs>
          <w:tab w:leader="none" w:pos="1360" w:val="left"/>
        </w:tabs>
        <w:numPr>
          <w:ilvl w:val="1"/>
          <w:numId w:val="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360" w:right="20" w:hanging="451"/>
        <w:spacing w:after="0" w:line="322" w:lineRule="auto"/>
        <w:tabs>
          <w:tab w:leader="none" w:pos="1360" w:val="left"/>
        </w:tabs>
        <w:numPr>
          <w:ilvl w:val="1"/>
          <w:numId w:val="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360" w:right="80" w:hanging="451"/>
        <w:spacing w:after="0" w:line="279" w:lineRule="auto"/>
        <w:tabs>
          <w:tab w:leader="none" w:pos="1360" w:val="left"/>
        </w:tabs>
        <w:numPr>
          <w:ilvl w:val="1"/>
          <w:numId w:val="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Arial" w:cs="Arial" w:eastAsia="Arial" w:hAnsi="Arial"/>
          <w:sz w:val="13"/>
          <w:szCs w:val="13"/>
          <w:color w:val="auto"/>
        </w:rPr>
      </w:pPr>
    </w:p>
    <w:p>
      <w:pPr>
        <w:ind w:left="1360" w:hanging="451"/>
        <w:spacing w:after="0" w:line="322" w:lineRule="auto"/>
        <w:tabs>
          <w:tab w:leader="none" w:pos="1360" w:val="left"/>
        </w:tabs>
        <w:numPr>
          <w:ilvl w:val="1"/>
          <w:numId w:val="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5" w:lineRule="exact"/>
        <w:rPr>
          <w:rFonts w:ascii="Arial" w:cs="Arial" w:eastAsia="Arial" w:hAnsi="Arial"/>
          <w:sz w:val="12"/>
          <w:szCs w:val="12"/>
          <w:color w:val="auto"/>
        </w:rPr>
      </w:pPr>
    </w:p>
    <w:p>
      <w:pPr>
        <w:ind w:left="900" w:right="100" w:hanging="446"/>
        <w:spacing w:after="0" w:line="279" w:lineRule="auto"/>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3"/>
          <w:szCs w:val="13"/>
          <w:color w:val="auto"/>
        </w:rPr>
      </w:pPr>
    </w:p>
    <w:p>
      <w:pPr>
        <w:ind w:left="1360" w:right="80" w:hanging="451"/>
        <w:spacing w:after="0" w:line="279" w:lineRule="auto"/>
        <w:tabs>
          <w:tab w:leader="none" w:pos="1360" w:val="left"/>
        </w:tabs>
        <w:numPr>
          <w:ilvl w:val="1"/>
          <w:numId w:val="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3"/>
          <w:szCs w:val="13"/>
          <w:color w:val="auto"/>
        </w:rPr>
      </w:pPr>
    </w:p>
    <w:p>
      <w:pPr>
        <w:ind w:left="1360" w:hanging="451"/>
        <w:spacing w:after="0"/>
        <w:tabs>
          <w:tab w:leader="none" w:pos="1360" w:val="left"/>
        </w:tabs>
        <w:numPr>
          <w:ilvl w:val="1"/>
          <w:numId w:val="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Date: June 9, 2011</w:t>
      </w:r>
    </w:p>
    <w:p>
      <w:pPr>
        <w:spacing w:after="0" w:line="16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300736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07360" cy="6350"/>
                    </a:xfrm>
                    <a:prstGeom prst="rect">
                      <a:avLst/>
                    </a:prstGeom>
                    <a:noFill/>
                  </pic:spPr>
                </pic:pic>
              </a:graphicData>
            </a:graphic>
          </wp:anchor>
        </w:drawing>
      </w:r>
    </w:p>
    <w:p>
      <w:pPr>
        <w:spacing w:after="0" w:line="8" w:lineRule="exact"/>
        <w:rPr>
          <w:sz w:val="20"/>
          <w:szCs w:val="20"/>
          <w:color w:val="auto"/>
        </w:rPr>
      </w:pPr>
    </w:p>
    <w:p>
      <w:pPr>
        <w:ind w:left="6760"/>
        <w:spacing w:after="0"/>
        <w:rPr>
          <w:sz w:val="20"/>
          <w:szCs w:val="20"/>
          <w:color w:val="auto"/>
        </w:rPr>
      </w:pPr>
      <w:r>
        <w:rPr>
          <w:rFonts w:ascii="Arial" w:cs="Arial" w:eastAsia="Arial" w:hAnsi="Arial"/>
          <w:sz w:val="13"/>
          <w:szCs w:val="13"/>
          <w:color w:val="auto"/>
        </w:rPr>
        <w:t>Kathleen P. Pepski</w:t>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Vice President, Chief Financial Officer, and Treasurer</w:t>
      </w:r>
    </w:p>
    <w:p>
      <w:pPr>
        <w:sectPr>
          <w:pgSz w:w="11900" w:h="16838" w:orient="portrait"/>
          <w:cols w:equalWidth="0" w:num="1">
            <w:col w:w="11460"/>
          </w:cols>
          <w:pgMar w:left="220" w:top="127" w:right="21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380"/>
        <w:spacing w:after="0" w:line="322" w:lineRule="auto"/>
        <w:rPr>
          <w:sz w:val="20"/>
          <w:szCs w:val="20"/>
          <w:color w:val="auto"/>
        </w:rPr>
      </w:pPr>
      <w:r>
        <w:rPr>
          <w:rFonts w:ascii="Arial" w:cs="Arial" w:eastAsia="Arial" w:hAnsi="Arial"/>
          <w:sz w:val="12"/>
          <w:szCs w:val="12"/>
          <w:color w:val="auto"/>
        </w:rPr>
        <w:t>In connection with the Annual Report of Hawkins, Inc. (the Company) on Form 10-K for the period ended April 3, 2011,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25" w:lineRule="exact"/>
        <w:rPr>
          <w:sz w:val="20"/>
          <w:szCs w:val="20"/>
          <w:color w:val="auto"/>
        </w:rPr>
      </w:pPr>
    </w:p>
    <w:p>
      <w:pPr>
        <w:ind w:left="340" w:hanging="176"/>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7" w:lineRule="exact"/>
        <w:rPr>
          <w:rFonts w:ascii="Arial" w:cs="Arial" w:eastAsia="Arial" w:hAnsi="Arial"/>
          <w:sz w:val="13"/>
          <w:szCs w:val="13"/>
          <w:color w:val="auto"/>
        </w:rPr>
      </w:pPr>
    </w:p>
    <w:p>
      <w:pPr>
        <w:ind w:left="340" w:hanging="176"/>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4889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8890" cy="63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Patrick H. Hawkins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June 9, 2011</w:t>
      </w:r>
    </w:p>
    <w:p>
      <w:pPr>
        <w:sectPr>
          <w:pgSz w:w="11900" w:h="16838" w:orient="portrait"/>
          <w:cols w:equalWidth="0" w:num="1">
            <w:col w:w="11460"/>
          </w:cols>
          <w:pgMar w:left="220" w:top="127" w:right="219" w:bottom="1440" w:gutter="0" w:footer="0" w:header="0"/>
        </w:sectPr>
      </w:pPr>
    </w:p>
    <w:bookmarkStart w:id="57" w:name="page58"/>
    <w:bookmarkEnd w:id="57"/>
    <w:p>
      <w:pPr>
        <w:jc w:val="right"/>
        <w:spacing w:after="0"/>
        <w:rPr>
          <w:sz w:val="20"/>
          <w:szCs w:val="20"/>
          <w:color w:val="auto"/>
        </w:rPr>
      </w:pPr>
      <w:r>
        <w:rPr>
          <w:rFonts w:ascii="Arial" w:cs="Arial" w:eastAsia="Arial" w:hAnsi="Arial"/>
          <w:sz w:val="13"/>
          <w:szCs w:val="13"/>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380"/>
        <w:spacing w:after="0" w:line="279" w:lineRule="auto"/>
        <w:rPr>
          <w:sz w:val="20"/>
          <w:szCs w:val="20"/>
          <w:color w:val="auto"/>
        </w:rPr>
      </w:pPr>
      <w:r>
        <w:rPr>
          <w:rFonts w:ascii="Arial" w:cs="Arial" w:eastAsia="Arial" w:hAnsi="Arial"/>
          <w:sz w:val="13"/>
          <w:szCs w:val="13"/>
          <w:color w:val="auto"/>
        </w:rPr>
        <w:t>In connection with the Annual Report of Hawkins, Inc. (the Company) on Form 10-K for the period ended April 3, 2011,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8" w:lineRule="exact"/>
        <w:rPr>
          <w:sz w:val="20"/>
          <w:szCs w:val="20"/>
          <w:color w:val="auto"/>
        </w:rPr>
      </w:pPr>
    </w:p>
    <w:p>
      <w:pPr>
        <w:ind w:left="340" w:hanging="176"/>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7" w:lineRule="exact"/>
        <w:rPr>
          <w:rFonts w:ascii="Arial" w:cs="Arial" w:eastAsia="Arial" w:hAnsi="Arial"/>
          <w:sz w:val="13"/>
          <w:szCs w:val="13"/>
          <w:color w:val="auto"/>
        </w:rPr>
      </w:pPr>
    </w:p>
    <w:p>
      <w:pPr>
        <w:ind w:left="340" w:hanging="176"/>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4889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8890" cy="63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Kathleen P. Pepski</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June 9, 2011</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lvl w:ilvl="1">
      <w:lvlJc w:val="left"/>
      <w:lvlText w:val="(%2)"/>
      <w:numFmt w:val="decimal"/>
      <w:start w:val="1"/>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2019-12-10T00:14:03Z</dcterms:created>
  <dcterms:modified xsi:type="dcterms:W3CDTF">2019-12-10T00:14:03Z</dcterms:modified>
</cp:coreProperties>
</file>