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April 3, 2005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0-7647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5320" w:type="dxa"/>
            <w:vAlign w:val="bottom"/>
          </w:tcPr>
          <w:p>
            <w:pPr>
              <w:jc w:val="center"/>
              <w:ind w:right="1130"/>
              <w:spacing w:after="0"/>
              <w:rPr>
                <w:sz w:val="20"/>
                <w:szCs w:val="20"/>
                <w:color w:val="auto"/>
              </w:rPr>
            </w:pPr>
            <w:r>
              <w:rPr>
                <w:rFonts w:ascii="Arial" w:cs="Arial" w:eastAsia="Arial" w:hAnsi="Arial"/>
                <w:sz w:val="18"/>
                <w:szCs w:val="18"/>
                <w:b w:val="1"/>
                <w:bCs w:val="1"/>
                <w:color w:val="auto"/>
              </w:rPr>
              <w:t>MINNESOTA</w:t>
            </w:r>
          </w:p>
        </w:tc>
        <w:tc>
          <w:tcPr>
            <w:tcW w:w="3860" w:type="dxa"/>
            <w:vAlign w:val="bottom"/>
          </w:tcPr>
          <w:p>
            <w:pPr>
              <w:jc w:val="right"/>
              <w:ind w:right="79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(State of Incorporation)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3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860" w:type="dxa"/>
            <w:vAlign w:val="bottom"/>
          </w:tcPr>
          <w:p>
            <w:pPr>
              <w:jc w:val="right"/>
              <w:ind w:right="1010"/>
              <w:spacing w:after="0"/>
              <w:rPr>
                <w:sz w:val="20"/>
                <w:szCs w:val="20"/>
                <w:color w:val="auto"/>
              </w:rPr>
            </w:pPr>
            <w:r>
              <w:rPr>
                <w:rFonts w:ascii="Arial" w:cs="Arial" w:eastAsia="Arial" w:hAnsi="Arial"/>
                <w:sz w:val="18"/>
                <w:szCs w:val="18"/>
                <w:b w:val="1"/>
                <w:bCs w:val="1"/>
                <w:color w:val="auto"/>
              </w:rPr>
              <w:t>55413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COMMON STOCK, PAR VALUE $.05 PER SHARE</w:t>
      </w:r>
    </w:p>
    <w:p>
      <w:pPr>
        <w:spacing w:after="0" w:line="211"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8" w:lineRule="exact"/>
        <w:rPr>
          <w:sz w:val="24"/>
          <w:szCs w:val="24"/>
          <w:color w:val="auto"/>
        </w:rPr>
      </w:pPr>
    </w:p>
    <w:p>
      <w:pPr>
        <w:ind w:left="4020"/>
        <w:spacing w:after="0" w:line="207" w:lineRule="exact"/>
        <w:tabs>
          <w:tab w:leader="none" w:pos="4820" w:val="left"/>
          <w:tab w:leader="none" w:pos="556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6"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2004 (the last business day of the Registrant’s most recently completed second fiscal quarter) was $93,857,362 based upon the closing sale price for Hawkins, Inc.’s common stock on that date as reported by The Nasdaq Stock Market, excluding all shares held by officers and directors of the Registrant and by the Trustees of the Registrant’s Employee Stock Ownership Plan and Trust.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June 1, 2005, the Registrant had 10,257,341 shares of common stock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2005 Annual Meeting of Shareholders to be held August 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225"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4"/>
          <w:szCs w:val="24"/>
          <w:color w:val="auto"/>
        </w:rPr>
      </w:pPr>
    </w:p>
    <w:p>
      <w:pPr>
        <w:jc w:val="both"/>
        <w:ind w:right="80" w:firstLine="656"/>
        <w:spacing w:after="0" w:line="286" w:lineRule="auto"/>
        <w:tabs>
          <w:tab w:leader="none" w:pos="1307"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Hawkins, Inc. was incorporated in Minnesota in 1955 and has its principal executive offices at 3100 East Hennepin Avenue, Minneapolis, Minnesota. As used in this Annual Report on Form 10-K, except where otherwise stated or indicated by the content, “Hawkins,” “we,” “the Company,” “our,” or “the Registrant” means Hawkins, Inc. and its predecessors.</w:t>
      </w:r>
    </w:p>
    <w:p>
      <w:pPr>
        <w:spacing w:after="0" w:line="165" w:lineRule="exact"/>
        <w:rPr>
          <w:rFonts w:ascii="Arial" w:cs="Arial" w:eastAsia="Arial" w:hAnsi="Arial"/>
          <w:sz w:val="17"/>
          <w:szCs w:val="17"/>
          <w:color w:val="auto"/>
        </w:rPr>
      </w:pPr>
    </w:p>
    <w:p>
      <w:pPr>
        <w:ind w:right="320" w:firstLine="656"/>
        <w:spacing w:after="0" w:line="286" w:lineRule="auto"/>
        <w:tabs>
          <w:tab w:leader="none" w:pos="1304"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FINANCIAL INFORMATION ABOUT INDUSTRY SEGMENTS. The Company’s principal business is the formulation, blending and distribution of bulk and specialty chemicals, which it conducts in three principal segments: Water Treatment, Industrial and Pharmaceutical. Financial information regarding these segments is reported in the Company’s audited financial statements. See Items 7 and 8 below.</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ectPr>
          <w:pgSz w:w="11900" w:h="16838" w:orient="portrait"/>
          <w:cols w:equalWidth="0" w:num="1">
            <w:col w:w="11400"/>
          </w:cols>
          <w:pgMar w:left="240" w:top="585" w:right="259" w:bottom="154" w:gutter="0" w:footer="0" w:header="0"/>
        </w:sectPr>
      </w:pPr>
    </w:p>
    <w:bookmarkStart w:id="1" w:name="page2"/>
    <w:bookmarkEnd w:id="1"/>
    <w:p>
      <w:pPr>
        <w:ind w:right="620" w:firstLine="645"/>
        <w:spacing w:after="0" w:line="277" w:lineRule="auto"/>
        <w:tabs>
          <w:tab w:leader="none" w:pos="131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three segments, Water Treatment, Industrial and Pharmaceutical, which are more fully described below:</w:t>
      </w:r>
    </w:p>
    <w:p>
      <w:pPr>
        <w:spacing w:after="0" w:line="170" w:lineRule="exact"/>
        <w:rPr>
          <w:rFonts w:ascii="Arial" w:cs="Arial" w:eastAsia="Arial" w:hAnsi="Arial"/>
          <w:sz w:val="18"/>
          <w:szCs w:val="18"/>
          <w:color w:val="auto"/>
        </w:rPr>
      </w:pPr>
    </w:p>
    <w:p>
      <w:pPr>
        <w:ind w:left="640" w:firstLine="653"/>
        <w:spacing w:after="0" w:line="271" w:lineRule="auto"/>
        <w:tabs>
          <w:tab w:leader="none" w:pos="1943" w:val="left"/>
        </w:tabs>
        <w:numPr>
          <w:ilvl w:val="1"/>
          <w:numId w:val="2"/>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equipment, chemicals and solutions to problems for potable water, municipal and industrial wastewater, industrial process water and non-residential swimming pool water. The Water Treatment Group has warehouses in twelve cities and utilizes a Driver/Technician/Salesperson approach in supplying products and service to customers in Minnesota, Wisconsin, Iowa, North Dakota, South Dakota, Nebraska, Illinois, Michigan, Montana, Kansas and Wyoming. In December 2000, operations in the Minneapolis/St. Paul area relocated to a new 59,000 square-foot facility, “the Red Rock facility.” The Red Rock facility, located on the Mississippi River in St. Paul, Minnesota, has improved operational efficiencies, as the Water Treatment operations are now located at the facility where several key products are produced and the consolidated warehouse space has reduced the amount of time required to load trucks between deliveries.</w:t>
      </w:r>
    </w:p>
    <w:p>
      <w:pPr>
        <w:spacing w:after="0" w:line="178" w:lineRule="exact"/>
        <w:rPr>
          <w:rFonts w:ascii="Arial" w:cs="Arial" w:eastAsia="Arial" w:hAnsi="Arial"/>
          <w:sz w:val="17"/>
          <w:szCs w:val="17"/>
          <w:color w:val="auto"/>
        </w:rPr>
      </w:pPr>
    </w:p>
    <w:p>
      <w:pPr>
        <w:ind w:left="640" w:right="40" w:firstLine="653"/>
        <w:spacing w:after="0" w:line="255"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manufactures and sells certain food grade products, including the Cheese-Phos® liquid phosphate product (discussed more fully in paragraph (iv) below) and other blended products, none of which are material to the Company. This segment conducts its business primarily through distribution centers and terminal operations.</w:t>
      </w:r>
    </w:p>
    <w:p>
      <w:pPr>
        <w:spacing w:after="0" w:line="193" w:lineRule="exact"/>
        <w:rPr>
          <w:sz w:val="20"/>
          <w:szCs w:val="20"/>
          <w:color w:val="auto"/>
        </w:rPr>
      </w:pPr>
    </w:p>
    <w:p>
      <w:pPr>
        <w:ind w:left="640" w:firstLine="648"/>
        <w:spacing w:after="0" w:line="269"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potassium hydroxide and aqua ammonia; manufactures sodium hypochlorite (bleach) and agricultural products; repackages water treatment chemicals;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Pursuant to operating agreements it has with other chemical companies, the Company receives and stores liquid caustic soda and other chemicals at its two terminal sites, Hawkins Terminal 1 and Terminal 2. Terminal 1 and Terminal 2 are located on opposite sides of the Mississippi River in St. Paul, Minnesota.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most recent flooding in 2001.</w:t>
      </w:r>
    </w:p>
    <w:p>
      <w:pPr>
        <w:spacing w:after="0" w:line="183" w:lineRule="exact"/>
        <w:rPr>
          <w:sz w:val="20"/>
          <w:szCs w:val="20"/>
          <w:color w:val="auto"/>
        </w:rPr>
      </w:pPr>
    </w:p>
    <w:p>
      <w:pPr>
        <w:ind w:left="640" w:right="20" w:firstLine="648"/>
        <w:spacing w:after="0" w:line="255" w:lineRule="auto"/>
        <w:rPr>
          <w:sz w:val="20"/>
          <w:szCs w:val="20"/>
          <w:color w:val="auto"/>
        </w:rPr>
      </w:pPr>
      <w:r>
        <w:rPr>
          <w:rFonts w:ascii="Arial" w:cs="Arial" w:eastAsia="Arial" w:hAnsi="Arial"/>
          <w:sz w:val="18"/>
          <w:szCs w:val="18"/>
          <w:color w:val="auto"/>
        </w:rPr>
        <w:t>The Industrial segment also includes a manufacturing, blending and sales distribution center for industrial chemicals, food grade chemicals, high-purity electronic chemicals and laboratory chemicals and supplies. Bulk industrial chemicals are generally repackaged and sold in smaller quantities to the Company’s customers. Sales are concentrated primarily in Wisconsin, Minnesota, northern Iowa, and North and South Dakota. The principal products are acids and alkalis and industrial and food grade salts. The Industrial segment also specializes in sales to the plating and electronic industries, relying on a specially trained sales staff that works directly with customers on their surface finishing needs.</w:t>
      </w:r>
    </w:p>
    <w:p>
      <w:pPr>
        <w:spacing w:after="0" w:line="193" w:lineRule="exact"/>
        <w:rPr>
          <w:sz w:val="20"/>
          <w:szCs w:val="20"/>
          <w:color w:val="auto"/>
        </w:rPr>
      </w:pPr>
    </w:p>
    <w:p>
      <w:pPr>
        <w:ind w:left="640" w:right="220" w:firstLine="653"/>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PHARMACEUTICAL. The Pharmaceutical segment specializes in providing pharmaceutical chemicals to pharmacies and small-scale pharmaceutical manufacturers. On May 26, 2000, the Company completed</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right="520"/>
        <w:spacing w:after="0" w:line="279" w:lineRule="auto"/>
        <w:rPr>
          <w:sz w:val="20"/>
          <w:szCs w:val="20"/>
          <w:color w:val="auto"/>
        </w:rPr>
      </w:pPr>
      <w:r>
        <w:rPr>
          <w:rFonts w:ascii="Arial" w:cs="Arial" w:eastAsia="Arial" w:hAnsi="Arial"/>
          <w:sz w:val="17"/>
          <w:szCs w:val="17"/>
          <w:color w:val="auto"/>
        </w:rPr>
        <w:t>the acquisition of certain assets of St. Mary’s Chemicals, Inc. d.b.a. Universal Chemicals. Universal Chemicals, a Minnesota-based company, was engaged in the business of marketing, selling, and distributing pharmaceutical chemicals to pharmacies and pharmacy wholesalers. This segment conducts the majority of its business through one warehouse located at the principal executive site. The Pharmaceutical segment’s sales are primarily focused throughout the United States.</w:t>
      </w:r>
    </w:p>
    <w:p>
      <w:pPr>
        <w:spacing w:after="0" w:line="171" w:lineRule="exact"/>
        <w:rPr>
          <w:sz w:val="20"/>
          <w:szCs w:val="20"/>
          <w:color w:val="auto"/>
        </w:rPr>
      </w:pPr>
    </w:p>
    <w:p>
      <w:pPr>
        <w:ind w:left="1320" w:hanging="675"/>
        <w:spacing w:after="0"/>
        <w:tabs>
          <w:tab w:leader="none" w:pos="1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PRODUCTS. The Company did not have any significant new products during the fiscal year ended April 3, 2005.</w:t>
      </w:r>
    </w:p>
    <w:p>
      <w:pPr>
        <w:spacing w:after="0" w:line="236" w:lineRule="exact"/>
        <w:rPr>
          <w:rFonts w:ascii="Arial" w:cs="Arial" w:eastAsia="Arial" w:hAnsi="Arial"/>
          <w:sz w:val="17"/>
          <w:szCs w:val="17"/>
          <w:color w:val="auto"/>
        </w:rPr>
      </w:pPr>
    </w:p>
    <w:p>
      <w:pPr>
        <w:ind w:right="280" w:firstLine="645"/>
        <w:spacing w:after="0" w:line="257" w:lineRule="auto"/>
        <w:tabs>
          <w:tab w:leader="none" w:pos="1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MATERIALS. The Company has approximately 300 suppliers, including many of the major chemical producers in the United States, of which approximately 20 account for a majority of the Company’s purchases. The Company typically has written distributorship agreements or supply contracts with its suppliers that are renewed from time to time. Although there is no assurance that any contract or understanding with any supplier will not be terminated in the foreseeable future, most of the products purchased can be obtained from alternative sources should existing relationships be terminated.</w:t>
      </w:r>
    </w:p>
    <w:p>
      <w:pPr>
        <w:spacing w:after="0" w:line="188" w:lineRule="exact"/>
        <w:rPr>
          <w:rFonts w:ascii="Arial" w:cs="Arial" w:eastAsia="Arial" w:hAnsi="Arial"/>
          <w:sz w:val="18"/>
          <w:szCs w:val="18"/>
          <w:color w:val="auto"/>
        </w:rPr>
      </w:pPr>
    </w:p>
    <w:p>
      <w:pPr>
        <w:ind w:right="40" w:firstLine="645"/>
        <w:spacing w:after="0" w:line="270" w:lineRule="auto"/>
        <w:tabs>
          <w:tab w:leader="none" w:pos="1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PATENTS, TRADEMARKS, LICENSES, FRANCHISES, AND CONCESSIONS. There are no patents, trademarks, licenses, franchises or concessions that are currently material to the successful operation of the Company’s business. The Company has, however, obtained a patent on a liquid form of sodium phosphate for use in the processed food industry, as described below. The patent was granted on October 17, 1995 and will expire on November 8, 2013. The Company’s patented Cheese-Phos®, a two-component liquid sodium phosphate, is stored at room temperature. Other competing liquid sodium phosphates must be stored at elevated temperatures to prevent crystallization because they are single component. Liquid delivery systems, in general, are more economical than dry delivery systems and are easier to automate, measure, monitor and control. As a two-component liquid process, Cheese-Phos®, when mixed with varied amounts of sodium hydroxide, can create all of the ratios of sodium phosphates that process cheese makers use. This minimizes inventories for producers. Cheese-Phos® has not, and is not expected to, materially increase the Company’s sales or profits.</w:t>
      </w:r>
    </w:p>
    <w:p>
      <w:pPr>
        <w:spacing w:after="0" w:line="181" w:lineRule="exact"/>
        <w:rPr>
          <w:rFonts w:ascii="Arial" w:cs="Arial" w:eastAsia="Arial" w:hAnsi="Arial"/>
          <w:sz w:val="17"/>
          <w:szCs w:val="17"/>
          <w:color w:val="auto"/>
        </w:rPr>
      </w:pPr>
    </w:p>
    <w:p>
      <w:pPr>
        <w:ind w:left="1300" w:hanging="65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April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timeframe, which is due primarily to an increase in chemicals used by municipal water treatment facilities.</w:t>
      </w:r>
    </w:p>
    <w:p>
      <w:pPr>
        <w:spacing w:after="0" w:line="211" w:lineRule="exact"/>
        <w:rPr>
          <w:sz w:val="20"/>
          <w:szCs w:val="20"/>
          <w:color w:val="auto"/>
        </w:rPr>
      </w:pPr>
    </w:p>
    <w:p>
      <w:pPr>
        <w:ind w:right="180" w:firstLine="645"/>
        <w:spacing w:after="0" w:line="264"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ectPr>
          <w:pgSz w:w="11900" w:h="16838" w:orient="portrait"/>
          <w:cols w:equalWidth="0" w:num="1">
            <w:col w:w="10720"/>
          </w:cols>
          <w:pgMar w:left="900" w:top="125" w:right="279" w:bottom="110" w:gutter="0" w:footer="0" w:header="0"/>
        </w:sectPr>
      </w:pPr>
    </w:p>
    <w:bookmarkStart w:id="2" w:name="page3"/>
    <w:bookmarkEnd w:id="2"/>
    <w:p>
      <w:pPr>
        <w:ind w:left="660" w:right="100" w:firstLine="645"/>
        <w:spacing w:after="0" w:line="302" w:lineRule="auto"/>
        <w:tabs>
          <w:tab w:leader="none" w:pos="1983"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DEPENDENCE ON LIMITED NUMBER OF CUSTOMERS. No single customer represents more than approximately 5% of the Company’s sales, but the loss of its five largest customers could have a material adverse effect on the Company’s results of operations. Aggregate sales to the Company’s five largest customers were $13.2 million and $11.9 million for the fiscal years ended April 3, 2005 and March 28, 2004, respectively. Additionally, no single customer represents 10% or more of the Water Treatment, Industrial or Pharmaceutical segment sales.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760" w:firstLine="645"/>
        <w:spacing w:after="0" w:line="277"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70" w:lineRule="exact"/>
        <w:rPr>
          <w:rFonts w:ascii="Arial" w:cs="Arial" w:eastAsia="Arial" w:hAnsi="Arial"/>
          <w:sz w:val="18"/>
          <w:szCs w:val="18"/>
          <w:color w:val="auto"/>
        </w:rPr>
      </w:pPr>
    </w:p>
    <w:p>
      <w:pPr>
        <w:ind w:left="660" w:right="120" w:firstLine="645"/>
        <w:spacing w:after="0" w:line="259" w:lineRule="auto"/>
        <w:tabs>
          <w:tab w:leader="none" w:pos="1991"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CONDITIONS. The Company operates in a competitive industry and competes with producers, distributors and sales agents offering chemicals equivalent to all of the products handled by the Company. Many such producers and distributors are substantially larger than the Company. No one competitor, however, is dominant in the Company’s market. Price and service are the principal factors affecting competition in the industry.</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The Company does not have a formal research and development function. Employees are assigned to research and development projects as the need arises. During the fiscal year ended April 3, 2005, expenditures for research and development were not material to the Company’s business.</w:t>
      </w:r>
    </w:p>
    <w:p>
      <w:pPr>
        <w:spacing w:after="0" w:line="181" w:lineRule="exact"/>
        <w:rPr>
          <w:rFonts w:ascii="Arial" w:cs="Arial" w:eastAsia="Arial" w:hAnsi="Arial"/>
          <w:sz w:val="18"/>
          <w:szCs w:val="18"/>
          <w:color w:val="auto"/>
        </w:rPr>
      </w:pPr>
    </w:p>
    <w:p>
      <w:pPr>
        <w:ind w:left="660" w:right="340" w:firstLine="645"/>
        <w:spacing w:after="0" w:line="257" w:lineRule="auto"/>
        <w:tabs>
          <w:tab w:leader="none" w:pos="201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effects upon the capital expenditures, earnings or competitive position of the Company. The Company does not currently anticipate making any material capital expenditures for environmental control facilities during fiscal 2006.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20" w:hanging="715"/>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EMPLOYEES. The Company had 217 employees as of April 3, 2005.</w:t>
      </w:r>
    </w:p>
    <w:p>
      <w:pPr>
        <w:spacing w:after="0" w:line="225" w:lineRule="exact"/>
        <w:rPr>
          <w:rFonts w:ascii="Arial" w:cs="Arial" w:eastAsia="Arial" w:hAnsi="Arial"/>
          <w:sz w:val="18"/>
          <w:szCs w:val="18"/>
          <w:color w:val="auto"/>
        </w:rPr>
      </w:pPr>
    </w:p>
    <w:p>
      <w:pPr>
        <w:ind w:right="360" w:firstLine="656"/>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rFonts w:ascii="Arial" w:cs="Arial" w:eastAsia="Arial" w:hAnsi="Arial"/>
          <w:sz w:val="18"/>
          <w:szCs w:val="18"/>
          <w:color w:val="auto"/>
        </w:rPr>
      </w:pPr>
    </w:p>
    <w:p>
      <w:pPr>
        <w:ind w:right="180" w:firstLine="656"/>
        <w:spacing w:after="0" w:line="297" w:lineRule="auto"/>
        <w:tabs>
          <w:tab w:leader="none" w:pos="1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AVAILABLE INFORMATION. We have made available, free of charge, through our Internet website (http:// www.hawkinsinc.com) our Annual Reports on Form 10-K, Quarterly Reports on Form 10-Q, Current Reports on Form 8-K, and if applicable, amendments to those reports, as soon as reasonably practicable after we electronically file such materials with, or furnish them to, the Securities and Exchange Commission. Reports of beneficial ownership filed by our directors and executive officers pursuant to Section 16(a) of the 1934 Act are also available on our website. We are not including the information contained on our website as part of, or incorporating it by reference into, this Annual Report on Form 10-K.</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owns its principal location, which consists of approximately 11 acres of land in Minneapolis, Minnesota, with six buildings containing a total of 160,000 square feet of office and warehouse space. The Company’s principal office is located in one of these buildings, at 3100 East Hennepin Avenue. As of April 3, 2005, the Company has installed sprinkler systems in substantially all of its warehouse facilities for fire protection. The Company carries insurance covering the replacement of property damaged by fire or flood. The Pharmaceutical segment occupies approximately 13,000 square feet of office and warehouse space within this location.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noted above, in December 2000 the Company completed the Red Rock facility, which consists of a 59,000 square-foot building located on approximately 10 acres of land. This facility has outside storage capacity of approximately 1.5 million gallons for the storage of liquid caustic soda, as well as numerous smaller tanks for storing and mixing chemicals. The land is leased from the Port Authority of the City of St. Paul, Minnesota through July 31, 2029 for a basic rent plus an amount based on the annual tonnage unloaded at the site. The basic rent and annual tonnage rent were renegotiated August 1, 2004 and are to be renegotiated every five years.</w:t>
      </w:r>
    </w:p>
    <w:p>
      <w:pPr>
        <w:spacing w:after="0" w:line="18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Segment</w:t>
            </w:r>
          </w:p>
        </w:tc>
        <w:tc>
          <w:tcPr>
            <w:tcW w:w="2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3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Primary Use</w:t>
            </w: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71"/>
        </w:trPr>
        <w:tc>
          <w:tcPr>
            <w:tcW w:w="2960" w:type="dxa"/>
            <w:vAlign w:val="bottom"/>
            <w:gridSpan w:val="4"/>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3620" w:type="dxa"/>
            <w:vAlign w:val="bottom"/>
            <w:gridSpan w:val="2"/>
            <w:vMerge w:val="continue"/>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St. Paul, MN (1)</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Office, Warehouse and Garage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 Paul, MN (2)</w:t>
            </w:r>
          </w:p>
        </w:tc>
        <w:tc>
          <w:tcPr>
            <w:tcW w:w="362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Office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Fargo, ND (3)</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Fond du Lac, WI</w:t>
            </w:r>
          </w:p>
        </w:tc>
        <w:tc>
          <w:tcPr>
            <w:tcW w:w="36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Washburn, ND (4)</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rPr>
              <w:t>Billings, MT</w:t>
            </w:r>
          </w:p>
        </w:tc>
        <w:tc>
          <w:tcPr>
            <w:tcW w:w="36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Sioux Falls, SD (5)</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Rapid City, SD</w:t>
            </w:r>
          </w:p>
        </w:tc>
        <w:tc>
          <w:tcPr>
            <w:tcW w:w="36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Warehouse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Willow Springs, IL (2)</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Superior, WI</w:t>
            </w:r>
          </w:p>
        </w:tc>
        <w:tc>
          <w:tcPr>
            <w:tcW w:w="36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Slater, IA</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Lincoln, NE (2)</w:t>
            </w:r>
          </w:p>
        </w:tc>
        <w:tc>
          <w:tcPr>
            <w:tcW w:w="36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Eldridge, IA</w:t>
            </w:r>
          </w:p>
        </w:tc>
        <w:tc>
          <w:tcPr>
            <w:tcW w:w="3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Office and Warehouse</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311"/>
        </w:trPr>
        <w:tc>
          <w:tcPr>
            <w:tcW w:w="6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ind w:left="1300" w:right="20" w:hanging="644"/>
        <w:spacing w:after="0" w:line="284" w:lineRule="auto"/>
        <w:tabs>
          <w:tab w:leader="none" w:pos="129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2008,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2"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 of this facility is leased to a third party (5,000 square feet).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 of this facility is leased to a third party (2,500 square feet).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 of this facility is leased to a third party (6,000 square feet).</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requires the defendants to surrender to the Company 75,358 shares of the Company’s common stock, which they received as consideration for the May 2000 acquisition.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w:t>
      </w:r>
    </w:p>
    <w:p>
      <w:pPr>
        <w:spacing w:after="0" w:line="1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their ages and offices held, as of June 1, 2005 are set forth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80" w:type="dxa"/>
            <w:vAlign w:val="bottom"/>
          </w:tcPr>
          <w:p>
            <w:pPr>
              <w:spacing w:after="0"/>
              <w:rPr>
                <w:sz w:val="14"/>
                <w:szCs w:val="14"/>
                <w:color w:val="auto"/>
              </w:rPr>
            </w:pPr>
          </w:p>
        </w:tc>
        <w:tc>
          <w:tcPr>
            <w:tcW w:w="6580" w:type="dxa"/>
            <w:vAlign w:val="bottom"/>
          </w:tcPr>
          <w:p>
            <w:pPr>
              <w:ind w:left="3100"/>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6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Chief Financial Officer, Secretary, and Treasurer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6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 Water Treatment Group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6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 Manufacturing and Specialty Products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6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Vice President – Pharmaceuticals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John R. Hawkins has been the Company’s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8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33-year career with the Company, most recently as its Water Treatment General Manager.</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John R. Sevenich has been the Company’s Vice President - Manufacturing and Specialty Products since May 2000. He was the Business Unit Manager of Manufacturing from 1998 to May 2000 and was a Sales Representative with the Company from 1989 to 1998.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80" w:firstLine="648"/>
        <w:spacing w:after="0" w:line="308" w:lineRule="auto"/>
        <w:rPr>
          <w:sz w:val="20"/>
          <w:szCs w:val="20"/>
          <w:color w:val="auto"/>
        </w:rPr>
      </w:pPr>
      <w:r>
        <w:rPr>
          <w:rFonts w:ascii="Arial" w:cs="Arial" w:eastAsia="Arial" w:hAnsi="Arial"/>
          <w:sz w:val="17"/>
          <w:szCs w:val="17"/>
          <w:color w:val="auto"/>
        </w:rPr>
        <w:t>Daniel E. Soderlund has been the Company’s Vice President - Pharmaceuticals since May 2000. He was the Business Unit Manager of Pharmaceuticals from April 1999 to May 2000 and was a Sales Representative with the Company from 1992 to April 1999.</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left="1300" w:right="220" w:hanging="1296"/>
        <w:spacing w:after="0" w:line="277" w:lineRule="auto"/>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MARKET FOR THE COMPANY’S COMMON EQUITY, RELATED SHAREHOLDER MATTERS, AND ISSUER PURCHASES OF EQUITY SECURITIES.</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Low</w:t>
            </w:r>
          </w:p>
        </w:tc>
      </w:tr>
      <w:tr>
        <w:trPr>
          <w:trHeight w:val="210"/>
        </w:trPr>
        <w:tc>
          <w:tcPr>
            <w:tcW w:w="4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11.650</w:t>
            </w:r>
          </w:p>
        </w:tc>
        <w:tc>
          <w:tcPr>
            <w:tcW w:w="100" w:type="dxa"/>
            <w:vAlign w:val="bottom"/>
          </w:tcPr>
          <w:p>
            <w:pPr>
              <w:spacing w:after="0"/>
              <w:rPr>
                <w:sz w:val="22"/>
                <w:szCs w:val="22"/>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11.710</w:t>
            </w:r>
          </w:p>
        </w:tc>
        <w:tc>
          <w:tcPr>
            <w:tcW w:w="100" w:type="dxa"/>
            <w:vAlign w:val="bottom"/>
            <w:shd w:val="clear" w:color="auto" w:fill="CCEEFF"/>
          </w:tcPr>
          <w:p>
            <w:pPr>
              <w:spacing w:after="0"/>
              <w:rPr>
                <w:sz w:val="22"/>
                <w:szCs w:val="22"/>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2"/>
                <w:szCs w:val="22"/>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11.810</w:t>
            </w:r>
          </w:p>
        </w:tc>
        <w:tc>
          <w:tcPr>
            <w:tcW w:w="100" w:type="dxa"/>
            <w:vAlign w:val="bottom"/>
            <w:shd w:val="clear" w:color="auto" w:fill="CCEEFF"/>
          </w:tcPr>
          <w:p>
            <w:pPr>
              <w:spacing w:after="0"/>
              <w:rPr>
                <w:sz w:val="22"/>
                <w:szCs w:val="22"/>
                <w:color w:val="auto"/>
              </w:rPr>
            </w:pPr>
          </w:p>
        </w:tc>
      </w:tr>
      <w:tr>
        <w:trPr>
          <w:trHeight w:val="216"/>
        </w:trPr>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13.650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2"/>
                <w:szCs w:val="22"/>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12.620</w:t>
            </w:r>
          </w:p>
        </w:tc>
        <w:tc>
          <w:tcPr>
            <w:tcW w:w="100" w:type="dxa"/>
            <w:vAlign w:val="bottom"/>
            <w:shd w:val="clear" w:color="auto" w:fill="CCEEFF"/>
          </w:tcPr>
          <w:p>
            <w:pPr>
              <w:spacing w:after="0"/>
              <w:rPr>
                <w:sz w:val="22"/>
                <w:szCs w:val="22"/>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12.970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2"/>
                <w:szCs w:val="22"/>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22"/>
                <w:szCs w:val="22"/>
                <w:color w:val="auto"/>
              </w:rPr>
            </w:pPr>
          </w:p>
        </w:tc>
      </w:tr>
      <w:tr>
        <w:trPr>
          <w:trHeight w:val="365"/>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Cash Dividends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Declared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Paid</w:t>
            </w:r>
          </w:p>
        </w:tc>
      </w:tr>
      <w:tr>
        <w:trPr>
          <w:trHeight w:val="210"/>
        </w:trPr>
        <w:tc>
          <w:tcPr>
            <w:tcW w:w="4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Fiscal 2005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Fiscal 2004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60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57"/>
        </w:trPr>
        <w:tc>
          <w:tcPr>
            <w:tcW w:w="460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390"/>
        </w:trPr>
        <w:tc>
          <w:tcPr>
            <w:tcW w:w="4600" w:type="dxa"/>
            <w:vAlign w:val="bottom"/>
            <w:gridSpan w:val="2"/>
          </w:tcPr>
          <w:p>
            <w:pPr>
              <w:ind w:left="5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bl>
    <w:p>
      <w:pPr>
        <w:spacing w:after="0" w:line="6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Company’s common shares are traded on The Nasdaq Stock Market under the symbol “HWKN.” The price information represents closing sale prices as reported by The Nasdaq Stock Market. As of April 3, 2005, there were approximately 635 registered common shareholders, which includes nominees or broker dealers holding stock on behalf of an estimated 1,725 beneficial owners.</w:t>
      </w:r>
    </w:p>
    <w:p>
      <w:pPr>
        <w:spacing w:after="0" w:line="18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first started paying cash dividends in 1985 and has done so consecutively since that time. Future dividend levels will be dependent upon Hawkins’ results of operations, financial position, cash flows and other factors, and will be evaluated by the Hawkins Board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580" w:type="dxa"/>
            <w:vAlign w:val="bottom"/>
            <w:gridSpan w:val="5"/>
          </w:tcPr>
          <w:p>
            <w:pPr>
              <w:ind w:left="100"/>
              <w:spacing w:after="0"/>
              <w:rPr>
                <w:sz w:val="20"/>
                <w:szCs w:val="20"/>
                <w:color w:val="auto"/>
              </w:rPr>
            </w:pPr>
            <w:r>
              <w:rPr>
                <w:rFonts w:ascii="Arial" w:cs="Arial" w:eastAsia="Arial" w:hAnsi="Arial"/>
                <w:sz w:val="18"/>
                <w:szCs w:val="18"/>
                <w:color w:val="auto"/>
              </w:rPr>
              <w:t>SELECTED FINANCIAL DATA.</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24"/>
                <w:szCs w:val="2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Six-Month</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1"/>
              </w:rPr>
              <w:t>Fiscal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Period Ended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28,</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30,</w:t>
            </w: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w w:val="91"/>
              </w:rPr>
              <w:t>September</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115,280,312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107,028,131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104,004,611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49,868,179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107,931,668</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98,021,731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29,606,185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27,974,289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27,957,852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11,535,706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24,297,587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24,802,176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8,092,009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5,751,884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3,083,771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7,117,578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Basic and diluted earnings 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Cash dividends declared 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87,658,118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82,616,905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81,098,739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71,487,133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74,868,121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69,894,520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debt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116,823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changed its fiscal year end from the Sunday closest to September 30 to the Sunday closest to March 31, beginning after a six-month transitional period ended on March 31, 2002. The change in year-end better matches the Company’s annual reporting process to its natural business cycles.</w:t>
      </w:r>
    </w:p>
    <w:p>
      <w:pPr>
        <w:sectPr>
          <w:pgSz w:w="11900" w:h="16867" w:orient="portrait"/>
          <w:cols w:equalWidth="0" w:num="1">
            <w:col w:w="11400"/>
          </w:cols>
          <w:pgMar w:left="240" w:top="584" w:right="259" w:bottom="0" w:gutter="0" w:footer="0" w:header="0"/>
        </w:sectPr>
      </w:pPr>
    </w:p>
    <w:bookmarkStart w:id="5" w:name="page6"/>
    <w:bookmarkEnd w:id="5"/>
    <w:p>
      <w:pPr>
        <w:spacing w:after="0"/>
        <w:tabs>
          <w:tab w:leader="none" w:pos="13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information contained in this Annual Report on Form 10-K for the year ended April 3, 2005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Annual Report on Form 10-K and in any public statements we make could be materially different from actual results. They can be affected by assumptions we might make or by known or unknown risks or uncertainties, including those described below under “Risk Factors” and other factors disclosed throughout this Annual Report on Form 10-K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Annual Report on Form 10-K. Investors are cautioned not to place undue reliance on any forward-looking statements. Investors should also understand that it is not possible to predict or identify all factors that might affect actual results and should not consider the following list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980" w:hanging="324"/>
        <w:spacing w:after="0" w:line="259" w:lineRule="auto"/>
        <w:tabs>
          <w:tab w:leader="none" w:pos="975" w:val="left"/>
        </w:tabs>
        <w:numPr>
          <w:ilvl w:val="0"/>
          <w:numId w:val="11"/>
        </w:numPr>
        <w:rPr>
          <w:rFonts w:ascii="Arial" w:cs="Arial" w:eastAsia="Arial" w:hAnsi="Arial"/>
          <w:sz w:val="21"/>
          <w:szCs w:val="21"/>
          <w:color w:val="auto"/>
        </w:rPr>
      </w:pPr>
      <w:r>
        <w:rPr>
          <w:rFonts w:ascii="Arial" w:cs="Arial" w:eastAsia="Arial" w:hAnsi="Arial"/>
          <w:sz w:val="17"/>
          <w:szCs w:val="17"/>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80" w:right="360" w:hanging="324"/>
        <w:spacing w:after="0" w:line="297" w:lineRule="auto"/>
        <w:tabs>
          <w:tab w:leader="none" w:pos="975" w:val="left"/>
        </w:tabs>
        <w:numPr>
          <w:ilvl w:val="0"/>
          <w:numId w:val="12"/>
        </w:numPr>
        <w:rPr>
          <w:rFonts w:ascii="Arial" w:cs="Arial" w:eastAsia="Arial" w:hAnsi="Arial"/>
          <w:sz w:val="19"/>
          <w:szCs w:val="19"/>
          <w:color w:val="auto"/>
        </w:rPr>
      </w:pPr>
      <w:r>
        <w:rPr>
          <w:rFonts w:ascii="Arial" w:cs="Arial" w:eastAsia="Arial" w:hAnsi="Arial"/>
          <w:sz w:val="16"/>
          <w:szCs w:val="16"/>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177" w:lineRule="exact"/>
        <w:rPr>
          <w:rFonts w:ascii="Arial" w:cs="Arial" w:eastAsia="Arial" w:hAnsi="Arial"/>
          <w:sz w:val="19"/>
          <w:szCs w:val="19"/>
          <w:color w:val="auto"/>
        </w:rPr>
      </w:pPr>
    </w:p>
    <w:p>
      <w:pPr>
        <w:ind w:left="980" w:right="24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28" w:lineRule="exact"/>
        <w:rPr>
          <w:rFonts w:ascii="Arial" w:cs="Arial" w:eastAsia="Arial" w:hAnsi="Arial"/>
          <w:sz w:val="22"/>
          <w:szCs w:val="22"/>
          <w:color w:val="auto"/>
        </w:rPr>
      </w:pPr>
    </w:p>
    <w:p>
      <w:pPr>
        <w:ind w:left="980" w:right="6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980" w:right="32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980" w:right="6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980" w:right="60" w:hanging="324"/>
        <w:spacing w:after="0" w:line="262" w:lineRule="auto"/>
        <w:tabs>
          <w:tab w:leader="none" w:pos="975" w:val="left"/>
        </w:tabs>
        <w:numPr>
          <w:ilvl w:val="0"/>
          <w:numId w:val="12"/>
        </w:numPr>
        <w:rPr>
          <w:rFonts w:ascii="Arial" w:cs="Arial" w:eastAsia="Arial" w:hAnsi="Arial"/>
          <w:sz w:val="21"/>
          <w:szCs w:val="21"/>
          <w:color w:val="auto"/>
        </w:rPr>
      </w:pPr>
      <w:r>
        <w:rPr>
          <w:rFonts w:ascii="Arial" w:cs="Arial" w:eastAsia="Arial" w:hAnsi="Arial"/>
          <w:sz w:val="17"/>
          <w:szCs w:val="17"/>
          <w:color w:val="auto"/>
        </w:rPr>
        <w:t>Unforeseen or recurring operational problems or natural disasters at any of our facilities causing significant lost production and/or increased costs. Since 1963, flooding of the Mississippi River has required the Company’s terminal operations to be temporarily shifted out of its buildings four times, the most recent being in the spring of 2001.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most recent flooding in 2001. The Company believes the impact of future flooding, if any, will be reduced as the Red Rock facility is expected to allow the Company to continue normal shipping to customers during periods of high water levels.</w:t>
      </w:r>
    </w:p>
    <w:p>
      <w:pPr>
        <w:spacing w:after="0" w:line="217" w:lineRule="exact"/>
        <w:rPr>
          <w:rFonts w:ascii="Arial" w:cs="Arial" w:eastAsia="Arial" w:hAnsi="Arial"/>
          <w:sz w:val="21"/>
          <w:szCs w:val="21"/>
          <w:color w:val="auto"/>
        </w:rPr>
      </w:pPr>
    </w:p>
    <w:p>
      <w:pPr>
        <w:ind w:left="980" w:right="80" w:hanging="324"/>
        <w:spacing w:after="0" w:line="232" w:lineRule="auto"/>
        <w:tabs>
          <w:tab w:leader="none" w:pos="975" w:val="left"/>
        </w:tabs>
        <w:numPr>
          <w:ilvl w:val="0"/>
          <w:numId w:val="12"/>
        </w:numPr>
        <w:rPr>
          <w:rFonts w:ascii="Arial" w:cs="Arial" w:eastAsia="Arial" w:hAnsi="Arial"/>
          <w:sz w:val="22"/>
          <w:szCs w:val="22"/>
          <w:color w:val="auto"/>
        </w:rPr>
      </w:pPr>
      <w:r>
        <w:rPr>
          <w:rFonts w:ascii="Arial" w:cs="Arial" w:eastAsia="Arial" w:hAnsi="Arial"/>
          <w:sz w:val="18"/>
          <w:szCs w:val="18"/>
          <w:color w:val="auto"/>
        </w:rPr>
        <w:t>Technology risks, such as failure to successfully implement new technology that will allow us to make process improvements to reduce costs or to analyze the business.</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Loss of senior management or other key personnel and our ability to hire suitable replacements in a timely manner.</w:t>
      </w:r>
    </w:p>
    <w:p>
      <w:pPr>
        <w:spacing w:after="0" w:line="228" w:lineRule="exact"/>
        <w:rPr>
          <w:rFonts w:ascii="Arial" w:cs="Arial" w:eastAsia="Arial" w:hAnsi="Arial"/>
          <w:sz w:val="22"/>
          <w:szCs w:val="22"/>
          <w:color w:val="auto"/>
        </w:rPr>
      </w:pPr>
    </w:p>
    <w:p>
      <w:pPr>
        <w:ind w:left="980" w:right="160" w:hanging="324"/>
        <w:spacing w:after="0" w:line="297" w:lineRule="auto"/>
        <w:tabs>
          <w:tab w:leader="none" w:pos="975" w:val="left"/>
        </w:tabs>
        <w:numPr>
          <w:ilvl w:val="0"/>
          <w:numId w:val="12"/>
        </w:numPr>
        <w:rPr>
          <w:rFonts w:ascii="Arial" w:cs="Arial" w:eastAsia="Arial" w:hAnsi="Arial"/>
          <w:sz w:val="19"/>
          <w:szCs w:val="19"/>
          <w:color w:val="auto"/>
        </w:rPr>
      </w:pPr>
      <w:r>
        <w:rPr>
          <w:rFonts w:ascii="Arial" w:cs="Arial" w:eastAsia="Arial" w:hAnsi="Arial"/>
          <w:sz w:val="16"/>
          <w:szCs w:val="16"/>
          <w:color w:val="auto"/>
        </w:rPr>
        <w:t>During the third quarter of fiscal 2005, the Company made the determination to continue to use its current operating system through the end of fiscal 2005 and until the implementation of the Company’s Enterprise Resource Planning (“ERP”) system is complete. Management’s</w:t>
      </w:r>
    </w:p>
    <w:p>
      <w:pPr>
        <w:sectPr>
          <w:pgSz w:w="11900" w:h="16838" w:orient="portrait"/>
          <w:cols w:equalWidth="0" w:num="1">
            <w:col w:w="11420"/>
          </w:cols>
          <w:pgMar w:left="240" w:top="341" w:right="239" w:bottom="0" w:gutter="0" w:footer="0" w:header="0"/>
        </w:sectPr>
      </w:pPr>
    </w:p>
    <w:bookmarkStart w:id="6" w:name="page7"/>
    <w:bookmarkEnd w:id="6"/>
    <w:p>
      <w:pPr>
        <w:ind w:left="980" w:right="320"/>
        <w:spacing w:after="0" w:line="255" w:lineRule="auto"/>
        <w:rPr>
          <w:sz w:val="20"/>
          <w:szCs w:val="20"/>
          <w:color w:val="auto"/>
        </w:rPr>
      </w:pPr>
      <w:r>
        <w:rPr>
          <w:rFonts w:ascii="Arial" w:cs="Arial" w:eastAsia="Arial" w:hAnsi="Arial"/>
          <w:sz w:val="18"/>
          <w:szCs w:val="18"/>
          <w:color w:val="auto"/>
        </w:rPr>
        <w:t>assessment of the effectiveness of the Company’s internal controls as of April 3, 2005 that is included in this Form 10-K was made on the current operating system and concludes that the internal control system was not operating effectively as of April 3, 2005. The Company has remediated or is currently in the process of remediating the material weaknesses that led to this conclusion. Effective internal controls are important to the production of reliable financial reports and in helping to prevent financial fraud. If, in the future, as a result of ineffective internal controls, the Company is unable to provide reliable financial reports or prevent fraud, its business and operating results could be harmed, investors could lose confidence in its reported financial information, and the trading price of the Company’s stock could drop significantly.</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Annual Report on Form 10-K or any other public statement.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Company’s fiscal years ended April 3, 2005, March 28, 2004 and March 30,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Sales for the fiscal year ended April 3, 2005 were $115,280,312 versus $107,028,131 for the fiscal year ended March 28, 2004 and $104,004,611 for the fiscal year ended March 30, 2003. Net income for the fiscal year ended April 3, 2005 was $8,092,009, or $.79 per share, compared to $5,751,884, or $.56 per share, for the fiscal year ended March 28, 2004 and $8,430,172, or $.83 per share, for the fiscal year ended March 30, 2003. Return on average shareholders’ equity was 11.6% for the fiscal year ended April 3, 2005 compared to 8.6% for the fiscal year ended March 28, 2004 and 13.4% for the fiscal year ended March 30, 2003. Book value per share was $7.04 at April 3, 2005, $6.65 at March 28, 2004 and $6.43 at March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Fiscal</w:t>
            </w:r>
          </w:p>
        </w:tc>
        <w:tc>
          <w:tcPr>
            <w:tcW w:w="16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0"/>
              </w:rPr>
              <w:t>Fiscal</w:t>
            </w:r>
          </w:p>
        </w:tc>
        <w:tc>
          <w:tcPr>
            <w:tcW w:w="166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64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6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4"/>
              </w:rPr>
              <w:t>April 3, 2005</w:t>
            </w:r>
          </w:p>
        </w:tc>
        <w:tc>
          <w:tcPr>
            <w:tcW w:w="16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6"/>
              </w:rPr>
              <w:t>March 28, 2004</w:t>
            </w:r>
          </w:p>
        </w:tc>
        <w:tc>
          <w:tcPr>
            <w:tcW w:w="16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4"/>
              </w:rPr>
              <w:t>March 30, 2003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(74.3)%</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(73.9)%</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25.7%</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26.1%</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(15.7)%</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(15.7)%</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3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11.0%</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rPr>
              <w:t>8.4%</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Sales increased $8,252,181, or 7.7%, to $115,280,312 for the fiscal year ended April 3, 2005 as compared to sales of $107,028,131 for the fiscal year ended March 28, 2004. Sales of bulk chemicals, including caustic soda, were approximately 33.3% of sales compared to 33.7% in the previous year. All three operating segments contributed to the increase in sales. Industrial segment sales increased $4,816,838, or 8.1%, to $64,130,067, Water Treatment segment sales increased $2,248,481, or 5.7%, to $41,529,630 and Pharmaceutical segment sales increased $1,186,862, or 14.1%, to $9,620,615. The increase in the Industrial segment sales was driven by improved sales along several product lines and an increase in the cost and selling price of caustic soda in comparison to the prior year. During the fiscal year ended April 3, 2005 there was a decrease in caustic soda volumes sold, which was offset by increases in selling prices associated with increases in the cost of caustic soda. Although the Water Treatment segment was challenged by cooler summer conditions during the second quarter of fiscal 2005 in comparison to the prior year, sales increased due to increased volumes in existing product lines and successful expansion of existing product lines. Increased volumes along several existing product lines drove the increase in Pharmaceutical segment sales.</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Sales increased $3,023,520, or 2.9%, to $107,028,131 for the fiscal year ended March 28, 2004 as compared to sales of $104,004,611 for the fiscal year ended March 30, 2003. Sales of bulk chemicals, including caustic soda, were approximately 33.7% of sales compared to 31.9% in the previous year. The increase in sales in fiscal 2004 sales as compared to fiscal 2003 was primarily driven by the Water Treatment segment, as sales increased by $2,950,827, or</w:t>
      </w:r>
    </w:p>
    <w:p>
      <w:pPr>
        <w:ind w:right="140"/>
        <w:spacing w:after="0" w:line="295" w:lineRule="auto"/>
        <w:rPr>
          <w:sz w:val="20"/>
          <w:szCs w:val="20"/>
          <w:color w:val="auto"/>
        </w:rPr>
      </w:pPr>
      <w:r>
        <w:rPr>
          <w:rFonts w:ascii="Arial" w:cs="Arial" w:eastAsia="Arial" w:hAnsi="Arial"/>
          <w:sz w:val="16"/>
          <w:szCs w:val="16"/>
          <w:color w:val="auto"/>
        </w:rPr>
        <w:t>8.1%, in comparison to the prior year. The increases were primarily attributable to volume increases, due in part to favorable summer weather conditions as compared to the prior year. Industrial segment sales of $59,313,229 were flat as the combination of an approximately 5.1% increase in caustic soda volumes sold and an increase in caustic soda selling price that increased sales by approximately 1.4% was offset by a decrease in sales to customers in the telecommunication and circuit board industries. Pharmaceutical segment sales of $8,433,753 were flat as compared to the prior year.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Gross margin, as a percentage of sales, was 25.7% for the fiscal year ended April 3, 2005 compared to 26.1% for the fiscal year ended March 28, 2004 and 26.9% for the fiscal year ended March 30, 2003, respectively. The gross margin decreases are due to a number of variables as explained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Industrial Segment</w:t>
      </w:r>
    </w:p>
    <w:p>
      <w:pPr>
        <w:sectPr>
          <w:pgSz w:w="11900" w:h="16838" w:orient="portrait"/>
          <w:cols w:equalWidth="0" w:num="1">
            <w:col w:w="11400"/>
          </w:cols>
          <w:pgMar w:left="240" w:top="125" w:right="259" w:bottom="32" w:gutter="0" w:footer="0" w:header="0"/>
        </w:sectPr>
      </w:pPr>
    </w:p>
    <w:bookmarkStart w:id="7" w:name="page8"/>
    <w:bookmarkEnd w:id="7"/>
    <w:p>
      <w:pPr>
        <w:ind w:firstLine="648"/>
        <w:spacing w:after="0" w:line="270" w:lineRule="auto"/>
        <w:rPr>
          <w:sz w:val="20"/>
          <w:szCs w:val="20"/>
          <w:color w:val="auto"/>
        </w:rPr>
      </w:pPr>
      <w:r>
        <w:rPr>
          <w:rFonts w:ascii="Arial" w:cs="Arial" w:eastAsia="Arial" w:hAnsi="Arial"/>
          <w:sz w:val="17"/>
          <w:szCs w:val="17"/>
          <w:color w:val="auto"/>
        </w:rPr>
        <w:t>Gross margin, as a percentage of sales, for the Industrial segment was 20.9% for the fiscal year ended April 3, 2005, 20.9% for the fiscal year ended March 28, 2004 and 22.8% for the fiscal year ended March 30, 2003. Gross margins for the fiscal year ended April 3, 2005 were flat as compared to the fiscal year ended March 28, 2004. The decrease for the fiscal year ended March 28, 2004 as compared to the fiscal year ended March 30, 2003 relates partially to changes in the cost and selling price of caustic soda during these periods and to the high level of high cost inventory on hand at the end of the 2004 fiscal year’s barge shipping season (October 2003). The Company attempts to maintain relatively constant dollar margins as the cost of caustic soda increases or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Additionally, a highly competitive market environment prevented the Company from passing on to its customers an approximately $600,000 increase in product costs. Also, insurance expense increased by approximately $160,000, or 22.5%, and employee compensation and benefits increased by approximately $134,000 or 4.9%.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Water Treatment Segment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Gross margin, as a percentage of sales, for the Water Treatment segment was 31.3% for the fiscal year ended April 3, 2005, 32.6% for the fiscal year ended March 28, 2004 and 32.7% for the fiscal year ended March 30, 2003. The decrease for the fiscal year ended April 3, 2005 as compared to the fiscal year ended March 28, 2004 was partially attributable to competitive pressures which reduced margins on several products. Additionally, due to the LIFO method of valuing inventory, the margin was negatively impacted by higher levels and changes in product mix of inventory on hand as compared to the prior year.</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Gross margin, as a percentage of sales, for the fiscal year ended March 28, 2004 was comparable with the fiscal year ended March 30, 2003 as the increase in sales, due primarily to favorable weather, was offset by higher operating costs. Additionally, in fiscal 2004 the Company started to manufacture a product line internally that resulted in an increased product margin of approximately $670,000. Offsetting this improvement in product margins was an increase in operating costs, including an approximately $79,000, or 10.8%, increase in insurance expense and an approximately $732,000, or 19.3%, increase in employee compensation and benefits which includes an increase in commissions paid to route salespersons for the increase in product margins.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Segment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Gross margin, as a percentage of sales, for the Pharmaceutical segment was 33.0% for the fiscal year ended April 3, 2005, 33.0% for the fiscal year ended March 28, 2004 and 30.4% for the fiscal year ended March 30, 2003. The increase for the fiscal years ended April 3, 2005 and March 28, 2004 as compared to the fiscal year ended March 30, 2003 related primarily to a better product mix.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Selling, general and administrative expenses, as a percentage of sales, were 15.7% ($18,089,829) for the fiscal year ended April 3, 2005, 15.7% ($16,793,094) for the fiscal year ended March 28, 2004 and 14.3% ($14,890,640) for the fiscal year ended March 30, 2003. The increases were primarily attributable to $800,000 and $536,000 for the fiscal years ended April 3, 2005 and March 28, 2004, respectively, in consulting fees associated with the Company’s efforts to comply with the requirements of the Sarbanes-Oxley Act and to the Company’s implementation of an ERP system. The Company will continue to incur additional expenses, including expenses for additional staffing and outside professional services, to implement the ERP system and continue meeting the requirements of the Sarbanes-Oxley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requires the defendants to surrender to the Company 75,358 shares of the Company’s common stock, which they received as consideration for the May 2000 acquisition.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Investment income increased $295,086 to $1,120,775 for the fiscal year ended April 3, 2005 compared to $825,689 for the fiscal year ended March 28, 2004. This increase was primarily related to an increase in cash available for investment, and a higher rate of return on the Company’s cash equivalents and marketable securities. The $458,640 increase in investment income for the fiscal year ended March 28, 2004 as compared to the fiscal year ended March 30, 2003 was attributable to an increase in cash available for investment and to a $370,000 loss recognized in the fiscal year ended March 30, 2003 due to declines in market value on investments which were deemed other than temporary.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effective income tax rate was 36.0% for the fiscal year ended April 3, 2005, 36.1% for the fiscal year ended March 28, 2004 and 37.2% for the fiscal year ended March 30, 2003. The effective income tax rate for the fiscal year ended April 3, 2005 was comparable to the fiscal year ended March 28, 2004. The decrease for the fiscal year ended March 28, 2004 as compared to the fiscal year ended March 30, 2003 was primarily due to a decrease in income before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ectPr>
          <w:pgSz w:w="11900" w:h="16838" w:orient="portrait"/>
          <w:cols w:equalWidth="0" w:num="1">
            <w:col w:w="11420"/>
          </w:cols>
          <w:pgMar w:left="240" w:top="125" w:right="239" w:bottom="0" w:gutter="0" w:footer="0" w:header="0"/>
        </w:sectPr>
      </w:pPr>
    </w:p>
    <w:bookmarkStart w:id="8" w:name="page9"/>
    <w:bookmarkEnd w:id="8"/>
    <w:p>
      <w:pPr>
        <w:spacing w:after="0" w:line="4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Inflation did not have a significant impact on the Company during the fiscal years ended April 3, 2005, March 28, 2004, and March 30, 2003, as selling prices have generally been adjusted as the cost of materials and other expenses have changed. On occasion, slight fluctuations in the cost of a single, large-volume product have not been reflected in the selling price of that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4"/>
              </w:rPr>
              <w:t>Fiscal Year Ended April 3, 2005 (Unaudited)</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First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3"/>
              </w:rPr>
              <w:t>Second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0"/>
                <w:szCs w:val="10"/>
                <w:color w:val="auto"/>
              </w:rPr>
            </w:pPr>
          </w:p>
        </w:tc>
        <w:tc>
          <w:tcPr>
            <w:tcW w:w="138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rPr>
              <w:t>Fourth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July 1, 2004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2004</w:t>
            </w: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April 3, 2005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29,955,818</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28,631,601</w:t>
            </w: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26,703,441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29,989,452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8,585,476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8,317,624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6,939,014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2,929,304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1,773,124</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4"/>
              </w:rPr>
              <w:t>Fiscal Year Ended March 28, 2004 (Unaudited)</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First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3"/>
              </w:rPr>
              <w:t>Second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0"/>
                <w:szCs w:val="10"/>
                <w:color w:val="auto"/>
              </w:rPr>
            </w:pPr>
          </w:p>
        </w:tc>
        <w:tc>
          <w:tcPr>
            <w:tcW w:w="138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rPr>
              <w:t>Fourth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0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July 1, 2003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31, 2003</w:t>
            </w: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28, 2004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2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29,066,867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28,645,014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24,951,807</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24,364,443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8,436,133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8,362,307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5,894,706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5,281,143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2,591,573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1,162,837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(794,542)</w:t>
            </w: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Arial" w:cs="Arial" w:eastAsia="Arial" w:hAnsi="Arial"/>
                <w:sz w:val="18"/>
                <w:szCs w:val="18"/>
                <w:color w:val="auto"/>
                <w:w w:val="94"/>
              </w:rPr>
              <w:t>Basic and diluted earnings (loss) per share</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Cash provided by operations in the fiscal year ended April 3, 2005 was $12,617,158 compared to $7,411,596 in the fiscal year ended March 28, 2004 and $14,589,108 in the fiscal year ended March 30, 2003. The increase in the fiscal year ended April 3, 2005 compared to the fiscal year ended March 28, 2004 was due to the timing of liability payments and the $3 million litigation settlement that was paid in fiscal 2004. These amounts were partially offset by an increase in accounts receivable, primarily as a result of the increase in sales. The decrease in the fiscal year ended March 28, 2004 compared to the fiscal year ended March 30, 2003 was due to the decrease in net income, including the $3 million litigation settlement, the timing of liability payments, and year-over-year variances in tax payments.</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Cash and investments available-for-sale of $26,807,385 at April 3, 2005 increased by $2,883,977 as compared with the $23,923,408 available as of March 28, 2004, primarily because of cash generated by operations in excess of capital expenditures and dividend payments. Cash equivalents consist of money market accounts and certificates of deposit with an original maturity of three months or less. Investments available-for-sale consist of investment contracts with high-rated, stable insurance companies; marketable securities consisting of corporate and municipal bonds; U.S. Government agency securities and mutual funds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mutual funds with characteristics similar to the fixed income portfolio to enhance its investment portfolio diversification. The Company monitors the maturities of its investments to ensure that funding is available for anticipated cash needs. At April 3, 2005, $15,570,000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April 3, 2005, the Company had an investment portfolio of fixed income securities of $11,373,512 and mutual funds of $8,038,275, excluding $7,910,598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maturity. Consequently, the Company would not expect to recognize an adverse impact on net income or cash flows or the amount ultimately realized on the investment. The value of the mutual funds, like all mutual funds, may increase or decrease due to market volatility. The Company recorded a loss of $370,000 in the fiscal year ended March 30, 2003 due to declines in market value that were deemed other than temporary. The mutual funds held by the Company as of April 3, 2005 consist of short-term bond funds that invest primarily in investment grade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Capital expenditures in the fiscal years ended April 3, 2005, March 28, 2004 and March 30, 2003 were $5,922,862, $4,897,551, and $2,348,124, respectively. Capital expenditures during the fiscal year ended April 3, 2005 consisted of $3,100,000 for office furniture and equipment primarily related to software and hardware data processing equipment associated with the Company’s implementation of an ERP system, $1,440,000 for machinery and equipment, $250,000 for land, buildings and improvements, and $1,144,000 for transportation equipment. We anticipate capital expenditures in fiscal 2006 to be approximately $6.5 million primarily related to implementation of the ERP system, new route sales trucks, warehouse additions, and general maintenance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REPURCHASES</w:t>
      </w:r>
    </w:p>
    <w:p>
      <w:pPr>
        <w:sectPr>
          <w:pgSz w:w="11900" w:h="16887" w:orient="portrait"/>
          <w:cols w:equalWidth="0" w:num="1">
            <w:col w:w="11400"/>
          </w:cols>
          <w:pgMar w:left="240" w:top="341" w:right="25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Company did not acquire any common stock during the fiscal years ended April 3, 2005, March 28, 2004, and March 30,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COMMERCIAL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aggregate information about our contractual payment obligations and the periods in which payments are due:</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40" w:type="dxa"/>
            <w:vAlign w:val="bottom"/>
          </w:tcPr>
          <w:p>
            <w:pPr>
              <w:spacing w:after="0"/>
              <w:rPr>
                <w:sz w:val="10"/>
                <w:szCs w:val="10"/>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20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5 Years</w:t>
            </w: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Operating lease</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180,072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185,523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3,065,205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4,088,622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Purchase obligations (1)</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12,448,747</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12,448,747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12,695,431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3,065,205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16,537,369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right="720" w:hanging="4"/>
        <w:spacing w:after="0" w:line="342" w:lineRule="auto"/>
        <w:tabs>
          <w:tab w:leader="none" w:pos="13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is committed to pay suppliers under the terms of open purchase orders issued in the normal course of business. The Company does not purchase, or commit to purchase, quantities in excess of normal usage or amounts that cannot be used within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 term. If the need to obtain additional capital does arise, however, management is confident that the Company’s total debt to capital ratio puts it in a position to obtain debt financing on favorable terms.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continue to incur significant expenditures in fiscal 2006 associated with the implementation of the ERP system and to meet the requirements of the Sarbanes-Oxley Act. Fiscal 2006 expenses, including incremental information technology expenses and outside professional services, are expected to be consistent with the additional fiscal 2005 expense of approximately $1.7 million.</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than as discussed above, management is not aware of any trends or other matters that have not materially affected results in the fiscal year ended April 3, 2005 but are expected to have a material effect on future periods.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performance has occurred, the price and terms of sale are fixed, and collection of the receivable is reasonably assured.</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Investments – Statement of Financial Accounting Standard (SFAS) No. 115, “Accounting for Certain Investments in Debt and Equity Securities,” and Securities and Exchange Commission (SEC) Staff Accounting Bulletin (SAB) 59, “Accounting for Noncurrent Marketable Equity Securities,”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Impairment of Long-Lived Assets – We evaluate the carrying value of long-lived assets, including intangible assets subject to amortization and property, plant, and equipment, when events and changes in circumstances warrant such a review. The carrying value of long-lived assets is considered impaired when the projected future undiscounted cash flows from such assets are less than their carrying value. In that event, a loss is recognized equal to the amount by</w:t>
      </w:r>
    </w:p>
    <w:p>
      <w:pPr>
        <w:sectPr>
          <w:pgSz w:w="11900" w:h="16838" w:orient="portrait"/>
          <w:cols w:equalWidth="0" w:num="1">
            <w:col w:w="11400"/>
          </w:cols>
          <w:pgMar w:left="240" w:top="341" w:right="259" w:bottom="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which the carrying value exceeds the fair value of the long-lived assets. We periodically review the appropriateness of the estimated useful lives of our long-lived assets.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Income Taxes – In the preparation of the Company’s financial statements, management calculates income taxes. This includes estimating current tax liability as 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March 31, 2004, the Financial Accounting Standards Board (FASB) ratified Emerging Issues Task Force Issue No. 03-1, “The Meaning of Other-Than-Temporary Impairment and Its Application to Certain Investments” (“EITF No. 03-1”), which provides guidance on recognizing other-than-temporary impairments on certain investments. EITF No. 03-1 is effective for other-than-temporary impairment evaluations for investments accounted for under SFAS No. 115, “Accounting for Certain Investments in Debt and Equity Securities,” as well as non-marketable equity securities accounted for under the cost method for reporting periods beginning after June 15, 2004. EITF No. 03-1 requires that investments which have declined in value must be recorded as other-than-temporarily impaired unless the Company can assert and demonstrate its intention to hold the security for a period of time sufficient to allow for a recovery of fair value up to or beyond the cost of the investment, which might mean maturity. EITF No. 03-1 also requires disclosures assessing the ability and intent to hold investments in instances in which an investor determines that an investment with a fair value less than cost is not other-than-temporarily impaired. EITF No. 03-1 does not suspend the current requirements 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other-than-temporary impairments under Staff Accounting Bulletin No. 59. In September 2004, the FASB issued Proposed Staff Position EITF Issue No. 03-1-a, “Implementation Guidance for the Application of Paragraph 16 of EITF Issue No. 03-1,” which provides further guidance regarding this issue. In September 2004, the FASB also issued Proposed Staff Position EITF Issue No. 03-1-1, “Effective Date of Paragraphs 10-20 of EITF No. 03-1,” which defers the effective date of certain paragraphs of EITF Issue No. 03-1. The Company adopted the initial portions of EITF 03-01 in December 2003. The adoption of the remaining portions is not expected to have a material impact on our results of operations or financial condition.</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September 2004, the EITF reached a consensus on Issue No. 04-10, “Applying Paragraph 19 of FASB Statement No. 131, Disclosures about Segments of an Enterprise and Related Information (SFAS No. 131), in Determining Whether to Aggregate Operating Segments That Do Not Meet the Quantitative Thresholds.” Issue No. 04-10 clarifies the criteria for aggregating an operating segment that does not meet all of the aggregation criteria in paragraph 17 of SFAS No. 131, but also falls below the quantitative criteria that would dictate that the segment be reported separately. The consensus reached would enable an entity to aggregate two or more segments that have similar economic characteristics and share a majority of the aggregation criteria in paragraph 17 of SFAS No. 131. Although Issue No. 04-10 was to be effective immediately, in November 2004 the EITF delayed the implementation of this issue in order to have its effective date coincide with a related FASB Staff Position (FSP), which will clarify the meaning of similar economic characteristics. Issue No. 04-10 is to be applied by retroactive restatement of previous periods. Adoption of Issue No. 04-10 is not expected to have an impact on our operating results and financial condition.</w:t>
      </w:r>
    </w:p>
    <w:p>
      <w:pPr>
        <w:spacing w:after="0" w:line="18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November 2004, the FASB issued SFAS No. 151, “Inventory Costs.” This statement amends Chapter 4 of ARB No. 43 to clarify the accounting for abnormal amounts of idle facility expense, freight, handling costs and wasted material (spoilage), as well as requiring that allocation of fixed production overheads to the costs of conversion be based on the normal capacity of the production facilities. The provisions of this statement are effective for inventory costs incurred during fiscal years beginning after June 15, 2005, and the Company is currently assessing the impact of SFAS No. 151 on our operating results and financial condition.</w:t>
      </w:r>
    </w:p>
    <w:p>
      <w:pPr>
        <w:spacing w:after="0" w:line="18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During December 2004, the FASB issued SFAS No. 123 (Revised 2004), “Share-Based Payment” (SFAS 123R), which amends SFAS No. 123, “Accounting for Stock-Based Compensation” and SFAS 95, “Statement of Cash Flows.” SFAS 123R requires all companies to measure compensation cost 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does not expect there to be any impact from the accounting change on our financial position and results of operations.</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December 2004, the FASB issued SFAS No. 153, “Exchanges of Nonmonetary Assets.” This statement amends Accounting Principles Board (APB) Opinion No. 29 to improve financial reporting by eliminating certain narrow differences between the FASB’s and the International Accounting Standards Board’s (IASB) existing accounting standards for nonmonetary exchanges of similar productive assets. The provisions of this statement shall be prospectively applied and are effective for nonmonetary asset exchanges occurring in fiscal periods beginning after June 15, 2005. The Company is currently assessing the impact of SFAS No. 153 on our operating results and financial condition.</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At April 3, 2005, the Company had an investment portfolio of fixed income securities of $11,373,512, mutual funds of $8,038,275, investment contracts of $3,345,808 and cash and cash equivalents of $4,564,790.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funds, like all mutual funds, may increase or decrease due to market volatility. The investment contracts are variable rate insurance contracts that reset on a quarterly basis. A hypothetical 1% change in rates would impact investment income by approximately $33,000, based upon the amount of variable rate insurance contracts held at April 3, 2005. The Company adjusts the carrying value of its investments if an impairment occurs that is other than temporary.</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subject to the risk inherent in the cyclical nature of commodity chemical prices. However, the Company does not currently purchase forward contracts or otherwise engage in hedging activities with respect to the purchase of commodity chemicals.</w:t>
      </w:r>
    </w:p>
    <w:p>
      <w:pPr>
        <w:sectPr>
          <w:pgSz w:w="11900" w:h="16838" w:orient="portrait"/>
          <w:cols w:equalWidth="0" w:num="1">
            <w:col w:w="11420"/>
          </w:cols>
          <w:pgMar w:left="240" w:top="125"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audited the accompanying balance sheets of Hawkins, Inc. (the “Company”) as of April 3, 2005 and March 28, 2004, and the related statements of income, shareholders’ equity, and cash flows for each of the three years in the period ended April 3, 2005.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Hawkins, Inc. as of April 3, 2005 and March 28, 2004, and the results of its operations and its cash flows for each of the three fiscal years in the period ended April 3, 2005, in conformity with accounting principles generally accepted in the United States of America.</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effectiveness of the Company’s internal control over financial reporting as of April 3, 2005,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and our report dated June 29, 2005 expressed an unqualified opinion on management’s assessment of the effectiveness of the Company’s internal control over financial reporting and an adverse opinion on the effectiveness of the Company’s internal control over financial reporting because of a material weaknesses.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4,564,790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6,672,521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21,313,923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Trade receivables - less allowance for doubtful accounts: 2005, $225,000; 2004, 275,000</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13,673,953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11,308,851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8,587,610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 (Note 7)</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2,223,798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3,566,891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35,722,672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46,635,715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808,491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28,430,587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12,869,811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12,087,543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8,383,235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Office furniture and equipment including computer systems</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7,263,198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4,215,690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57,755,322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53,393,902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26,781,709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23,861,417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30,973,613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29,532,485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Intangible assets – less accumulated amortization: 2005, $1,870,719; 2004, $1,584,871</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2,492,330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16,085,074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2,384,429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1,895,011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20,961,833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87,658,118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70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5,946,189</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Dividends payable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1,846,321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employee benefits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3,954,968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Container deposits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1,095,948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1,495,294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accruals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14,257,984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1,178,422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1,614,843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authorized: 30,000,000 shares of $.05 par value; 10,257,341 and 10,216,688 shares issued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respectively</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512,867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38,232,076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37,747,492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Unearned compensation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(198,702)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(196,031)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33,849,357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29,449,991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72,199,567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67,904,645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87,658,118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82,616,905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Fiscal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April 3, 2005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March 28, 2004</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30, 2003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115,280,312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107,028,131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104,004,611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(79,053,842)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(76,046,759)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29,606,185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27,974,289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27,957,852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(18,089,829)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(16,793,094)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(14,890,640)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(Note 6)</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11,516,356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13,067,212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825,689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12,637,131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9,006,884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13,430,172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(3,255,000)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8,092,009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5,751,884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10,216,688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10,216,688</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10,222,669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10,216,688</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ectPr>
          <w:pgSz w:w="11900" w:h="16838" w:orient="portrait"/>
          <w:cols w:equalWidth="0" w:num="1">
            <w:col w:w="11420"/>
          </w:cols>
          <w:pgMar w:left="240" w:top="140" w:right="23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5"/>
            <w:vMerge w:val="restart"/>
          </w:tcPr>
          <w:p>
            <w:pPr>
              <w:jc w:val="right"/>
              <w:ind w:right="8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right"/>
              <w:ind w:right="520"/>
              <w:spacing w:after="0" w:line="131"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ind w:right="700"/>
              <w:spacing w:after="0" w:line="131" w:lineRule="exact"/>
              <w:rPr>
                <w:sz w:val="20"/>
                <w:szCs w:val="20"/>
                <w:color w:val="auto"/>
              </w:rPr>
            </w:pPr>
            <w:r>
              <w:rPr>
                <w:rFonts w:ascii="Arial" w:cs="Arial" w:eastAsia="Arial" w:hAnsi="Arial"/>
                <w:sz w:val="13"/>
                <w:szCs w:val="13"/>
                <w:b w:val="1"/>
                <w:bCs w:val="1"/>
                <w:color w:val="auto"/>
              </w:rPr>
              <w:t>Unearned</w:t>
            </w:r>
          </w:p>
        </w:tc>
        <w:tc>
          <w:tcPr>
            <w:tcW w:w="1000" w:type="dxa"/>
            <w:vAlign w:val="bottom"/>
            <w:gridSpan w:val="3"/>
          </w:tcPr>
          <w:p>
            <w:pPr>
              <w:jc w:val="right"/>
              <w:ind w:right="440"/>
              <w:spacing w:after="0" w:line="131" w:lineRule="exact"/>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4"/>
          </w:tcPr>
          <w:p>
            <w:pPr>
              <w:jc w:val="center"/>
              <w:ind w:right="30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3"/>
                <w:szCs w:val="13"/>
                <w:color w:val="auto"/>
              </w:rPr>
            </w:pPr>
          </w:p>
        </w:tc>
        <w:tc>
          <w:tcPr>
            <w:tcW w:w="90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7"/>
              </w:rPr>
              <w:t>Shareholders’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3"/>
                <w:szCs w:val="13"/>
                <w:b w:val="1"/>
                <w:bCs w:val="1"/>
                <w:color w:val="auto"/>
              </w:rPr>
              <w:t>Shares</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0"/>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right"/>
              <w:ind w:right="520"/>
              <w:spacing w:after="0" w:line="143"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560"/>
              <w:spacing w:after="0" w:line="143" w:lineRule="exact"/>
              <w:rPr>
                <w:sz w:val="20"/>
                <w:szCs w:val="20"/>
                <w:color w:val="auto"/>
              </w:rPr>
            </w:pPr>
            <w:r>
              <w:rPr>
                <w:rFonts w:ascii="Arial" w:cs="Arial" w:eastAsia="Arial" w:hAnsi="Arial"/>
                <w:sz w:val="13"/>
                <w:szCs w:val="13"/>
                <w:b w:val="1"/>
                <w:bCs w:val="1"/>
                <w:color w:val="auto"/>
                <w:w w:val="92"/>
              </w:rPr>
              <w:t>Compensation</w:t>
            </w:r>
          </w:p>
        </w:tc>
        <w:tc>
          <w:tcPr>
            <w:tcW w:w="1000" w:type="dxa"/>
            <w:vAlign w:val="bottom"/>
            <w:gridSpan w:val="3"/>
          </w:tcPr>
          <w:p>
            <w:pPr>
              <w:jc w:val="right"/>
              <w:ind w:right="440"/>
              <w:spacing w:after="0" w:line="143" w:lineRule="exact"/>
              <w:rPr>
                <w:sz w:val="20"/>
                <w:szCs w:val="20"/>
                <w:color w:val="auto"/>
              </w:rPr>
            </w:pPr>
            <w:r>
              <w:rPr>
                <w:rFonts w:ascii="Arial" w:cs="Arial" w:eastAsia="Arial" w:hAnsi="Arial"/>
                <w:sz w:val="13"/>
                <w:szCs w:val="13"/>
                <w:b w:val="1"/>
                <w:bCs w:val="1"/>
                <w:color w:val="auto"/>
                <w:w w:val="96"/>
              </w:rPr>
              <w:t>Earnings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300"/>
              <w:spacing w:after="0" w:line="143" w:lineRule="exact"/>
              <w:rPr>
                <w:sz w:val="20"/>
                <w:szCs w:val="20"/>
                <w:color w:val="auto"/>
              </w:rPr>
            </w:pPr>
            <w:r>
              <w:rPr>
                <w:rFonts w:ascii="Arial" w:cs="Arial" w:eastAsia="Arial" w:hAnsi="Arial"/>
                <w:sz w:val="13"/>
                <w:szCs w:val="13"/>
                <w:b w:val="1"/>
                <w:bCs w:val="1"/>
                <w:color w:val="auto"/>
                <w:w w:val="86"/>
              </w:rPr>
              <w:t>Income (Loss)</w:t>
            </w:r>
          </w:p>
        </w:tc>
        <w:tc>
          <w:tcPr>
            <w:tcW w:w="200" w:type="dxa"/>
            <w:vAlign w:val="bottom"/>
          </w:tcPr>
          <w:p>
            <w:pPr>
              <w:spacing w:after="0"/>
              <w:rPr>
                <w:sz w:val="12"/>
                <w:szCs w:val="12"/>
                <w:color w:val="auto"/>
              </w:rPr>
            </w:pPr>
          </w:p>
        </w:tc>
        <w:tc>
          <w:tcPr>
            <w:tcW w:w="90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BALANCE—March 31, 2002</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10,216,688</w:t>
            </w:r>
          </w:p>
        </w:tc>
        <w:tc>
          <w:tcPr>
            <w:tcW w:w="4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510,834</w:t>
            </w: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37,747,492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22,317,637</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(145,528)</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60,430,435</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Cash dividends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(3,371,694)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(3,371,694)</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Unrealized loss on</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lef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investments available for</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sale</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(8,509)</w:t>
            </w:r>
          </w:p>
        </w:tc>
        <w:tc>
          <w:tcPr>
            <w:tcW w:w="200" w:type="dxa"/>
            <w:vAlign w:val="bottom"/>
            <w:tcBorders>
              <w:right w:val="single" w:sz="8" w:color="CCEEFF"/>
            </w:tcBorders>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(8,509)</w:t>
            </w: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Adjustment for impairment of</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investments included in net</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2"/>
          </w:tcPr>
          <w:p>
            <w:pPr>
              <w:ind w:left="520"/>
              <w:spacing w:after="0"/>
              <w:rPr>
                <w:sz w:val="20"/>
                <w:szCs w:val="20"/>
                <w:color w:val="auto"/>
              </w:rPr>
            </w:pPr>
            <w:r>
              <w:rPr>
                <w:rFonts w:ascii="Arial" w:cs="Arial" w:eastAsia="Arial" w:hAnsi="Arial"/>
                <w:sz w:val="14"/>
                <w:szCs w:val="14"/>
                <w:color w:val="auto"/>
              </w:rPr>
              <w:t>income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233,100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233,100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8,430,172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8,430,172</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8,654,763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BALANCE—March 30, 2003</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10,216,688</w:t>
            </w:r>
          </w:p>
        </w:tc>
        <w:tc>
          <w:tcPr>
            <w:tcW w:w="4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510,834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37,747,492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27,376,115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79,063</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65,713,504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Cash dividends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(3,678,008)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(3,678,008)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Unrealized gain on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investments available for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2"/>
          </w:tcPr>
          <w:p>
            <w:pPr>
              <w:ind w:left="520"/>
              <w:spacing w:after="0"/>
              <w:rPr>
                <w:sz w:val="20"/>
                <w:szCs w:val="20"/>
                <w:color w:val="auto"/>
              </w:rPr>
            </w:pPr>
            <w:r>
              <w:rPr>
                <w:rFonts w:ascii="Arial" w:cs="Arial" w:eastAsia="Arial" w:hAnsi="Arial"/>
                <w:sz w:val="14"/>
                <w:szCs w:val="14"/>
                <w:color w:val="auto"/>
              </w:rPr>
              <w:t>sale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117,265</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117,265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5,751,884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5,751,884</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5,869,149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BALANCE—March 28, 2004</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10,216,688</w:t>
            </w:r>
          </w:p>
        </w:tc>
        <w:tc>
          <w:tcPr>
            <w:tcW w:w="4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510,834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37,747,492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29,449,991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196,328</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67,904,645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Cash dividends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(3,692,643)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(3,692,643)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Restricted stock issued</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40,653</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484,584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(486,617)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Amortization of unearned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2"/>
          </w:tcPr>
          <w:p>
            <w:pPr>
              <w:ind w:left="340"/>
              <w:spacing w:after="0"/>
              <w:rPr>
                <w:sz w:val="20"/>
                <w:szCs w:val="20"/>
                <w:color w:val="auto"/>
              </w:rPr>
            </w:pPr>
            <w:r>
              <w:rPr>
                <w:rFonts w:ascii="Arial" w:cs="Arial" w:eastAsia="Arial" w:hAnsi="Arial"/>
                <w:sz w:val="14"/>
                <w:szCs w:val="14"/>
                <w:color w:val="auto"/>
              </w:rPr>
              <w:t>compensation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287,915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287,915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Unrealized loss on</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investments available for</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2"/>
          </w:tcPr>
          <w:p>
            <w:pPr>
              <w:ind w:left="520"/>
              <w:spacing w:after="0"/>
              <w:rPr>
                <w:sz w:val="20"/>
                <w:szCs w:val="20"/>
                <w:color w:val="auto"/>
              </w:rPr>
            </w:pPr>
            <w:r>
              <w:rPr>
                <w:rFonts w:ascii="Arial" w:cs="Arial" w:eastAsia="Arial" w:hAnsi="Arial"/>
                <w:sz w:val="14"/>
                <w:szCs w:val="14"/>
                <w:color w:val="auto"/>
              </w:rPr>
              <w:t>sale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(392,359)</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(392,359)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8,092,009</w:t>
            </w: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2"/>
          </w:tcPr>
          <w:p>
            <w:pPr>
              <w:ind w:left="520"/>
              <w:spacing w:after="0" w:line="142"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7,699,650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BALANCE—April 3, 2005</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10,257,341</w:t>
            </w:r>
          </w:p>
        </w:tc>
        <w:tc>
          <w:tcPr>
            <w:tcW w:w="16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512,867</w:t>
            </w:r>
          </w:p>
        </w:tc>
        <w:tc>
          <w:tcPr>
            <w:tcW w:w="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38,232,076</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(198,702)  $</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33,849,357</w:t>
            </w:r>
          </w:p>
        </w:tc>
        <w:tc>
          <w:tcPr>
            <w:tcW w:w="120" w:type="dxa"/>
            <w:vAlign w:val="bottom"/>
          </w:tcPr>
          <w:p>
            <w:pPr>
              <w:spacing w:after="0"/>
              <w:rPr>
                <w:sz w:val="12"/>
                <w:szCs w:val="12"/>
                <w:color w:val="auto"/>
              </w:rPr>
            </w:pPr>
          </w:p>
        </w:tc>
        <w:tc>
          <w:tcPr>
            <w:tcW w:w="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(196,031)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72,199,567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840" w:type="dxa"/>
            <w:vAlign w:val="bottom"/>
            <w:gridSpan w:val="6"/>
          </w:tcPr>
          <w:p>
            <w:pPr>
              <w:spacing w:after="0"/>
              <w:rPr>
                <w:sz w:val="20"/>
                <w:szCs w:val="20"/>
                <w:color w:val="auto"/>
              </w:rPr>
            </w:pPr>
            <w:r>
              <w:rPr>
                <w:rFonts w:ascii="Arial" w:cs="Arial" w:eastAsia="Arial" w:hAnsi="Arial"/>
                <w:sz w:val="18"/>
                <w:szCs w:val="18"/>
                <w:color w:val="auto"/>
                <w:w w:val="97"/>
              </w:rPr>
              <w:t>See accompanying notes to financial statements.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35"/>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STATEMENTS OF CASH FLOWS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24"/>
                <w:szCs w:val="24"/>
                <w:color w:val="auto"/>
              </w:rPr>
            </w:pPr>
          </w:p>
        </w:tc>
        <w:tc>
          <w:tcPr>
            <w:tcW w:w="84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90"/>
              </w:rPr>
              <w:t>Fiscal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2"/>
                <w:szCs w:val="12"/>
                <w:color w:val="auto"/>
              </w:rPr>
            </w:pPr>
          </w:p>
        </w:tc>
        <w:tc>
          <w:tcPr>
            <w:tcW w:w="1140" w:type="dxa"/>
            <w:vAlign w:val="bottom"/>
            <w:gridSpan w:val="4"/>
          </w:tcPr>
          <w:p>
            <w:pPr>
              <w:jc w:val="center"/>
              <w:ind w:left="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April 3, 2005</w:t>
            </w:r>
          </w:p>
        </w:tc>
        <w:tc>
          <w:tcPr>
            <w:tcW w:w="160" w:type="dxa"/>
            <w:vAlign w:val="bottom"/>
          </w:tcPr>
          <w:p>
            <w:pPr>
              <w:spacing w:after="0"/>
              <w:rPr>
                <w:sz w:val="14"/>
                <w:szCs w:val="14"/>
                <w:color w:val="auto"/>
              </w:rPr>
            </w:pPr>
          </w:p>
        </w:tc>
        <w:tc>
          <w:tcPr>
            <w:tcW w:w="1140" w:type="dxa"/>
            <w:vAlign w:val="bottom"/>
            <w:gridSpan w:val="4"/>
          </w:tcPr>
          <w:p>
            <w:pPr>
              <w:jc w:val="center"/>
              <w:ind w:left="60"/>
              <w:spacing w:after="0"/>
              <w:rPr>
                <w:sz w:val="20"/>
                <w:szCs w:val="20"/>
                <w:color w:val="auto"/>
              </w:rPr>
            </w:pPr>
            <w:r>
              <w:rPr>
                <w:rFonts w:ascii="Arial" w:cs="Arial" w:eastAsia="Arial" w:hAnsi="Arial"/>
                <w:sz w:val="14"/>
                <w:szCs w:val="14"/>
                <w:b w:val="1"/>
                <w:bCs w:val="1"/>
                <w:color w:val="auto"/>
                <w:w w:val="96"/>
              </w:rPr>
              <w:t>March 28, 2004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March 30, 2003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8,092,009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6"/>
          </w:tcPr>
          <w:p>
            <w:pPr>
              <w:jc w:val="right"/>
              <w:ind w:right="260"/>
              <w:spacing w:after="0"/>
              <w:rPr>
                <w:sz w:val="20"/>
                <w:szCs w:val="20"/>
                <w:color w:val="auto"/>
              </w:rPr>
            </w:pPr>
            <w:r>
              <w:rPr>
                <w:rFonts w:ascii="Arial" w:cs="Arial" w:eastAsia="Arial" w:hAnsi="Arial"/>
                <w:sz w:val="18"/>
                <w:szCs w:val="18"/>
                <w:color w:val="auto"/>
              </w:rPr>
              <w:t>5,751,884</w:t>
            </w:r>
          </w:p>
        </w:tc>
        <w:tc>
          <w:tcPr>
            <w:tcW w:w="520" w:type="dxa"/>
            <w:vAlign w:val="bottom"/>
          </w:tcPr>
          <w:p>
            <w:pPr>
              <w:jc w:val="right"/>
              <w:ind w:right="368"/>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8,430,172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w w:val="92"/>
              </w:rPr>
              <w:t>Depreciation and amortization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4,522,861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8"/>
                <w:szCs w:val="18"/>
                <w:color w:val="auto"/>
              </w:rPr>
              <w:t>2,992,104</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2,958,975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23,033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9"/>
              </w:rPr>
              <w:t>270,612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(121,770)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340"/>
              <w:spacing w:after="0"/>
              <w:rPr>
                <w:sz w:val="20"/>
                <w:szCs w:val="20"/>
                <w:color w:val="auto"/>
              </w:rPr>
            </w:pPr>
            <w:r>
              <w:rPr>
                <w:rFonts w:ascii="Arial" w:cs="Arial" w:eastAsia="Arial" w:hAnsi="Arial"/>
                <w:sz w:val="18"/>
                <w:szCs w:val="18"/>
                <w:color w:val="auto"/>
                <w:w w:val="96"/>
              </w:rPr>
              <w:t>Restricted stock compensation expense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287,915</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8"/>
              </w:rPr>
              <w:t>Adjustment of notes receivable reserve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(658,134)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rPr>
              <w:t>Impairment of investments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on other assets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(6,854)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(41,642)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(72,929)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340"/>
              <w:spacing w:after="0"/>
              <w:rPr>
                <w:sz w:val="20"/>
                <w:szCs w:val="20"/>
                <w:color w:val="auto"/>
              </w:rPr>
            </w:pPr>
            <w:r>
              <w:rPr>
                <w:rFonts w:ascii="Arial" w:cs="Arial" w:eastAsia="Arial" w:hAnsi="Arial"/>
                <w:sz w:val="18"/>
                <w:szCs w:val="18"/>
                <w:color w:val="auto"/>
                <w:w w:val="96"/>
              </w:rPr>
              <w:t>Loss from property disposals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134,439</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69,716</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Trade receivables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(2,365,102)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(55,280)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(590,763)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299,471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9"/>
              </w:rPr>
              <w:t>511,257</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1,194,140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6"/>
          </w:tcPr>
          <w:p>
            <w:pPr>
              <w:jc w:val="right"/>
              <w:ind w:right="200"/>
              <w:spacing w:after="0"/>
              <w:rPr>
                <w:sz w:val="20"/>
                <w:szCs w:val="20"/>
                <w:color w:val="auto"/>
              </w:rPr>
            </w:pPr>
            <w:r>
              <w:rPr>
                <w:rFonts w:ascii="Arial" w:cs="Arial" w:eastAsia="Arial" w:hAnsi="Arial"/>
                <w:sz w:val="18"/>
                <w:szCs w:val="18"/>
                <w:color w:val="auto"/>
              </w:rPr>
              <w:t>(1,102,671)</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1,758,900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(18,745)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69,502</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2,079,348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1,112,125</w:t>
            </w:r>
          </w:p>
        </w:tc>
        <w:tc>
          <w:tcPr>
            <w:tcW w:w="160" w:type="dxa"/>
            <w:vAlign w:val="bottom"/>
          </w:tcPr>
          <w:p>
            <w:pPr>
              <w:spacing w:after="0"/>
              <w:rPr>
                <w:sz w:val="18"/>
                <w:szCs w:val="18"/>
                <w:color w:val="auto"/>
              </w:rPr>
            </w:pPr>
          </w:p>
        </w:tc>
        <w:tc>
          <w:tcPr>
            <w:tcW w:w="1700" w:type="dxa"/>
            <w:vAlign w:val="bottom"/>
            <w:gridSpan w:val="6"/>
          </w:tcPr>
          <w:p>
            <w:pPr>
              <w:jc w:val="right"/>
              <w:ind w:right="200"/>
              <w:spacing w:after="0"/>
              <w:rPr>
                <w:sz w:val="20"/>
                <w:szCs w:val="20"/>
                <w:color w:val="auto"/>
              </w:rPr>
            </w:pPr>
            <w:r>
              <w:rPr>
                <w:rFonts w:ascii="Arial" w:cs="Arial" w:eastAsia="Arial" w:hAnsi="Arial"/>
                <w:sz w:val="18"/>
                <w:szCs w:val="18"/>
                <w:color w:val="auto"/>
              </w:rPr>
              <w:t>(1,053,886)</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(256,741)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5"/>
            <w:shd w:val="clear" w:color="auto" w:fill="CCEEFF"/>
          </w:tcPr>
          <w:p>
            <w:pPr>
              <w:ind w:left="700"/>
              <w:spacing w:after="0"/>
              <w:rPr>
                <w:sz w:val="20"/>
                <w:szCs w:val="20"/>
                <w:color w:val="auto"/>
              </w:rPr>
            </w:pPr>
            <w:r>
              <w:rPr>
                <w:rFonts w:ascii="Arial" w:cs="Arial" w:eastAsia="Arial" w:hAnsi="Arial"/>
                <w:sz w:val="18"/>
                <w:szCs w:val="18"/>
                <w:color w:val="auto"/>
                <w:w w:val="95"/>
              </w:rPr>
              <w:t>Net cash provided by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12,617,158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7,411,596</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14,589,108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gridSpan w:val="5"/>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8"/>
              </w:rPr>
              <w:t>CASH FLOWS FROM INVESTING ACTIVITIES: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w w:val="94"/>
              </w:rPr>
              <w:t>Additions to property, plant, and equipment</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(5,922,862)</w:t>
            </w:r>
          </w:p>
        </w:tc>
        <w:tc>
          <w:tcPr>
            <w:tcW w:w="160" w:type="dxa"/>
            <w:vAlign w:val="bottom"/>
          </w:tcPr>
          <w:p>
            <w:pPr>
              <w:spacing w:after="0"/>
              <w:rPr>
                <w:sz w:val="18"/>
                <w:szCs w:val="18"/>
                <w:color w:val="auto"/>
              </w:rPr>
            </w:pPr>
          </w:p>
        </w:tc>
        <w:tc>
          <w:tcPr>
            <w:tcW w:w="1700" w:type="dxa"/>
            <w:vAlign w:val="bottom"/>
            <w:gridSpan w:val="6"/>
          </w:tcPr>
          <w:p>
            <w:pPr>
              <w:jc w:val="right"/>
              <w:ind w:right="200"/>
              <w:spacing w:after="0"/>
              <w:rPr>
                <w:sz w:val="20"/>
                <w:szCs w:val="20"/>
                <w:color w:val="auto"/>
              </w:rPr>
            </w:pPr>
            <w:r>
              <w:rPr>
                <w:rFonts w:ascii="Arial" w:cs="Arial" w:eastAsia="Arial" w:hAnsi="Arial"/>
                <w:sz w:val="18"/>
                <w:szCs w:val="18"/>
                <w:color w:val="auto"/>
              </w:rPr>
              <w:t>(4,897,551)</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(2,348,124)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investments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(11,491,472)</w:t>
            </w:r>
          </w:p>
        </w:tc>
        <w:tc>
          <w:tcPr>
            <w:tcW w:w="16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(8,506,919)</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(21,395,228)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Sale and maturities of investments</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11,201,957</w:t>
            </w:r>
          </w:p>
        </w:tc>
        <w:tc>
          <w:tcPr>
            <w:tcW w:w="160" w:type="dxa"/>
            <w:vAlign w:val="bottom"/>
          </w:tcPr>
          <w:p>
            <w:pPr>
              <w:spacing w:after="0"/>
              <w:rPr>
                <w:sz w:val="18"/>
                <w:szCs w:val="18"/>
                <w:color w:val="auto"/>
              </w:rPr>
            </w:pPr>
          </w:p>
        </w:tc>
        <w:tc>
          <w:tcPr>
            <w:tcW w:w="1700" w:type="dxa"/>
            <w:vAlign w:val="bottom"/>
            <w:gridSpan w:val="6"/>
          </w:tcPr>
          <w:p>
            <w:pPr>
              <w:jc w:val="right"/>
              <w:ind w:right="260"/>
              <w:spacing w:after="0"/>
              <w:rPr>
                <w:sz w:val="20"/>
                <w:szCs w:val="20"/>
                <w:color w:val="auto"/>
              </w:rPr>
            </w:pPr>
            <w:r>
              <w:rPr>
                <w:rFonts w:ascii="Arial" w:cs="Arial" w:eastAsia="Arial" w:hAnsi="Arial"/>
                <w:sz w:val="18"/>
                <w:szCs w:val="18"/>
                <w:color w:val="auto"/>
              </w:rPr>
              <w:t>9,630,392</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6,022,000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Proceeds from property disposals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110,283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53,250</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59,150</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4"/>
          </w:tcPr>
          <w:p>
            <w:pPr>
              <w:ind w:left="160"/>
              <w:spacing w:after="0"/>
              <w:rPr>
                <w:sz w:val="20"/>
                <w:szCs w:val="20"/>
                <w:color w:val="auto"/>
              </w:rPr>
            </w:pPr>
            <w:r>
              <w:rPr>
                <w:rFonts w:ascii="Arial" w:cs="Arial" w:eastAsia="Arial" w:hAnsi="Arial"/>
                <w:sz w:val="18"/>
                <w:szCs w:val="18"/>
                <w:color w:val="auto"/>
              </w:rPr>
              <w:t>Payments received on notes receivable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176,083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192,489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269,122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4"/>
            <w:shd w:val="clear" w:color="auto" w:fill="CCEEFF"/>
          </w:tcPr>
          <w:p>
            <w:pPr>
              <w:ind w:left="700"/>
              <w:spacing w:after="0"/>
              <w:rPr>
                <w:sz w:val="20"/>
                <w:szCs w:val="20"/>
                <w:color w:val="auto"/>
              </w:rPr>
            </w:pPr>
            <w:r>
              <w:rPr>
                <w:rFonts w:ascii="Arial" w:cs="Arial" w:eastAsia="Arial" w:hAnsi="Arial"/>
                <w:sz w:val="18"/>
                <w:szCs w:val="18"/>
                <w:color w:val="auto"/>
                <w:w w:val="95"/>
              </w:rPr>
              <w:t>Net cash used in investing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(5,926,011)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(3,528,339)</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(17,393,080)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gridSpan w:val="5"/>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CASH FLOWS FROM FINANCING ACTIVITIES: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color w:val="auto"/>
              </w:rPr>
              <w:t>Cash dividends paid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(3,685,326)</w:t>
            </w:r>
          </w:p>
        </w:tc>
        <w:tc>
          <w:tcPr>
            <w:tcW w:w="160" w:type="dxa"/>
            <w:vAlign w:val="bottom"/>
          </w:tcPr>
          <w:p>
            <w:pPr>
              <w:spacing w:after="0"/>
              <w:rPr>
                <w:sz w:val="18"/>
                <w:szCs w:val="18"/>
                <w:color w:val="auto"/>
              </w:rPr>
            </w:pPr>
          </w:p>
        </w:tc>
        <w:tc>
          <w:tcPr>
            <w:tcW w:w="1700" w:type="dxa"/>
            <w:vAlign w:val="bottom"/>
            <w:gridSpan w:val="6"/>
          </w:tcPr>
          <w:p>
            <w:pPr>
              <w:jc w:val="right"/>
              <w:ind w:right="200"/>
              <w:spacing w:after="0"/>
              <w:rPr>
                <w:sz w:val="20"/>
                <w:szCs w:val="20"/>
                <w:color w:val="auto"/>
              </w:rPr>
            </w:pPr>
            <w:r>
              <w:rPr>
                <w:rFonts w:ascii="Arial" w:cs="Arial" w:eastAsia="Arial" w:hAnsi="Arial"/>
                <w:sz w:val="18"/>
                <w:szCs w:val="18"/>
                <w:color w:val="auto"/>
              </w:rPr>
              <w:t>(3,678,008)</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(3,065,380)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repayment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(116,823)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gridSpan w:val="4"/>
          </w:tcPr>
          <w:p>
            <w:pPr>
              <w:ind w:left="700"/>
              <w:spacing w:after="0"/>
              <w:rPr>
                <w:sz w:val="20"/>
                <w:szCs w:val="20"/>
                <w:color w:val="auto"/>
              </w:rPr>
            </w:pPr>
            <w:r>
              <w:rPr>
                <w:rFonts w:ascii="Arial" w:cs="Arial" w:eastAsia="Arial" w:hAnsi="Arial"/>
                <w:sz w:val="18"/>
                <w:szCs w:val="18"/>
                <w:color w:val="auto"/>
                <w:w w:val="94"/>
              </w:rPr>
              <w:t>Net cash used in financing activities</w:t>
            </w:r>
          </w:p>
        </w:tc>
        <w:tc>
          <w:tcPr>
            <w:tcW w:w="4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(3,685,326)</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(3,678,008)</w:t>
            </w:r>
          </w:p>
        </w:tc>
        <w:tc>
          <w:tcPr>
            <w:tcW w:w="2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(3,182,203)</w:t>
            </w:r>
          </w:p>
        </w:tc>
        <w:tc>
          <w:tcPr>
            <w:tcW w:w="1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1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3,005,821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205,249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(5,986,175)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-5734050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-5734050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23" w:right="21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1,558,969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1,353,720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7,339,895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4,564,790</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1,558,969</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1,353,720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9"/>
              </w:rPr>
              <w:t>SUPPLEMENTAL DISCLOSURES OF CASH FLOW INFORMATION—</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restricted stock</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486,617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tcBorders>
              <w:top w:val="single" w:sz="8" w:color="CCEEFF"/>
            </w:tcBorders>
          </w:tcPr>
          <w:p>
            <w:pPr>
              <w:ind w:left="160"/>
              <w:spacing w:after="0" w:line="189" w:lineRule="exact"/>
              <w:rPr>
                <w:sz w:val="20"/>
                <w:szCs w:val="20"/>
                <w:color w:val="auto"/>
              </w:rPr>
            </w:pPr>
            <w:r>
              <w:rPr>
                <w:rFonts w:ascii="Arial" w:cs="Arial" w:eastAsia="Arial" w:hAnsi="Arial"/>
                <w:sz w:val="18"/>
                <w:szCs w:val="18"/>
                <w:color w:val="auto"/>
              </w:rPr>
              <w:t>Cash paid during the year for:</w:t>
            </w:r>
          </w:p>
        </w:tc>
        <w:tc>
          <w:tcPr>
            <w:tcW w:w="24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3,374,364</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3,897,997</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5,106,724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Interest</w:t>
            </w: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8,177</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25"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Nature of Business</w:t>
      </w:r>
      <w:r>
        <w:rPr>
          <w:rFonts w:ascii="Arial" w:cs="Arial" w:eastAsia="Arial" w:hAnsi="Arial"/>
          <w:sz w:val="17"/>
          <w:szCs w:val="17"/>
          <w:b w:val="1"/>
          <w:bCs w:val="1"/>
          <w:color w:val="auto"/>
        </w:rPr>
        <w:t>—</w:t>
      </w:r>
      <w:r>
        <w:rPr>
          <w:rFonts w:ascii="Arial" w:cs="Arial" w:eastAsia="Arial" w:hAnsi="Arial"/>
          <w:sz w:val="17"/>
          <w:szCs w:val="17"/>
          <w:color w:val="auto"/>
        </w:rPr>
        <w:t>Hawkins, Inc. (the “Company”) has three reportable segments: Industrial, Water Treatment and Pharmaceutical. The Industrial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waste-water treatment equipment, chemicals and service to municipal and industrial customers. The Pharmaceutical segment specializes in providing pharmaceutical chemicals to pharmacies and small-scale pharmaceutical manufacturers.</w:t>
      </w:r>
    </w:p>
    <w:p>
      <w:pPr>
        <w:spacing w:after="0" w:line="168" w:lineRule="exact"/>
        <w:rPr>
          <w:rFonts w:ascii="Arial" w:cs="Arial" w:eastAsia="Arial" w:hAnsi="Arial"/>
          <w:sz w:val="18"/>
          <w:szCs w:val="18"/>
          <w:b w:val="1"/>
          <w:bCs w:val="1"/>
          <w:color w:val="auto"/>
        </w:rPr>
      </w:pPr>
    </w:p>
    <w:p>
      <w:pPr>
        <w:ind w:left="660" w:right="1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b w:val="1"/>
          <w:bCs w:val="1"/>
          <w:color w:val="auto"/>
        </w:rPr>
        <w:t>—</w:t>
      </w:r>
      <w:r>
        <w:rPr>
          <w:rFonts w:ascii="Arial" w:cs="Arial" w:eastAsia="Arial" w:hAnsi="Arial"/>
          <w:sz w:val="18"/>
          <w:szCs w:val="18"/>
          <w:color w:val="auto"/>
        </w:rPr>
        <w:t>The Company’s fiscal year is a 52/53-week year ending on the Sunday closest to March 31. The fiscal year ended April 3, 2005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53-week year and the fiscal years ended March 28, 2004 and March 30, 2003 were 52-week years.</w:t>
      </w:r>
    </w:p>
    <w:p>
      <w:pPr>
        <w:spacing w:after="0" w:line="161" w:lineRule="exact"/>
        <w:rPr>
          <w:rFonts w:ascii="Arial" w:cs="Arial" w:eastAsia="Arial" w:hAnsi="Arial"/>
          <w:sz w:val="18"/>
          <w:szCs w:val="18"/>
          <w:b w:val="1"/>
          <w:bCs w:val="1"/>
          <w:color w:val="auto"/>
        </w:rPr>
      </w:pPr>
    </w:p>
    <w:p>
      <w:pPr>
        <w:ind w:left="660" w:right="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b w:val="1"/>
          <w:bCs w:val="1"/>
          <w:color w:val="auto"/>
        </w:rPr>
        <w:t>—</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0" w:lineRule="exact"/>
        <w:rPr>
          <w:rFonts w:ascii="Arial" w:cs="Arial" w:eastAsia="Arial" w:hAnsi="Arial"/>
          <w:sz w:val="18"/>
          <w:szCs w:val="18"/>
          <w:b w:val="1"/>
          <w:bCs w:val="1"/>
          <w:color w:val="auto"/>
        </w:rPr>
      </w:pPr>
    </w:p>
    <w:p>
      <w:pPr>
        <w:ind w:left="660" w:right="12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color w:val="auto"/>
        </w:rPr>
        <w:t>The Company recognizes revenue when the product has been shipped to the customer if there is evidence that the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agreed to purchase the products, performance has occurred, the price and terms of sale are fixed, and collection of the receivable is expected.</w:t>
      </w:r>
    </w:p>
    <w:p>
      <w:pPr>
        <w:spacing w:after="0" w:line="120" w:lineRule="exact"/>
        <w:rPr>
          <w:rFonts w:ascii="Arial" w:cs="Arial" w:eastAsia="Arial" w:hAnsi="Arial"/>
          <w:sz w:val="18"/>
          <w:szCs w:val="18"/>
          <w:b w:val="1"/>
          <w:bCs w:val="1"/>
          <w:color w:val="auto"/>
        </w:rPr>
      </w:pPr>
    </w:p>
    <w:p>
      <w:pPr>
        <w:ind w:left="660" w:right="2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color w:val="auto"/>
        </w:rPr>
        <w:t>All shipping and handling amounts billed to customers are included in revenues. Costs incurred related to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are included in costs of sales.</w:t>
      </w:r>
    </w:p>
    <w:p>
      <w:pPr>
        <w:spacing w:after="0" w:line="166" w:lineRule="exact"/>
        <w:rPr>
          <w:rFonts w:ascii="Arial" w:cs="Arial" w:eastAsia="Arial" w:hAnsi="Arial"/>
          <w:sz w:val="18"/>
          <w:szCs w:val="18"/>
          <w:b w:val="1"/>
          <w:bCs w:val="1"/>
          <w:color w:val="auto"/>
        </w:rPr>
      </w:pPr>
    </w:p>
    <w:p>
      <w:pPr>
        <w:ind w:left="66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include all liquid debt instruments (primarily cash funds, money market accounts and certificates of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76" w:lineRule="exact"/>
        <w:rPr>
          <w:rFonts w:ascii="Arial" w:cs="Arial" w:eastAsia="Arial" w:hAnsi="Arial"/>
          <w:sz w:val="18"/>
          <w:szCs w:val="18"/>
          <w:b w:val="1"/>
          <w:bCs w:val="1"/>
          <w:color w:val="auto"/>
        </w:rPr>
      </w:pPr>
    </w:p>
    <w:p>
      <w:pPr>
        <w:ind w:left="660" w:right="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Held-to-maturity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debt securities, which the Company has the intent and ability to hold to maturity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valued at amortized historical cost. Under certain circumstances (including the deterioration of the issuer’s creditworthiness or a change in tax law or statutory or regulatory requirements), securities held-to-maturity may be sold or transferred to another portfolio.</w:t>
      </w:r>
    </w:p>
    <w:p>
      <w:pPr>
        <w:spacing w:after="0" w:line="180" w:lineRule="exact"/>
        <w:rPr>
          <w:rFonts w:ascii="Arial" w:cs="Arial" w:eastAsia="Arial" w:hAnsi="Arial"/>
          <w:sz w:val="18"/>
          <w:szCs w:val="18"/>
          <w:b w:val="1"/>
          <w:bCs w:val="1"/>
          <w:color w:val="auto"/>
        </w:rPr>
      </w:pPr>
    </w:p>
    <w:p>
      <w:pPr>
        <w:ind w:left="660" w:right="20"/>
        <w:spacing w:after="0" w:line="290"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Available-for-sale securities </w:t>
      </w:r>
      <w:r>
        <w:rPr>
          <w:rFonts w:ascii="Arial" w:cs="Arial" w:eastAsia="Arial" w:hAnsi="Arial"/>
          <w:sz w:val="16"/>
          <w:szCs w:val="16"/>
          <w:color w:val="auto"/>
        </w:rPr>
        <w:t>consist of debt and equity securities that will be held for indefinite periods of time, including securities that may be sold</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changes in market interest or prepayment rates, needs for liquidity, or changes in the availability or yield of alternative investments. These securities are valued at current market value, with the resulting unrealized holding gains and losses excluded from earnings and reported, net of tax, as a separate component of shareholders’ equity until realized. Available-for-sale securities are included in current assets if their market value exceeds its amortized cost and are available to fund current operations. Available-for-sale securities whose market value is less than its amortized cost that have not been identified as other-than-temporarily impaired are classified as current assets if the security matures in less than one year and are classified as non-current assets if the security matures in one year or longer. Available-for-sale securities with a market value of $15,570,000 and $1,050,516 were classified as non-current at April 3, 2005 and March 28, 2004, respectively.</w:t>
      </w:r>
    </w:p>
    <w:p>
      <w:pPr>
        <w:spacing w:after="0" w:line="166" w:lineRule="exact"/>
        <w:rPr>
          <w:rFonts w:ascii="Arial" w:cs="Arial" w:eastAsia="Arial" w:hAnsi="Arial"/>
          <w:sz w:val="18"/>
          <w:szCs w:val="18"/>
          <w:b w:val="1"/>
          <w:bCs w:val="1"/>
          <w:color w:val="auto"/>
        </w:rPr>
      </w:pPr>
    </w:p>
    <w:p>
      <w:pPr>
        <w:ind w:left="6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All securities with gross unrealized losses are subjected to the Company’s process for identifying other-than-temporary impairments. The Company writes down to fair value securities that it deems to be other-than-temporarily impaired in the period the securities are deemed to be impaired. The initial indicator of impairment is a sustained decline in market price below the amortized cost of the investment. On a case-by-case basis, the Company considers the length of time and the extent to which market value has been less than cost, the cause of the price decline, the extent to which the price decline is due to the general level of interest rates or other issuer specific factors, the issuer’s financial condition and ability to make future payments in a timely manner, and the Company’s investment horizon. A loss of $370,000 was recorded in the fiscal year ended March 30, 2003 due to declines in market value that were deemed other than temporary. The Company does not engage in trading activities.</w:t>
      </w:r>
    </w:p>
    <w:p>
      <w:pPr>
        <w:spacing w:after="0" w:line="163" w:lineRule="exact"/>
        <w:rPr>
          <w:rFonts w:ascii="Arial" w:cs="Arial" w:eastAsia="Arial" w:hAnsi="Arial"/>
          <w:sz w:val="18"/>
          <w:szCs w:val="18"/>
          <w:b w:val="1"/>
          <w:bCs w:val="1"/>
          <w:color w:val="auto"/>
        </w:rPr>
      </w:pPr>
    </w:p>
    <w:p>
      <w:pPr>
        <w:ind w:left="660" w:right="3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 The Pharmaceutical segment’s inventory cost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248"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color w:val="auto"/>
        </w:rPr>
        <w:t>is determined using the first-in, first-out (“FIFO”) method, which represents approximately 19% and 22% of the total FIFO inventory balance at April 3, 2005 and March 28, 2004, respectively.</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color w:val="auto"/>
        </w:rPr>
        <w:t>Property is stated at cost and depreciated over the lives of the assets, using both straight-line and declining-balance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7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b w:val="1"/>
          <w:bCs w:val="1"/>
          <w:color w:val="auto"/>
        </w:rPr>
        <w:t>—</w:t>
      </w:r>
      <w:r>
        <w:rPr>
          <w:rFonts w:ascii="Arial" w:cs="Arial" w:eastAsia="Arial" w:hAnsi="Arial"/>
          <w:sz w:val="16"/>
          <w:szCs w:val="16"/>
          <w:color w:val="auto"/>
        </w:rPr>
        <w:t>Intangible assets consist primarily of customer lists, trademarks, and trade names acquired in previous business acquisitions.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assigned to the intangible assets are being amortized primarily over 15 years. As of April 3, 2005, the Company had net intangible assets of $2,492,330. Amortization expense was $285,848 during the fiscal year ended April 3, 2005 and $283,485 during the fiscal years ended March 28, 2004 and March 30, 2003. The estimated amortization expense for each of the next five years is approximately $284,000 per year.</w:t>
      </w:r>
    </w:p>
    <w:p>
      <w:pPr>
        <w:spacing w:after="0" w:line="15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Recoverability of Long-Lived Assets</w:t>
      </w:r>
      <w:r>
        <w:rPr>
          <w:rFonts w:ascii="Arial" w:cs="Arial" w:eastAsia="Arial" w:hAnsi="Arial"/>
          <w:sz w:val="17"/>
          <w:szCs w:val="17"/>
          <w:b w:val="1"/>
          <w:bCs w:val="1"/>
          <w:color w:val="auto"/>
        </w:rPr>
        <w:t>—</w:t>
      </w:r>
      <w:r>
        <w:rPr>
          <w:rFonts w:ascii="Arial" w:cs="Arial" w:eastAsia="Arial" w:hAnsi="Arial"/>
          <w:sz w:val="17"/>
          <w:szCs w:val="17"/>
          <w:color w:val="auto"/>
        </w:rPr>
        <w:t>The Company reviews its long-lived assets whenever events or changes in circumstances indicate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color w:val="auto"/>
        </w:rPr>
        <w:t>The Company follows Statement of Financial Accounting Standards (SFAS) No. 109, “Accounting for Income Taxes.” Under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109, the deferred tax assets and liabilities are recognized based on differences between the financial statements and the tax bases of assets and liabilities using presently enacted tax rates.</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b w:val="1"/>
          <w:bCs w:val="1"/>
          <w:color w:val="auto"/>
        </w:rPr>
        <w:t>—</w:t>
      </w:r>
      <w:r>
        <w:rPr>
          <w:rFonts w:ascii="Arial" w:cs="Arial" w:eastAsia="Arial" w:hAnsi="Arial"/>
          <w:sz w:val="18"/>
          <w:szCs w:val="18"/>
          <w:color w:val="auto"/>
        </w:rPr>
        <w:t>Basic and diluted earnings per share are computed by dividing net income by the weighted 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w:t>
      </w:r>
    </w:p>
    <w:p>
      <w:pPr>
        <w:spacing w:after="0" w:line="162"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i w:val="1"/>
          <w:iCs w:val="1"/>
          <w:color w:val="auto"/>
        </w:rPr>
        <w:t>Concentrations of Credit Risk</w:t>
      </w:r>
      <w:r>
        <w:rPr>
          <w:rFonts w:ascii="Arial" w:cs="Arial" w:eastAsia="Arial" w:hAnsi="Arial"/>
          <w:sz w:val="16"/>
          <w:szCs w:val="16"/>
          <w:b w:val="1"/>
          <w:bCs w:val="1"/>
          <w:color w:val="auto"/>
        </w:rPr>
        <w:t>—</w:t>
      </w:r>
      <w:r>
        <w:rPr>
          <w:rFonts w:ascii="Arial" w:cs="Arial" w:eastAsia="Arial" w:hAnsi="Arial"/>
          <w:sz w:val="16"/>
          <w:szCs w:val="16"/>
          <w:color w:val="auto"/>
        </w:rPr>
        <w:t>Financial instruments which potentially subject the Company to a concentration of credit risk principally consist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 of deposits with original maturities of three months or less and a money market account at a single financial institution.</w:t>
      </w:r>
    </w:p>
    <w:p>
      <w:pPr>
        <w:spacing w:after="0" w:line="15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At April 3, 2005, the Company also had an investment portfolio of fixed income securities and mutual funds, excluding $7,910,598 of those classified as cash and cash equivalents and variable rate securities, of $11,373,512 and $8,038,275, respectively. The fixed income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 The value of mutual funds, like all mutual funds, may increase or decrease due to market volatility.</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Derivative Instruments and Hedging Activities</w:t>
      </w:r>
      <w:r>
        <w:rPr>
          <w:rFonts w:ascii="Arial" w:cs="Arial" w:eastAsia="Arial" w:hAnsi="Arial"/>
          <w:sz w:val="16"/>
          <w:szCs w:val="16"/>
          <w:b w:val="1"/>
          <w:bCs w:val="1"/>
          <w:color w:val="auto"/>
        </w:rPr>
        <w:t>—</w:t>
      </w:r>
      <w:r>
        <w:rPr>
          <w:rFonts w:ascii="Arial" w:cs="Arial" w:eastAsia="Arial" w:hAnsi="Arial"/>
          <w:sz w:val="16"/>
          <w:szCs w:val="16"/>
          <w:color w:val="auto"/>
        </w:rPr>
        <w:t>In fiscal 2001, the Company adopted SFAS No. 133, “Accounting for Derivative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Risk and Uncertainties</w:t>
      </w:r>
      <w:r>
        <w:rPr>
          <w:rFonts w:ascii="Arial" w:cs="Arial" w:eastAsia="Arial" w:hAnsi="Arial"/>
          <w:sz w:val="18"/>
          <w:szCs w:val="18"/>
          <w:b w:val="1"/>
          <w:bCs w:val="1"/>
          <w:color w:val="auto"/>
        </w:rPr>
        <w:t>—</w:t>
      </w:r>
      <w:r>
        <w:rPr>
          <w:rFonts w:ascii="Arial" w:cs="Arial" w:eastAsia="Arial" w:hAnsi="Arial"/>
          <w:sz w:val="18"/>
          <w:szCs w:val="18"/>
          <w:color w:val="auto"/>
        </w:rPr>
        <w:t>There are no concentrations of business transacted with a particular customer or supplier nor concentrations of sales from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Accounting Pronouncements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31, 2004, the Financial Accounting Standards Board (FASB) ratified Emerging Issues Task Force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03-1, “The Meaning of Other-Than-Temporary Impairment and Its Application to Certain Investments” (“EITF No. 03-1”), which provides guidance on recognizing other-than-temporary impairments on certain investments. EITF No. 03-1 is effective for other-than-temporary impairment evaluations for investments accounted for under SFAS No. 115, “Accounting for Certain Investments in Debt and Equity Securities,” as well as non-marketable equity securities accounted for under the cost method for reporting periods beginning after June 15, 2004. EITF No. 03-1 requires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that investments which have declined in value must be recorded as other-than-temporarily impaired unless the Company can assert and demonstrate its intention to hold the security for a period of time sufficient to allow for a recovery of fair value up to or beyond the cost of the investment, which might mean maturity. EITF No. 03-1 also requires disclosures assessing the ability and intent to hold investments in instances in which an investor determines that an investment with a fair value less than cost is not other-than-temporarily impaired. EITF No. 03-1 does not suspend the current requirements for other-than-temporary impairments under Staff Accounting Bulletin No. 59. In September 2004, the FASB issued Proposed Staff Position EITF Issue No. 03-1-a, “Implementation Guidance for the Application of Paragraph 16 of EITF Issue No. 03-1,” which provides further guidance regarding this issue. In September 2004, the FASB also issued Proposed Staff Position EITF Issue No. 03-1-1, “Effective Date of Paragraphs 10-20 of EITF No. 03-1,” which defers the effective date of certain paragraphs of EITF Issue No. 03-1. The Company adopted the initial portions of EITF 03-01 in December 2003. The adoption of the remaining portions is not expected to have a material impact on our results of operations or financial condition.</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September 2004, the EITF reached a consensus on Issue No. 04-10, “Applying Paragraph 19 of FASB Statement No. 131, Disclosures about Segments of an Enterprise and Related Information (SFAS No. 131), in Determining Whether to Aggregate Operating Segments That Do Not Meet the Quantitative Thresholds.” Issue No. 04-10 clarifies the criteria for aggregating an operating segment that does not meet all of the aggregation criteria in paragraph 17 of SFAS No. 131, but also falls below the quantitative criteria that would dictate that the segment be reported separately. The consensus reached would enable an entity to aggregate two or more segments that have similar economic characteristics and share a majority of the aggregation criteria in paragraph 17 of SFAS No. 131. Although Issue No. 04-10 was to be effective immediately, in November 2004 the EITF</w:t>
      </w:r>
    </w:p>
    <w:p>
      <w:pPr>
        <w:sectPr>
          <w:pgSz w:w="11900" w:h="16838" w:orient="portrait"/>
          <w:cols w:equalWidth="0" w:num="1">
            <w:col w:w="10760"/>
          </w:cols>
          <w:pgMar w:left="900" w:top="125" w:right="239" w:bottom="0" w:gutter="0" w:footer="0" w:header="0"/>
        </w:sectPr>
      </w:pPr>
    </w:p>
    <w:bookmarkStart w:id="16" w:name="page17"/>
    <w:bookmarkEnd w:id="16"/>
    <w:p>
      <w:pPr>
        <w:spacing w:after="0" w:line="88"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delayed the implementation of this issue in order to have its effective date coincide with a related FASB Staff Position (FSP), which will clarify the meaning of similar economic characteristics. Issue No. 04-10 is to be applied by retroactive restatement of previous periods. Adoption of Issue No. 04-10 is not expected to have an impact on our operating results and financial condition.</w:t>
      </w:r>
    </w:p>
    <w:p>
      <w:pPr>
        <w:spacing w:after="0" w:line="181"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In November 2004, the FASB issued SFAS No. 151, “Inventory Costs.” This statement amends Chapter 4 of ARB No. 43 to clarify the accounting for abnormal amounts of idle facility expense, freight, handling costs and wasted material (spoilage), as well as requiring that allocation of fixed production overheads to the costs of conversion be based on the normal capacity of the production facilities. The provisions of this statement are effective for inventory costs incurred during fiscal years beginning after June 15, 2005, and the Company is currently assessing the impact of SFAS No. 151 on our operating results and financial condition.</w:t>
      </w:r>
    </w:p>
    <w:p>
      <w:pPr>
        <w:spacing w:after="0" w:line="188"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During December 2004, the FASB issued SFAS No. 123 (Revised 2004), “Share-Based Payment” (SFAS 123R), which amends SFAS No. 123, “Accounting for Stock-Based Compensation” and SFAS 95, “Statement of Cash Flows.” SFAS 123R requires all companies to measure compensation cost 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does not expect there to be an affect from the accounting change on its financial position and results of operations.</w:t>
      </w:r>
    </w:p>
    <w:p>
      <w:pPr>
        <w:spacing w:after="0" w:line="193"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In December 2004, the FASB issued SFAS No. 153, “Exchanges of Nonmonetary Assets.” This statement amends Accounting Principles Board (APB) Opinion No. 29 to improve financial reporting by eliminating certain narrow differences between the FASB’s and the International Accounting Standards Board’s (IASB) existing accounting standards for nonmonetary exchanges of similar productive assets. The provisions of this statement shall be prospectively applied and are effective for nonmonetary asset exchanges occurring in fiscal periods beginning after June 15, 2005. The Company is currently assessing the impact of SFAS No. 153 on its operating results and financial condition.</w:t>
      </w:r>
    </w:p>
    <w:p>
      <w:pPr>
        <w:spacing w:after="0" w:line="169" w:lineRule="exact"/>
        <w:rPr>
          <w:sz w:val="20"/>
          <w:szCs w:val="20"/>
          <w:color w:val="auto"/>
        </w:rPr>
      </w:pPr>
    </w:p>
    <w:p>
      <w:pPr>
        <w:ind w:left="660" w:right="1200"/>
        <w:spacing w:after="0" w:line="282"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reclassifications have been made to prior year amounts to conform to the current year presentation.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reclassifications had no effect on net income or shareholders’ equity as previously reported.</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fair value by maturity as of April 3, 2005 are shown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Held-to-Maturity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6"/>
          </w:tcPr>
          <w:p>
            <w:pPr>
              <w:ind w:left="560"/>
              <w:spacing w:after="0"/>
              <w:rPr>
                <w:sz w:val="20"/>
                <w:szCs w:val="20"/>
                <w:color w:val="auto"/>
              </w:rPr>
            </w:pPr>
            <w:r>
              <w:rPr>
                <w:rFonts w:ascii="Arial" w:cs="Arial" w:eastAsia="Arial" w:hAnsi="Arial"/>
                <w:sz w:val="14"/>
                <w:szCs w:val="14"/>
                <w:b w:val="1"/>
                <w:bCs w:val="1"/>
                <w:color w:val="auto"/>
              </w:rPr>
              <w:t>Available-for-Sale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33"/>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3"/>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2,634,323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2,642,718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1,405,134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4,039,457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1-5 Years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7,149,262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6,995,953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Contracts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1,940,674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1,940,674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1 - 5 Years</w:t>
            </w:r>
          </w:p>
        </w:tc>
        <w:tc>
          <w:tcPr>
            <w:tcW w:w="1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9,089,936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8,936,627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5-10 Years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After 10 Years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265,000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281,620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1,235,218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1,219,841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515,000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22,549,626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22,242,595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fair value of investment securities available-for-sale as of April 3, 2005 and March 28, 2004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 2005</w:t>
            </w: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Fixed Income Securities:</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U.S. Corporate Securities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7,466,486</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13,467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(136,925)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7,343,028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(37,590)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2,096,714</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States and Political Subdivisions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1,418,643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1,418,770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Fixed Income Securities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11,018,803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(175,176)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10,858,512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 - Short-term Bond Funds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8,185,015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8,038,275</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8,185,015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8,038,275</w:t>
            </w:r>
          </w:p>
        </w:tc>
        <w:tc>
          <w:tcPr>
            <w:tcW w:w="16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8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857"/>
              <w:spacing w:after="0"/>
              <w:rPr>
                <w:sz w:val="20"/>
                <w:szCs w:val="20"/>
                <w:color w:val="auto"/>
              </w:rPr>
            </w:pPr>
            <w:r>
              <w:rPr>
                <w:rFonts w:ascii="Arial" w:cs="Arial" w:eastAsia="Arial" w:hAnsi="Arial"/>
                <w:sz w:val="18"/>
                <w:szCs w:val="18"/>
                <w:color w:val="auto"/>
                <w:w w:val="99"/>
              </w:rPr>
              <w:t>25</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gridSpan w:val="6"/>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99"/>
        </w:trPr>
        <w:tc>
          <w:tcPr>
            <w:tcW w:w="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March 28, 2004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Amortized</w:t>
            </w:r>
          </w:p>
        </w:tc>
        <w:tc>
          <w:tcPr>
            <w:tcW w:w="200" w:type="dxa"/>
            <w:vAlign w:val="bottom"/>
          </w:tcPr>
          <w:p>
            <w:pPr>
              <w:spacing w:after="0"/>
              <w:rPr>
                <w:sz w:val="10"/>
                <w:szCs w:val="10"/>
                <w:color w:val="auto"/>
              </w:rPr>
            </w:pPr>
          </w:p>
        </w:tc>
        <w:tc>
          <w:tcPr>
            <w:tcW w:w="12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96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-664845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-664845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6" w:orient="portrait"/>
          <w:cols w:equalWidth="0" w:num="1">
            <w:col w:w="11440"/>
          </w:cols>
          <w:pgMar w:left="240" w:top="125" w:right="21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Bonds:</w:t>
            </w:r>
          </w:p>
        </w:tc>
        <w:tc>
          <w:tcPr>
            <w:tcW w:w="9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U.S. Corporate Securities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4,553,918</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65,689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4,619,505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States and Political Subdivisions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3,243,785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32,979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3,276,740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Bonds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9,885,383</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106,635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(11,491)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9,980,527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 - Short-term Bond Funds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9,092,436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9,092,436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Company’s available-for- sale investments include investment contracts with highly rated, stable insurance companies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$3,345,808 and $3,240,308 as of April 3, 2005 and March 28, 2004, respectively with fair values that approximate amortized cost. Proceeds from the sale of investments were $11,201,957, $9,630,392 and $6,022,000 for the fiscal years ended April 3, 2005, March 28, 2004 and March 30, 2003, respectively. Realized gains and losses were not material for the fiscal years ended April 3, 2005 and March 28, 2004. The Company recorded a loss of $370,000 in the fiscal year ended March 30, 2003 due to declines in fair value of mutual funds that were deemed other than temporary. These mutual funds were divested during the fiscal year ended March 28, 2004 and as of April 3, 2005 mutual funds consist of short-term bond funds that invest primarily in investment grade securities.</w:t>
      </w:r>
    </w:p>
    <w:p>
      <w:pPr>
        <w:spacing w:after="0" w:line="1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the gross unrealized losses and fair value, aggregated by investment category, and the length of time the individual securities have been in a continuous unrealized loss position at April 3, 2005 and March 28, 2004:</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4"/>
                <w:szCs w:val="14"/>
                <w:b w:val="1"/>
                <w:bCs w:val="1"/>
                <w:color w:val="auto"/>
              </w:rPr>
              <w:t>April 3, 2005</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0"/>
                <w:szCs w:val="10"/>
                <w:color w:val="auto"/>
              </w:rPr>
            </w:pPr>
          </w:p>
        </w:tc>
        <w:tc>
          <w:tcPr>
            <w:tcW w:w="2320" w:type="dxa"/>
            <w:vAlign w:val="bottom"/>
            <w:gridSpan w:val="6"/>
          </w:tcPr>
          <w:p>
            <w:pPr>
              <w:jc w:val="center"/>
              <w:ind w:right="420"/>
              <w:spacing w:after="0" w:line="119" w:lineRule="exact"/>
              <w:rPr>
                <w:sz w:val="20"/>
                <w:szCs w:val="20"/>
                <w:color w:val="auto"/>
              </w:rPr>
            </w:pPr>
            <w:r>
              <w:rPr>
                <w:rFonts w:ascii="Arial" w:cs="Arial" w:eastAsia="Arial" w:hAnsi="Arial"/>
                <w:sz w:val="13"/>
                <w:szCs w:val="13"/>
                <w:b w:val="1"/>
                <w:bCs w:val="1"/>
                <w:color w:val="auto"/>
              </w:rPr>
              <w:t>Equal to or Greater</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Than 12 Months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U.S. Corporate Securities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6,228,618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(120,716)</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543,137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(16,209)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6,771,755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U.S. Government Agency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1,249,048</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711,911</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(13,034)</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1,960,959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States and Political Subdivisions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1,012,314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1,012,314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Total Bonds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8,489,980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(145,933)</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1,255,048</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(29,243)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9,745,028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Mutual Fund - Short-term Bond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7,490,034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(166,102)</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7,490,034</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7,490,034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(166,102)</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7,490,034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gridSpan w:val="2"/>
            <w:shd w:val="clear" w:color="auto" w:fill="CCEEFF"/>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March 28, 2004</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0"/>
                <w:szCs w:val="10"/>
                <w:color w:val="auto"/>
              </w:rPr>
            </w:pPr>
          </w:p>
        </w:tc>
        <w:tc>
          <w:tcPr>
            <w:tcW w:w="2320" w:type="dxa"/>
            <w:vAlign w:val="bottom"/>
            <w:gridSpan w:val="6"/>
          </w:tcPr>
          <w:p>
            <w:pPr>
              <w:jc w:val="center"/>
              <w:ind w:right="460"/>
              <w:spacing w:after="0" w:line="119" w:lineRule="exact"/>
              <w:rPr>
                <w:sz w:val="20"/>
                <w:szCs w:val="20"/>
                <w:color w:val="auto"/>
              </w:rPr>
            </w:pPr>
            <w:r>
              <w:rPr>
                <w:rFonts w:ascii="Arial" w:cs="Arial" w:eastAsia="Arial" w:hAnsi="Arial"/>
                <w:sz w:val="13"/>
                <w:szCs w:val="13"/>
                <w:b w:val="1"/>
                <w:bCs w:val="1"/>
                <w:color w:val="auto"/>
              </w:rPr>
              <w:t>Equal to or Greater</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Than 12 Months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U.S. Corporate Securities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299,898</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299,898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U.S. Government Agency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297,660</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750,618</w:t>
            </w: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(9,025)</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1,048,278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States and Political Subdivisions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Total Bonds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797,558</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(2,466)</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750,618</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1,548,176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Mutual Fund - Short-term Bond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were 52 and 12 investments in an unrealized loss position as of April 3, 2005 and March 28, 2004, respectively. The Company believes that the unrealized losses in the investment portfolio are the result of increases in market interest rates and not from the deterioration in the creditworthiness of the issuer. The majority of the investments have contractual terms, which do not permit the issuer to settle the securities at a price less than the amortized cost of the investment. The U.S. Government agency securities are guaranteed by an agency of the U.S. Government and the obligations of the state and political subdivisions are general obligations of public entities. The mutual funds held by the Company are invested in securities with characteristics similar to the fixed income portfolio to enhance investment portfolio diversification. The Company has the ability and intent to hold these investments until a recovery of fair value. The Company does not consider these investments to be other-than-temporarily impaired.</w:t>
      </w:r>
    </w:p>
    <w:p>
      <w:pPr>
        <w:sectPr>
          <w:pgSz w:w="11900" w:h="16838" w:orient="portrait"/>
          <w:cols w:equalWidth="0" w:num="1">
            <w:col w:w="10740"/>
          </w:cols>
          <w:pgMar w:left="900" w:top="118" w:right="259" w:bottom="163" w:gutter="0" w:footer="0" w:header="0"/>
        </w:sectPr>
      </w:pP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87630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40"/>
          </w:cols>
          <w:pgMar w:left="900" w:top="118" w:right="259" w:bottom="163" w:gutter="0" w:footer="0" w:header="0"/>
          <w:type w:val="continuous"/>
        </w:sectPr>
      </w:pPr>
    </w:p>
    <w:bookmarkStart w:id="18" w:name="page19"/>
    <w:bookmarkEnd w:id="18"/>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at April 3, 2005 and March 28, 2004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9,889,652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LIFO reserve</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(1,302,042)</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(402,479)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8,587,610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8,887,081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220"/>
        <w:spacing w:after="0" w:line="277" w:lineRule="auto"/>
        <w:rPr>
          <w:sz w:val="20"/>
          <w:szCs w:val="20"/>
          <w:color w:val="auto"/>
        </w:rPr>
      </w:pPr>
      <w:r>
        <w:rPr>
          <w:rFonts w:ascii="Arial" w:cs="Arial" w:eastAsia="Arial" w:hAnsi="Arial"/>
          <w:sz w:val="18"/>
          <w:szCs w:val="18"/>
          <w:color w:val="auto"/>
        </w:rPr>
        <w:t>Inventories valued under the LIFO method at April 3, 2005 and March 28, 2004 were $8,061,696 and $7,152,123, respectively. The balance of the inventory was valued under the FIFO method.</w:t>
      </w:r>
    </w:p>
    <w:p>
      <w:pPr>
        <w:spacing w:after="0" w:line="170"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In fiscal 2005, the LIFO reserve increased by $899,563. The increase in the LIFO reserve was caused by a significant increase in the cost of a single, large-volume component of inventory. During the fiscal years ended April 3, 2005, March 28, 2004 and March 30, 2003, the Company liquidated LIFO inventory layers that were at lower costs than current costs. The impact of the liquidation on cost of sales was approximately $200,000 for the fiscal year ended April 3, 2005 and was not material for the fiscal years ended March 28, 2004 and March 30, 2003.</w:t>
      </w:r>
    </w:p>
    <w:p>
      <w:pPr>
        <w:spacing w:after="0" w:line="16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has three notes receivable related to the sales of Tessman Seed, Inc., certain land and a building, and The Lynde Company. At April 3, 2005 and March 28, 2004, the net balances outstanding on the notes receivable were $2,255,306 and $1,773,255, respectively. The current portion of $157,142 and $176,083 at April 3, 2005 and March 28, 2004, respectively, are included within prepaid expenses and other current assets and the remaining balances are included within other assets. The notes receivable bear interest at 8% and are due in equal monthly installments of $36,204 through September 1, 2010 at which time the remaining unpaid balance of $1,213,163 is due. Land and a building, and a personal guarantee secure the notes receivable. The increase in the outstanding balance is related to a decrease in the reserve the Company recorded in previous years due to uncertainty regarding the collectability of the notes receivable. The Company reassesses the collectability of these receivables periodically, and during the current year, the Company determined that the reserve was no longer necessary.</w:t>
      </w:r>
    </w:p>
    <w:p>
      <w:pPr>
        <w:spacing w:after="0" w:line="162"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STOCK OWNERSHIP PLANS</w:t>
      </w:r>
    </w:p>
    <w:p>
      <w:pPr>
        <w:spacing w:after="0" w:line="229" w:lineRule="exact"/>
        <w:rPr>
          <w:rFonts w:ascii="Arial" w:cs="Arial" w:eastAsia="Arial" w:hAnsi="Arial"/>
          <w:sz w:val="18"/>
          <w:szCs w:val="18"/>
          <w:b w:val="1"/>
          <w:bCs w:val="1"/>
          <w:color w:val="auto"/>
        </w:rPr>
      </w:pPr>
    </w:p>
    <w:p>
      <w:pPr>
        <w:ind w:left="6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has a defined contribution pension plan covering substantially all of its non-bargaining employees. Pension expense for the fiscal years ended April 3, 2005, March 28, 2004 and March 30, 2003 were $1,688,240, $1,606,085, and $1,093,697, respectively. Contributions are made at the discretion of the Board of Directors subject to a maximum amount allowed under the Internal Revenue Code. The Company’s cost for the pension plan was determined as 15% of each employee’s covered compensation in the fiscal years ended April 3, 2005 and March 28, 2004 and 11% in the fiscal year ended March 30, 2003. Amounts charged to pension expense and contributed to union multi-employer pension plans (not included in the above amounts) were not material. It is the Company’s policy to fund all pension costs accrued.</w:t>
      </w:r>
    </w:p>
    <w:p>
      <w:pPr>
        <w:spacing w:after="0" w:line="164"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an employee stock ownership plan covering substantially all of its non-bargaining employees. Contributions are made at the discretion of the Board of Directors subject to a maximum amount allowed under the Internal Revenue Code. Contributions for the fiscal years ended April 3, 2005, March 28, 2004 and March 30, 2003 were $564,558, $544,189, and $901,922, respectively.</w:t>
      </w:r>
    </w:p>
    <w:p>
      <w:pPr>
        <w:spacing w:after="0" w:line="18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April 3, 2005, the Company issued 40,653 shares of restricted stock to certain employees of the Company. The restricted stock awards are recorded as compensation cost over the requisite vesting periods based on the market value on the date of grant. Unearned compensation cost on restricted stock awards is shown as a reduction to shareholders’ equity. Restricted stock expense for the fiscal year ended April 3, 2005 was $287,915.</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currently offer any post-retirement benefits.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660" w:right="1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The Company has various operating leases for trucks and land and buildings on which some of its operations are located. Future minimum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payments due under operating leases with an initial term of one year or more at April 3, 2005 are $246,684 in 2006, $224,115 in 2007, $180,072 in 2008, $185,523 in 2009, $187,023 in 2010, and $3,065,205 thereafter. Total rental expense for the fiscal years ended April 3, 2005, March 28, 2004 and March 30, 2003 were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Minimum rentals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179,908</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Contingent rentals</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65,639</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rental expense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20"/>
        <w:spacing w:after="0" w:line="274"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fourth quarter of fiscal 2004, the Company paid $3.0 million to resolve a personal injury lawsuit encaptioned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Chavarria et al v.</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Hawkins, Inc., Panorama Compounding Pharmacy, and Valley Drug and Compounding, et al </w:t>
      </w:r>
      <w:r>
        <w:rPr>
          <w:rFonts w:ascii="Arial" w:cs="Arial" w:eastAsia="Arial" w:hAnsi="Arial"/>
          <w:sz w:val="17"/>
          <w:szCs w:val="17"/>
          <w:color w:val="auto"/>
        </w:rPr>
        <w:t>that arose from the alleged mislabeling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the Company 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78"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w:t>
      </w:r>
    </w:p>
    <w:p>
      <w:pPr>
        <w:sectPr>
          <w:pgSz w:w="11900" w:h="16838" w:orient="portrait"/>
          <w:cols w:equalWidth="0" w:num="1">
            <w:col w:w="11420"/>
          </w:cols>
          <w:pgMar w:left="240" w:top="337" w:right="239" w:bottom="0" w:gutter="0" w:footer="0" w:header="0"/>
        </w:sectPr>
      </w:pPr>
    </w:p>
    <w:bookmarkStart w:id="19" w:name="page20"/>
    <w:bookmarkEnd w:id="19"/>
    <w:p>
      <w:pPr>
        <w:spacing w:after="0" w:line="110"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agreement requires the defendants to surrender to the Company 75,358 shares of the Company’s common stock, which they received as consideration for the May 2000 acquisition. The agreement also terminates the non-competition provisions of the Company’s agreements with the defendants, relieving the Company of the obligation to pay $500,000 to the defendants over the next five years as consideration for these provisions. The settlement agreement calls for the parties to execute mutual releases and a stipulation of dismissal. The proceeds from this settlement are expected to be recorded in the financial statements during the 2006 fiscal year.</w:t>
      </w:r>
    </w:p>
    <w:p>
      <w:pPr>
        <w:spacing w:after="0" w:line="188"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81" w:lineRule="exact"/>
        <w:rPr>
          <w:sz w:val="20"/>
          <w:szCs w:val="20"/>
          <w:color w:val="auto"/>
        </w:rPr>
      </w:pPr>
    </w:p>
    <w:p>
      <w:pPr>
        <w:ind w:left="700" w:right="40"/>
        <w:spacing w:after="0" w:line="288"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The Company has two leases of land, and at the end of the lease term (currently 2018 if the leases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renewed), the Company has a specified amount of time to remove the property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the Company has not recorded an asset retirement obligation as of April 3, 2005.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16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Fiscal Year</w:t>
            </w:r>
          </w:p>
        </w:tc>
        <w:tc>
          <w:tcPr>
            <w:tcW w:w="24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April 3,</w:t>
            </w:r>
          </w:p>
        </w:tc>
        <w:tc>
          <w:tcPr>
            <w:tcW w:w="24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March 28,</w:t>
            </w:r>
          </w:p>
        </w:tc>
        <w:tc>
          <w:tcPr>
            <w:tcW w:w="2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March 30,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Federal—current</w:t>
            </w:r>
          </w:p>
        </w:tc>
        <w:tc>
          <w:tcPr>
            <w:tcW w:w="2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3,578,342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2,351,497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4,057,347</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State—current</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943,747</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632,891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1,064,423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23,033</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270,612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Total provision</w:t>
            </w:r>
          </w:p>
        </w:tc>
        <w:tc>
          <w:tcPr>
            <w:tcW w:w="24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4,545,122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3,255,000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April 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March 28,</w:t>
            </w:r>
          </w:p>
        </w:tc>
        <w:tc>
          <w:tcPr>
            <w:tcW w:w="2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12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4,422,996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3,152,409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4,700,560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648,194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506,730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702,552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(83,458)</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(209,578)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(221,447)</w:t>
            </w:r>
          </w:p>
        </w:tc>
        <w:tc>
          <w:tcPr>
            <w:tcW w:w="2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(99,234)</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3,255,000</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effects of items comprising the Company’s net deferred tax asset (liability) as of April 3, 2005 and March 28, 2004 are as follows: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87,750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415,692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121,703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262,806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887,951</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1,118,405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Noncurrent deferred taxes: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The Lynde Company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(72,393)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Excess of tax over book depreciation</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(1,224,157)</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111,000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7,128</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(1,178,422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(1,614,843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prepaid expenses and other current assets on the balance sheet.</w:t>
      </w:r>
    </w:p>
    <w:p>
      <w:pPr>
        <w:spacing w:after="0" w:line="22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 MARY’S CHEMICALS, INC. ACQUISITION</w:t>
      </w:r>
    </w:p>
    <w:p>
      <w:pPr>
        <w:spacing w:after="0" w:line="229" w:lineRule="exact"/>
        <w:rPr>
          <w:rFonts w:ascii="Arial" w:cs="Arial" w:eastAsia="Arial" w:hAnsi="Arial"/>
          <w:sz w:val="18"/>
          <w:szCs w:val="18"/>
          <w:b w:val="1"/>
          <w:bCs w:val="1"/>
          <w:color w:val="auto"/>
        </w:rPr>
      </w:pPr>
    </w:p>
    <w:p>
      <w:pPr>
        <w:ind w:left="66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w:t>
      </w:r>
    </w:p>
    <w:p>
      <w:pPr>
        <w:sectPr>
          <w:pgSz w:w="11900" w:h="16948" w:orient="portrait"/>
          <w:cols w:equalWidth="0" w:num="1">
            <w:col w:w="11440"/>
          </w:cols>
          <w:pgMar w:left="240" w:top="125" w:right="219" w:bottom="0" w:gutter="0" w:footer="0" w:header="0"/>
        </w:sectPr>
      </w:pPr>
    </w:p>
    <w:bookmarkStart w:id="20" w:name="page21"/>
    <w:bookmarkEnd w:id="20"/>
    <w:p>
      <w:pPr>
        <w:spacing w:after="0" w:line="123"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color w:val="auto"/>
        </w:rPr>
        <w:t>and pharmacy wholesalers. The Company also entered into a five-year employment agreement with one of the previous owners of Universal Chemicals and consulting agreements with the other two previous owners of Universal Chemicals. The employment agreement and consulting agreements contain performance bonuses and noncompete provisions. The agreements are based on Universal Chemicals’ cumulative operating results, as defined in the agreements, for five years after the acquisition date and have a maximum payout of $3,520,000. Based upon financial results through April 3, 2005, no payment amount would be due. The noncompete provisions covered a period of five years after the termination of the employment or consulting agreements, and require annual payments of $100,000 to $200,000 depending on Universal Chemicals’ operating results, as defined in the agreements, for five years after the termination date. The noncompete provisions were terminated as part of the settlement of indemnification litigation against the previous owners (see Note 6).</w:t>
      </w:r>
    </w:p>
    <w:p>
      <w:pPr>
        <w:spacing w:after="0" w:line="1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Industrial, Water Treatment and Pharmaceutical. The Industrial segment specializes in providing industrial chemicals and services to the energy, electronics, and plating industries. In addition, the Industrial segment provides products and services to food manufacturers and processing plants. The Water Treatment segment specializes in providing water and waste-water treatment equipment and chemicals and in helping customers find solutions to system problems. The Pharmaceutical segment specializes in providing pharmaceutical chemicals to pharmacies and small-scale pharmaceutical manufacturers.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Water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Pharmaceutical</w:t>
            </w:r>
          </w:p>
        </w:tc>
        <w:tc>
          <w:tcPr>
            <w:tcW w:w="2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Treatment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April 3, 2005: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Sales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64,130,067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41,529,630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9,620,615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115,280,312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50,713,339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28,512,805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6,447,983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13,416,728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13,016,825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3,172,632</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29,606,185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7,516,673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627,059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11,516,356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35,667,914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16,384,456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5,930,442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57,982,812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Unallocated assets consisting primarily of cash and cash equivalents, investments, and prepaid expenses were $29,675,306 at April 3, 2005.</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28, 2004: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Sales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59,313,229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39,281,149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8,433,753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107,028,131</w:t>
            </w:r>
          </w:p>
        </w:tc>
        <w:tc>
          <w:tcPr>
            <w:tcW w:w="12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46,928,930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26,475,965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5,648,947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79,053,842</w:t>
            </w: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12,384,299</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12,805,184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2,784,806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27,974,289</w:t>
            </w: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3,395,421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7,225,199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(2,439,425)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8,181,195</w:t>
            </w:r>
          </w:p>
        </w:tc>
        <w:tc>
          <w:tcPr>
            <w:tcW w:w="120" w:type="dxa"/>
            <w:vAlign w:val="bottom"/>
            <w:shd w:val="clear" w:color="auto" w:fill="CCEEFF"/>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34,942,225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13,566,741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5,770,884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54,279,850</w:t>
            </w:r>
          </w:p>
        </w:tc>
      </w:tr>
      <w:tr>
        <w:trPr>
          <w:trHeight w:val="27"/>
        </w:trPr>
        <w:tc>
          <w:tcPr>
            <w:tcW w:w="44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Unallocated assets consisting primarily of cash and cash equivalents, investments, and prepaid expenses were $28,337,055 at March 28, 2004.</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30, 2003:</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59,037,102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36,330,322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8,637,187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104,004,611</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45,588,991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24,447,955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6,009,813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76,046,759</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13,448,111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11,882,367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2,627,374</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27,957,852</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6,756,074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800,749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13,067,212</w:t>
            </w:r>
          </w:p>
        </w:tc>
      </w:tr>
      <w:tr>
        <w:trPr>
          <w:trHeight w:val="210"/>
        </w:trPr>
        <w:tc>
          <w:tcPr>
            <w:tcW w:w="3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34,593,776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13,122,105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5,429,954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53,145,835</w:t>
            </w:r>
          </w:p>
        </w:tc>
      </w:tr>
      <w:tr>
        <w:trPr>
          <w:trHeight w:val="27"/>
        </w:trPr>
        <w:tc>
          <w:tcPr>
            <w:tcW w:w="3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jc w:val="center"/>
        <w:ind w:left="5620" w:right="320" w:hanging="4964"/>
        <w:spacing w:after="0" w:line="528" w:lineRule="auto"/>
        <w:tabs>
          <w:tab w:leader="none" w:pos="7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$27,952,904 at March 30, 2003.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9A.</w:t>
      </w:r>
      <w:r>
        <w:rPr>
          <w:sz w:val="20"/>
          <w:szCs w:val="20"/>
          <w:color w:val="auto"/>
        </w:rPr>
        <w:tab/>
      </w:r>
      <w:r>
        <w:rPr>
          <w:rFonts w:ascii="Arial" w:cs="Arial" w:eastAsia="Arial" w:hAnsi="Arial"/>
          <w:sz w:val="16"/>
          <w:szCs w:val="16"/>
          <w:color w:val="auto"/>
        </w:rPr>
        <w:t>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conducted an evaluation, under the supervision and with the participation of the Company’s management, including the Chief Executive Officer and Chief Financial Officer, of the effectiveness of the design and operation of its disclosure controls and procedures (as such term is defined in</w:t>
      </w:r>
    </w:p>
    <w:p>
      <w:pPr>
        <w:sectPr>
          <w:pgSz w:w="11900" w:h="16962" w:orient="portrait"/>
          <w:cols w:equalWidth="0" w:num="1">
            <w:col w:w="11360"/>
          </w:cols>
          <w:pgMar w:left="240" w:top="125" w:right="299" w:bottom="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Due to the material weaknesses described below, the Chief Executive Officer and Chief Financial Officer concluded that the Company’s disclosure controls and procedures were not effective as of the end of the period covered by this report in alerting them on a timely basis to material information relating to the Company required to be included in the Company’s reports filed or submitted under the Exchange Act. The Chief Executive Officer and Chief Financial Officer believe that, subsequent to April 3, 2005, the Company has remediated or is currently in process of remediating these deficiencies.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management of Hawkins, Inc. (the “Company”)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accounting principles generally accepted in the United States (GAAP).</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Management has assessed the effectiveness of the Company’s internal control over financial reporting as of April 3, 2005. In making this assessment, management used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As defined by the Public Company Accounting Oversight Board’s Auditing Standard No. 2, a material weakness is a control deficiency, or combination of control deficiencies, that resulted in more than a remote likelihood that a material misstatement of our annual or interim financial statements would not be prevented or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assessment identified the following material weaknesses in the financial close and reporting process:</w:t>
      </w:r>
    </w:p>
    <w:p>
      <w:pPr>
        <w:spacing w:after="0" w:line="252" w:lineRule="exact"/>
        <w:rPr>
          <w:sz w:val="20"/>
          <w:szCs w:val="20"/>
          <w:color w:val="auto"/>
        </w:rPr>
      </w:pPr>
    </w:p>
    <w:p>
      <w:pPr>
        <w:ind w:left="660" w:right="4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Inadequate support of the account balances for the allowance for uncollectible note receivable, deferred tax liability and customer container deposits; and</w:t>
      </w:r>
    </w:p>
    <w:p>
      <w:pPr>
        <w:spacing w:after="0" w:line="14"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Improper application of GAAP related to the selection and application of depreciation lives of certain fixed assets and the amortization period of leasehold improvements for assets placed in service in previous years.</w:t>
      </w:r>
    </w:p>
    <w:p>
      <w:pPr>
        <w:spacing w:after="0" w:line="20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a result of the above deficiencies, certain accounting errors occurred and certain adjustments were recorded in the fourth quarter. The impact of these adjustments was not material to the financial statements. However, due to the actual misstatements, the potential for more significant misstatements, and the absence of other mitigating controls, there is a more than remote likelihood that a material misstatement of the interim and annual financial statements would not be prevented or detected as a result of each weakness. As a result, management determined that these identified deficiencies were material weaknesses in internal control over financial reporting and has concluded that our internal control over financial reporting was not effective as of April 3, 2005.</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attestation report on management’s assessment of the Company’s internal control over financial reporting. That report appears herein on page 34.</w:t>
      </w:r>
    </w:p>
    <w:p>
      <w:pPr>
        <w:sectPr>
          <w:pgSz w:w="11900" w:h="16838" w:orient="portrait"/>
          <w:cols w:equalWidth="0" w:num="1">
            <w:col w:w="11420"/>
          </w:cols>
          <w:pgMar w:left="240" w:top="125" w:right="239" w:bottom="144"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81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7992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00" w:lineRule="exact"/>
        <w:rPr>
          <w:sz w:val="20"/>
          <w:szCs w:val="20"/>
          <w:color w:val="auto"/>
        </w:rPr>
      </w:pPr>
    </w:p>
    <w:p>
      <w:pPr>
        <w:sectPr>
          <w:pgSz w:w="11900" w:h="16838" w:orient="portrait"/>
          <w:cols w:equalWidth="0" w:num="2">
            <w:col w:w="4720" w:space="720"/>
            <w:col w:w="5980"/>
          </w:cols>
          <w:pgMar w:left="240" w:top="125" w:right="239" w:bottom="144"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discussed above, we have identified material weaknesses in our internal control over financial reporting. We have taken steps to address the specific deficiencies identified above. In addition, to remediate the material weaknesses in our internal control over financial reporting subsequent to year end, we have implemented or are in the process of implementing the following actions, which are all expected to be completed by the end of the third quarter except for the last item, which will be ongoing:</w:t>
      </w:r>
    </w:p>
    <w:p>
      <w:pPr>
        <w:spacing w:after="0" w:line="19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are updating our GAAP and other checklists to ensure that guidance is current and complete.</w:t>
      </w:r>
    </w:p>
    <w:p>
      <w:pPr>
        <w:spacing w:after="0" w:line="12"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are assessing the need for additional ongoing employee training as it relates to the evolving financial reporting environment and new emerging accounting issues.</w:t>
      </w:r>
    </w:p>
    <w:p>
      <w:pPr>
        <w:spacing w:after="0" w:line="14"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are implementing additional procedures within our financial close and reporting process to analyze for accuracy and adjust all material accounts on a timely basis.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are establishing procedures which require a review by the finance department of all material contracts, including leases.</w:t>
      </w:r>
    </w:p>
    <w:p>
      <w:pPr>
        <w:spacing w:after="0" w:line="13" w:lineRule="exact"/>
        <w:rPr>
          <w:rFonts w:ascii="Arial" w:cs="Arial" w:eastAsia="Arial" w:hAnsi="Arial"/>
          <w:sz w:val="22"/>
          <w:szCs w:val="22"/>
          <w:color w:val="auto"/>
        </w:rPr>
      </w:pPr>
    </w:p>
    <w:p>
      <w:pPr>
        <w:ind w:left="660" w:right="660" w:hanging="328"/>
        <w:spacing w:after="0" w:line="232"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are evaluating our financial organization to determine the most appropriate and effective use of our current resources and to determine if additional resources are necessary to support the financial reporting process.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ectPr>
          <w:pgSz w:w="11900" w:h="16838" w:orient="portrait"/>
          <w:cols w:equalWidth="0" w:num="1">
            <w:col w:w="11420"/>
          </w:cols>
          <w:pgMar w:left="240" w:top="125" w:right="239" w:bottom="144" w:gutter="0" w:footer="0" w:header="0"/>
          <w:type w:val="continuous"/>
        </w:sectPr>
      </w:pPr>
    </w:p>
    <w:bookmarkStart w:id="22" w:name="page23"/>
    <w:bookmarkEnd w:id="22"/>
    <w:p>
      <w:pPr>
        <w:ind w:right="64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fourth quarter ended April 3, 2005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1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on Internal Control over Financial Reporting, that Hawkins, Inc. (the “Company”) did not maintain effective internal control over financial reporting as of April 3, 2005, because of the effect of the material weaknesses identified in management’s assessment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 material weakness is a significant deficiency, or combination of significant deficiencies, that result in more than a remote likelihood that a material misstatement of the annual or interim financial statements will not be prevented or detected. The following material weaknesses have been identified and included in management’s assessment:</w:t>
      </w:r>
    </w:p>
    <w:p>
      <w:pPr>
        <w:spacing w:after="0" w:line="208" w:lineRule="exact"/>
        <w:rPr>
          <w:sz w:val="20"/>
          <w:szCs w:val="20"/>
          <w:color w:val="auto"/>
        </w:rPr>
      </w:pPr>
    </w:p>
    <w:p>
      <w:pPr>
        <w:ind w:left="660" w:right="34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 did not implement the procedures and review processes required in order to ensure the allowance for uncollectible note receivable, deferred tax liability and customer container deposits were adequately supported; and,</w:t>
      </w:r>
    </w:p>
    <w:p>
      <w:pPr>
        <w:spacing w:after="0" w:line="230"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company’s controls related to the selection and application of useful lives of certain fixed assets and leasehold improvements capitalized in previous years did not operate effectively.</w:t>
      </w:r>
    </w:p>
    <w:p>
      <w:pPr>
        <w:spacing w:after="0" w:line="2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Due to the actual misstatements, the potential for more significant misstatements, and the absence of other mitigating controls, there is a more than remote likelihood that a material misstatement of the interim and annual financial statements would not be prevented or detected as a result of each weakness. The material weaknesses were considered in determining the nature, timing, and extent of audit tests applied in our audit of the financial statements and financial statement schedule as of and for the year ended April 3, 2005, of the Company and this report does not affect our reports on such financial statements and financial statement schedule.</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our opinion, management’s assessment that the Company did not maintain effective internal control over financial reporting as of April 3, 2005, is fairly stated, in all material respects,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Also in our opinion, because of the effect of the material weaknesses described above on the achievement of the objectives of the control criteria, the Company has not maintained effective internal control over financial reporting as of April 3, 2005,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financial statements and financial statement schedule as of and for the year ended April 3, 2005, of the Company and our reports dated June 29, 2005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5" w:right="2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AND EXECUTIVE OFFICERS OF THE COMPANY.</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information under the captions “Election of Directors” and “Section 16(a) Beneficial Ownership Reporting Compliance” in the Proxy Statement for the 2005 Annual Meeting of Shareholders is incorporated herein by this reference. Information required under this item with respect to executive officers is contained in Part I of this Form 10-K under the caption “Executive Officers of the Registrant.”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w:t>
      </w:r>
    </w:p>
    <w:p>
      <w:pPr>
        <w:spacing w:after="0" w:line="18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2005 Annual Meeting of Shareholders is incorporated herein by this reference.</w:t>
      </w:r>
    </w:p>
    <w:p>
      <w:pPr>
        <w:spacing w:after="0" w:line="170" w:lineRule="exact"/>
        <w:rPr>
          <w:sz w:val="20"/>
          <w:szCs w:val="20"/>
          <w:color w:val="auto"/>
        </w:rPr>
      </w:pPr>
    </w:p>
    <w:p>
      <w:pPr>
        <w:ind w:left="1300" w:right="720" w:hanging="1296"/>
        <w:spacing w:after="0" w:line="277" w:lineRule="auto"/>
        <w:tabs>
          <w:tab w:leader="none" w:pos="128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information under the caption “Security Ownership of Management and Beneficial Ownership” and under the heading “Equity Compensation Plan Information” in the Proxy Statement for the 2005 Annual Meeting of Shareholders is incorporated herein by this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2005 Annual Meeting of Shareholders is incorporated herein by this reference.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information under the caption “Independent Auditors’ Fees” in the Proxy Statement for the 2005 Annual Meeting of Shareholders is incorporated herein by this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7"/>
          <w:szCs w:val="17"/>
          <w:color w:val="auto"/>
        </w:rPr>
        <w:t>EXHIBITS, FINANCIAL STATEMENT SCHEDULES, AND REPORTS ON FORM 8-K.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April 3, 2005 and March 28, 2004.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Income for the fiscal years ended April 3, 2005, March 28, 2004 and March 30,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Shareholders’ Equity for the fiscal years ended April 3, 2005, March 28, 2004 and March 30,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Cash Flows for the fiscal years ended April 3, 2005, March 28, 2004 and March 30,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 schedule for the fiscal years ended April 3, 2005, March 28, 2004 and March 30,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tab/>
        <w:t>EXHIBITS.</w:t>
      </w:r>
    </w:p>
    <w:p>
      <w:pPr>
        <w:sectPr>
          <w:pgSz w:w="11900" w:h="16838" w:orient="portrait"/>
          <w:cols w:equalWidth="0" w:num="1">
            <w:col w:w="11420"/>
          </w:cols>
          <w:pgMar w:left="240" w:top="125" w:right="239" w:bottom="0" w:gutter="0" w:footer="0" w:header="0"/>
          <w:type w:val="continuous"/>
        </w:sectPr>
      </w:pPr>
    </w:p>
    <w:bookmarkStart w:id="24" w:name="page25"/>
    <w:bookmarkEnd w:id="24"/>
    <w:p>
      <w:pPr>
        <w:spacing w:after="0" w:line="96"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7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6520" w:type="dxa"/>
            <w:vAlign w:val="bottom"/>
          </w:tcPr>
          <w:p>
            <w:pPr>
              <w:ind w:left="2900"/>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4"/>
                <w:szCs w:val="14"/>
                <w:color w:val="auto"/>
              </w:rPr>
            </w:pPr>
          </w:p>
        </w:tc>
        <w:tc>
          <w:tcPr>
            <w:tcW w:w="2400" w:type="dxa"/>
            <w:vAlign w:val="bottom"/>
          </w:tcPr>
          <w:p>
            <w:pPr>
              <w:ind w:left="68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6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Second Restated Articles of Incorporation as amended through</w:t>
            </w:r>
          </w:p>
        </w:tc>
        <w:tc>
          <w:tcPr>
            <w:tcW w:w="30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February 27, 2001. (1)</w:t>
            </w: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1"/>
              </w:rPr>
              <w:t>Second Amended and Superseding By-Laws as amended through February 15, 1995. (2)</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Incorporated by Reference</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3"/>
              </w:rPr>
              <w:t>Retirement Agreement dated December 2, 1998 between the Company and Howard M.</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Hawkins.</w:t>
            </w:r>
          </w:p>
        </w:tc>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3"/>
              </w:rPr>
              <w:t>Certification by Chief Executive Officer pursuant to Rule 13a-14(a) of the Exchange Act.</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w w:val="94"/>
              </w:rPr>
              <w:t>Certification by Chief Financial Officer pursuant to Rule 13a-14(a) of the Exchange Act.</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Section 1350 Certification by Chief Executive Officer.</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r>
        <w:trPr>
          <w:trHeight w:val="230"/>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6860" w:type="dxa"/>
            <w:vAlign w:val="bottom"/>
            <w:gridSpan w:val="2"/>
          </w:tcPr>
          <w:p>
            <w:pPr>
              <w:ind w:left="320"/>
              <w:spacing w:after="0"/>
              <w:rPr>
                <w:sz w:val="20"/>
                <w:szCs w:val="20"/>
                <w:color w:val="auto"/>
              </w:rPr>
            </w:pPr>
            <w:r>
              <w:rPr>
                <w:rFonts w:ascii="Arial" w:cs="Arial" w:eastAsia="Arial" w:hAnsi="Arial"/>
                <w:sz w:val="18"/>
                <w:szCs w:val="18"/>
                <w:color w:val="auto"/>
              </w:rPr>
              <w:t>Section 1350 Certification by Chief Financial Officer.</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on July 1, 2005.</w:t>
      </w:r>
    </w:p>
    <w:p>
      <w:pPr>
        <w:spacing w:after="0" w:line="17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610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Hawkins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John R. Hawkins,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502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July 1, 2005.</w:t>
      </w:r>
    </w:p>
    <w:p>
      <w:pPr>
        <w:spacing w:after="0" w:line="3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John R. Hawkins, Chief Executive Officer (Principal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Officer) and Director</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Marvin E. Dee, Chief Financial Officer, Vice President,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 Treasurer (Principal Financial Officer and Principal</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Dean L. Hahn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Dean L. Hahn,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Donald L. Shipp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Donald L. Shipp,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Howard M. Hawkins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Howard M. Hawkins,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John S. McKeon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John S. McKeon,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Duane M. Jergenson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Duane M. Jergenson,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G. Robert Gey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 Robert Gey,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Daryl I. Skaar</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Daryl I. Skaar,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-130810</wp:posOffset>
            </wp:positionV>
            <wp:extent cx="32073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audited the financial statements of Hawkins, Inc. (the “Company”) as of April 3, 2005 and March 28, 2004, and for each of the three years in the period ended April 3, 2005, management’s assessment of the effectiveness of the Company’s internal control over financial reporting as of April 3, 2005, and</w:t>
      </w:r>
    </w:p>
    <w:p>
      <w:pPr>
        <w:sectPr>
          <w:pgSz w:w="11900" w:h="16935" w:orient="portrait"/>
          <w:cols w:equalWidth="0" w:num="1">
            <w:col w:w="11380"/>
          </w:cols>
          <w:pgMar w:left="240" w:top="333" w:right="279" w:bottom="0" w:gutter="0" w:footer="0" w:header="0"/>
        </w:sectPr>
      </w:pPr>
    </w:p>
    <w:bookmarkStart w:id="25" w:name="page26"/>
    <w:bookmarkEnd w:id="25"/>
    <w:p>
      <w:pPr>
        <w:ind w:right="140"/>
        <w:spacing w:after="0" w:line="273" w:lineRule="auto"/>
        <w:rPr>
          <w:sz w:val="20"/>
          <w:szCs w:val="20"/>
          <w:color w:val="auto"/>
        </w:rPr>
      </w:pPr>
      <w:r>
        <w:rPr>
          <w:rFonts w:ascii="Arial" w:cs="Arial" w:eastAsia="Arial" w:hAnsi="Arial"/>
          <w:sz w:val="17"/>
          <w:szCs w:val="17"/>
          <w:color w:val="auto"/>
        </w:rPr>
        <w:t>the effectiveness of the Company’s internal control over financial reporting as of April 3, 2005, and have issued our reports thereon dated June 29, 2005 (our report expresses an adverse opinion on the effectiveness of internal control over financial reporting because of material weaknesses); such financial statements and reports are included elsewhere in this Form 10-K. Our audits also included the financial statement schedule of the Company listed in Item 15(a)(2).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00" w:lineRule="exact"/>
        <w:rPr>
          <w:sz w:val="20"/>
          <w:szCs w:val="20"/>
          <w:color w:val="auto"/>
        </w:rPr>
      </w:pPr>
    </w:p>
    <w:p>
      <w:pPr>
        <w:spacing w:after="0" w:line="223"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FISCAL YEARS ENDED APRIL 3, 2005, MARCH 28, 2004 AND MARCH 30,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Additions</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9"/>
              </w:rPr>
              <w:t>Charged to</w:t>
            </w:r>
          </w:p>
        </w:tc>
        <w:tc>
          <w:tcPr>
            <w:tcW w:w="10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Charged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Costs and</w:t>
            </w: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 Other</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80" w:type="dxa"/>
            <w:vAlign w:val="bottom"/>
            <w:gridSpan w:val="3"/>
            <w:vMerge w:val="continue"/>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4"/>
                <w:szCs w:val="14"/>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Expenses</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 of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Reserve deducted from asset to which it applies: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Year Ended April 3, 2005: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275,000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(17,715)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32,285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Reserve for note receivable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658,134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658,134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933,134</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(17,715)</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690,419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Year Ended March 28, 2004:</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47,432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Reserve for note receivable</w:t>
            </w: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658,134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933,134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933,134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Year Ended March 30, 2003: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18,051</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43,051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Reserve for note receivable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658,134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958,134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18,051</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43,051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39</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gridSpan w:val="6"/>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ind w:left="900"/>
              <w:spacing w:after="0"/>
              <w:rPr>
                <w:sz w:val="20"/>
                <w:szCs w:val="20"/>
                <w:color w:val="auto"/>
              </w:rPr>
            </w:pPr>
            <w:r>
              <w:rPr>
                <w:rFonts w:ascii="Arial" w:cs="Arial" w:eastAsia="Arial" w:hAnsi="Arial"/>
                <w:sz w:val="18"/>
                <w:szCs w:val="18"/>
                <w:color w:val="auto"/>
              </w:rPr>
              <w:t>Exhibit Index</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ind w:left="640"/>
              <w:spacing w:after="0"/>
              <w:rPr>
                <w:sz w:val="20"/>
                <w:szCs w:val="20"/>
                <w:color w:val="auto"/>
              </w:rPr>
            </w:pPr>
            <w:r>
              <w:rPr>
                <w:rFonts w:ascii="Arial" w:cs="Arial" w:eastAsia="Arial" w:hAnsi="Arial"/>
                <w:sz w:val="14"/>
                <w:szCs w:val="14"/>
                <w:b w:val="1"/>
                <w:bCs w:val="1"/>
                <w:color w:val="auto"/>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7320" w:type="dxa"/>
            <w:vAlign w:val="bottom"/>
            <w:tcBorders>
              <w:top w:val="single" w:sz="8" w:color="auto"/>
            </w:tcBorders>
            <w:gridSpan w:val="11"/>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 February 27, 2001. (1)</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7320" w:type="dxa"/>
            <w:vAlign w:val="bottom"/>
            <w:gridSpan w:val="11"/>
          </w:tcPr>
          <w:p>
            <w:pPr>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10.1</w:t>
            </w:r>
          </w:p>
        </w:tc>
        <w:tc>
          <w:tcPr>
            <w:tcW w:w="7320" w:type="dxa"/>
            <w:vAlign w:val="bottom"/>
            <w:gridSpan w:val="11"/>
          </w:tcPr>
          <w:p>
            <w:pPr>
              <w:spacing w:after="0"/>
              <w:rPr>
                <w:sz w:val="20"/>
                <w:szCs w:val="20"/>
                <w:color w:val="auto"/>
              </w:rPr>
            </w:pPr>
            <w:r>
              <w:rPr>
                <w:rFonts w:ascii="Arial" w:cs="Arial" w:eastAsia="Arial" w:hAnsi="Arial"/>
                <w:sz w:val="18"/>
                <w:szCs w:val="18"/>
                <w:color w:val="auto"/>
                <w:w w:val="94"/>
              </w:rPr>
              <w:t>Retirement Agreement dated December 2, 1998 between the Company and Howard M. Hawkins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23.1</w:t>
            </w:r>
          </w:p>
        </w:tc>
        <w:tc>
          <w:tcPr>
            <w:tcW w:w="4440" w:type="dxa"/>
            <w:vAlign w:val="bottom"/>
            <w:gridSpan w:val="5"/>
          </w:tcPr>
          <w:p>
            <w:pPr>
              <w:spacing w:after="0"/>
              <w:rPr>
                <w:sz w:val="20"/>
                <w:szCs w:val="20"/>
                <w:color w:val="auto"/>
              </w:rPr>
            </w:pPr>
            <w:r>
              <w:rPr>
                <w:rFonts w:ascii="Arial" w:cs="Arial" w:eastAsia="Arial" w:hAnsi="Arial"/>
                <w:sz w:val="18"/>
                <w:szCs w:val="18"/>
                <w:color w:val="auto"/>
                <w:w w:val="92"/>
              </w:rPr>
              <w:t>Consent of Independent Registered Public Accounting Firm.</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31.1</w:t>
            </w:r>
          </w:p>
        </w:tc>
        <w:tc>
          <w:tcPr>
            <w:tcW w:w="7320" w:type="dxa"/>
            <w:vAlign w:val="bottom"/>
            <w:gridSpan w:val="11"/>
          </w:tcPr>
          <w:p>
            <w:pPr>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31.2</w:t>
            </w:r>
          </w:p>
        </w:tc>
        <w:tc>
          <w:tcPr>
            <w:tcW w:w="7320" w:type="dxa"/>
            <w:vAlign w:val="bottom"/>
            <w:gridSpan w:val="11"/>
          </w:tcPr>
          <w:p>
            <w:pPr>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32.1</w:t>
            </w:r>
          </w:p>
        </w:tc>
        <w:tc>
          <w:tcPr>
            <w:tcW w:w="4440" w:type="dxa"/>
            <w:vAlign w:val="bottom"/>
            <w:gridSpan w:val="5"/>
          </w:tcPr>
          <w:p>
            <w:pPr>
              <w:spacing w:after="0"/>
              <w:rPr>
                <w:sz w:val="20"/>
                <w:szCs w:val="20"/>
                <w:color w:val="auto"/>
              </w:rPr>
            </w:pPr>
            <w:r>
              <w:rPr>
                <w:rFonts w:ascii="Arial" w:cs="Arial" w:eastAsia="Arial" w:hAnsi="Arial"/>
                <w:sz w:val="18"/>
                <w:szCs w:val="18"/>
                <w:color w:val="auto"/>
              </w:rPr>
              <w:t>Section 1350 Certification by Chief Executive Officer.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32.2</w:t>
            </w:r>
          </w:p>
        </w:tc>
        <w:tc>
          <w:tcPr>
            <w:tcW w:w="4440" w:type="dxa"/>
            <w:vAlign w:val="bottom"/>
            <w:gridSpan w:val="5"/>
          </w:tcPr>
          <w:p>
            <w:pPr>
              <w:spacing w:after="0"/>
              <w:rPr>
                <w:sz w:val="20"/>
                <w:szCs w:val="20"/>
                <w:color w:val="auto"/>
              </w:rPr>
            </w:pPr>
            <w:r>
              <w:rPr>
                <w:rFonts w:ascii="Arial" w:cs="Arial" w:eastAsia="Arial" w:hAnsi="Arial"/>
                <w:sz w:val="18"/>
                <w:szCs w:val="18"/>
                <w:color w:val="auto"/>
              </w:rPr>
              <w:t>Section 1350 Certification by Chief Financial Officer.</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7"/>
          </w:tcPr>
          <w:p>
            <w:pPr>
              <w:ind w:left="220"/>
              <w:spacing w:after="0"/>
              <w:rPr>
                <w:sz w:val="20"/>
                <w:szCs w:val="20"/>
                <w:color w:val="auto"/>
              </w:rPr>
            </w:pPr>
            <w:r>
              <w:rPr>
                <w:rFonts w:ascii="Arial" w:cs="Arial" w:eastAsia="Arial" w:hAnsi="Arial"/>
                <w:sz w:val="18"/>
                <w:szCs w:val="18"/>
                <w:color w:val="auto"/>
              </w:rPr>
              <w:t>Filed Electronically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-1830070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-1830070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ectPr>
          <w:pgSz w:w="11900" w:h="16838" w:orient="portrait"/>
          <w:cols w:equalWidth="0" w:num="1">
            <w:col w:w="11440"/>
          </w:cols>
          <w:pgMar w:left="240" w:top="125" w:right="219" w:bottom="1440" w:gutter="0" w:footer="0" w:header="0"/>
        </w:sect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made this 2</w:t>
      </w:r>
      <w:r>
        <w:rPr>
          <w:rFonts w:ascii="Arial" w:cs="Arial" w:eastAsia="Arial" w:hAnsi="Arial"/>
          <w:sz w:val="30"/>
          <w:szCs w:val="30"/>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1998, between</w:t>
      </w:r>
      <w:r>
        <w:rPr>
          <w:rFonts w:ascii="Arial" w:cs="Arial" w:eastAsia="Arial" w:hAnsi="Arial"/>
          <w:sz w:val="18"/>
          <w:szCs w:val="18"/>
          <w:b w:val="1"/>
          <w:bCs w:val="1"/>
          <w:color w:val="auto"/>
        </w:rPr>
        <w:t xml:space="preserve"> HAWKINS CHEMICAL, INC</w:t>
      </w:r>
      <w:r>
        <w:rPr>
          <w:rFonts w:ascii="Arial" w:cs="Arial" w:eastAsia="Arial" w:hAnsi="Arial"/>
          <w:sz w:val="18"/>
          <w:szCs w:val="18"/>
          <w:color w:val="auto"/>
        </w:rPr>
        <w:t>. (“Hawkins”) and</w:t>
      </w:r>
      <w:r>
        <w:rPr>
          <w:rFonts w:ascii="Arial" w:cs="Arial" w:eastAsia="Arial" w:hAnsi="Arial"/>
          <w:sz w:val="18"/>
          <w:szCs w:val="18"/>
          <w:b w:val="1"/>
          <w:bCs w:val="1"/>
          <w:color w:val="auto"/>
        </w:rPr>
        <w:t xml:space="preserve"> HOWARD M.</w:t>
      </w:r>
    </w:p>
    <w:p>
      <w:pPr>
        <w:spacing w:after="0"/>
        <w:rPr>
          <w:sz w:val="20"/>
          <w:szCs w:val="20"/>
          <w:color w:val="auto"/>
        </w:rPr>
      </w:pPr>
      <w:r>
        <w:rPr>
          <w:rFonts w:ascii="Arial" w:cs="Arial" w:eastAsia="Arial" w:hAnsi="Arial"/>
          <w:sz w:val="18"/>
          <w:szCs w:val="18"/>
          <w:b w:val="1"/>
          <w:bCs w:val="1"/>
          <w:color w:val="auto"/>
        </w:rPr>
        <w:t xml:space="preserve">HAWKINS </w:t>
      </w:r>
      <w:r>
        <w:rPr>
          <w:rFonts w:ascii="Arial" w:cs="Arial" w:eastAsia="Arial" w:hAnsi="Arial"/>
          <w:sz w:val="18"/>
          <w:szCs w:val="18"/>
          <w:color w:val="auto"/>
        </w:rPr>
        <w:t>(“HMH”).</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HMH has been employed as Vice President and Treasurer of Hawkins;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Hawkins and HMH have agreed that it is appropriate to provide for the future retirement from employment by HMH;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the parties agree and covenant as follows:</w:t>
      </w:r>
    </w:p>
    <w:p>
      <w:pPr>
        <w:spacing w:after="0" w:line="225" w:lineRule="exact"/>
        <w:rPr>
          <w:sz w:val="20"/>
          <w:szCs w:val="20"/>
          <w:color w:val="auto"/>
        </w:rPr>
      </w:pPr>
    </w:p>
    <w:p>
      <w:pPr>
        <w:ind w:right="120" w:firstLine="656"/>
        <w:spacing w:after="0" w:line="314" w:lineRule="auto"/>
        <w:tabs>
          <w:tab w:leader="none" w:pos="131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Resignation</w:t>
      </w:r>
      <w:r>
        <w:rPr>
          <w:rFonts w:ascii="Arial" w:cs="Arial" w:eastAsia="Arial" w:hAnsi="Arial"/>
          <w:sz w:val="16"/>
          <w:szCs w:val="16"/>
          <w:color w:val="auto"/>
        </w:rPr>
        <w:t>. Effective September 30, 1999, or such earlier time as HMH shall desire, HMH shall resign from all offices which he holds at</w:t>
      </w:r>
      <w:r>
        <w:rPr>
          <w:rFonts w:ascii="Arial" w:cs="Arial" w:eastAsia="Arial" w:hAnsi="Arial"/>
          <w:sz w:val="16"/>
          <w:szCs w:val="16"/>
          <w:b w:val="1"/>
          <w:bCs w:val="1"/>
          <w:color w:val="auto"/>
        </w:rPr>
        <w:t xml:space="preserve"> </w:t>
      </w:r>
      <w:r>
        <w:rPr>
          <w:rFonts w:ascii="Arial" w:cs="Arial" w:eastAsia="Arial" w:hAnsi="Arial"/>
          <w:sz w:val="16"/>
          <w:szCs w:val="16"/>
          <w:color w:val="auto"/>
        </w:rPr>
        <w:t>Hawkins or any subsidiary of Hawkins, except as a member of the Hawkins Board of Directors or a member of the Hawkins Executive Committee and as a trustee of qualified plans. HMH shall also resign as a trustee of the qualified plans at such times as a corporate trustee is appointed for each such plan.</w:t>
      </w:r>
    </w:p>
    <w:p>
      <w:pPr>
        <w:spacing w:after="0" w:line="14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At all times after such resignation and prior to reaching early retirement, HMH shall be available for consultation by Hawkins by telephone, and in an emergency, Hawkins may require HMH to perform certain duties consistent with HMH’s experience and level of performance, not to exceed 30 days at any one time nor 90 days in any one year.</w:t>
      </w:r>
    </w:p>
    <w:p>
      <w:pPr>
        <w:spacing w:after="0" w:line="177" w:lineRule="exact"/>
        <w:rPr>
          <w:sz w:val="20"/>
          <w:szCs w:val="20"/>
          <w:color w:val="auto"/>
        </w:rPr>
      </w:pPr>
    </w:p>
    <w:p>
      <w:pPr>
        <w:ind w:right="340" w:firstLine="656"/>
        <w:spacing w:after="0" w:line="347" w:lineRule="auto"/>
        <w:tabs>
          <w:tab w:leader="none" w:pos="131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w:t>
      </w:r>
      <w:r>
        <w:rPr>
          <w:rFonts w:ascii="Arial" w:cs="Arial" w:eastAsia="Arial" w:hAnsi="Arial"/>
          <w:sz w:val="16"/>
          <w:szCs w:val="16"/>
          <w:color w:val="auto"/>
        </w:rPr>
        <w:t>. Hawkins shall pay to HMH, commencing upon such resignation on or before October 1, 1999, annual compensation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$110,000 for a period of six consecutive years, payable in accordance with the customary payroll practices of Hawkins for its employees.</w:t>
      </w:r>
    </w:p>
    <w:p>
      <w:pPr>
        <w:spacing w:after="0" w:line="12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HMH shall remain as an employee (without duties) until the termination of such six-year period and shall receive contributions to qualified plans, but there shall be no payment for directors’ fees or out-of-pocket expenses, including car or gasoline allowances, and there shall be no annual or periodic bonuses. HMH shall also be entitled to participate in the Employee Stock Purchase Plan.</w:t>
      </w:r>
    </w:p>
    <w:p>
      <w:pPr>
        <w:spacing w:after="0" w:line="177" w:lineRule="exact"/>
        <w:rPr>
          <w:sz w:val="20"/>
          <w:szCs w:val="20"/>
          <w:color w:val="auto"/>
        </w:rPr>
      </w:pPr>
    </w:p>
    <w:p>
      <w:pPr>
        <w:ind w:right="160" w:firstLine="656"/>
        <w:spacing w:after="0" w:line="281" w:lineRule="auto"/>
        <w:tabs>
          <w:tab w:leader="none" w:pos="1310"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Hawkins shall continue HMH’s Hawkins medical and other insurance benefits as they existed before his resignation as an</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until he reaches age 65. The cost of providing such benefits shall be shared by Hawkins and HMH in accordance with the terms of such benefit programs as they exist during such period, and if any payment is required from HMH, it shall be withheld in accordance with the customary practices for all other employees, or if withholding is impracticable, it shall be promptly reimbursed by HMH.</w:t>
      </w:r>
    </w:p>
    <w:p>
      <w:pPr>
        <w:spacing w:after="0" w:line="164" w:lineRule="exact"/>
        <w:rPr>
          <w:rFonts w:ascii="Arial" w:cs="Arial" w:eastAsia="Arial" w:hAnsi="Arial"/>
          <w:sz w:val="17"/>
          <w:szCs w:val="17"/>
          <w:color w:val="auto"/>
        </w:rPr>
      </w:pPr>
    </w:p>
    <w:p>
      <w:pPr>
        <w:ind w:right="60" w:firstLine="656"/>
        <w:spacing w:after="0" w:line="282" w:lineRule="auto"/>
        <w:tabs>
          <w:tab w:leader="none" w:pos="131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Qualified Plan Benefits</w:t>
      </w:r>
      <w:r>
        <w:rPr>
          <w:rFonts w:ascii="Arial" w:cs="Arial" w:eastAsia="Arial" w:hAnsi="Arial"/>
          <w:sz w:val="18"/>
          <w:szCs w:val="18"/>
          <w:color w:val="auto"/>
        </w:rPr>
        <w:t>. Upon the expiration of such six-year period, HMH may commence taking benefits from Hawkins qualified plans,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 bas then attained early retirement age provided in such plans.</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Automobile</w:t>
      </w:r>
      <w:r>
        <w:rPr>
          <w:rFonts w:ascii="Arial" w:cs="Arial" w:eastAsia="Arial" w:hAnsi="Arial"/>
          <w:sz w:val="17"/>
          <w:szCs w:val="17"/>
          <w:color w:val="auto"/>
        </w:rPr>
        <w:t>. HMH shall receive title to his company automobile at the time that his resignation as an officer shall become effective.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56"/>
        <w:spacing w:after="0" w:line="282" w:lineRule="auto"/>
        <w:tabs>
          <w:tab w:leader="none" w:pos="131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HMH assumes responsibility for any federal, state, or local income tax liability which may arise as a result of payments made to him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w:t>
      </w:r>
    </w:p>
    <w:p>
      <w:pPr>
        <w:spacing w:after="0" w:line="161" w:lineRule="exact"/>
        <w:rPr>
          <w:rFonts w:ascii="Arial" w:cs="Arial" w:eastAsia="Arial" w:hAnsi="Arial"/>
          <w:sz w:val="18"/>
          <w:szCs w:val="18"/>
          <w:color w:val="auto"/>
        </w:rPr>
      </w:pPr>
    </w:p>
    <w:p>
      <w:pPr>
        <w:ind w:right="100" w:firstLine="656"/>
        <w:spacing w:after="0" w:line="261" w:lineRule="auto"/>
        <w:tabs>
          <w:tab w:leader="none" w:pos="131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Competition</w:t>
      </w:r>
      <w:r>
        <w:rPr>
          <w:rFonts w:ascii="Arial" w:cs="Arial" w:eastAsia="Arial" w:hAnsi="Arial"/>
          <w:sz w:val="18"/>
          <w:szCs w:val="18"/>
          <w:color w:val="auto"/>
        </w:rPr>
        <w:t>. HMH acknowledges that as Vice President and Treasurer of Hawkins he has become familiar with trade</w:t>
      </w:r>
      <w:r>
        <w:rPr>
          <w:rFonts w:ascii="Arial" w:cs="Arial" w:eastAsia="Arial" w:hAnsi="Arial"/>
          <w:sz w:val="18"/>
          <w:szCs w:val="18"/>
          <w:b w:val="1"/>
          <w:bCs w:val="1"/>
          <w:color w:val="auto"/>
        </w:rPr>
        <w:t xml:space="preserve"> </w:t>
      </w:r>
      <w:r>
        <w:rPr>
          <w:rFonts w:ascii="Arial" w:cs="Arial" w:eastAsia="Arial" w:hAnsi="Arial"/>
          <w:sz w:val="18"/>
          <w:szCs w:val="18"/>
          <w:color w:val="auto"/>
        </w:rPr>
        <w:t>secrets, know-how, executive personnel, strategies, and other confidential information and data concerning Hawkins and its subsidiaries. In consideration of the various benefits to HMH arising under this Agreement, during the term of payments under this Agreement and for a period of two years after, HMH shall not:</w:t>
      </w:r>
    </w:p>
    <w:p>
      <w:pPr>
        <w:spacing w:after="0" w:line="184" w:lineRule="exact"/>
        <w:rPr>
          <w:sz w:val="20"/>
          <w:szCs w:val="20"/>
          <w:color w:val="auto"/>
        </w:rPr>
      </w:pPr>
    </w:p>
    <w:p>
      <w:pPr>
        <w:ind w:left="1300" w:right="40" w:hanging="644"/>
        <w:spacing w:after="0" w:line="264"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or indirectly own, manage, control, participate in, consult with, or render services of any kind for any concern which engages in a business which is competitive with any business being conducted by Hawkins or its subsidiaries throughout the six-year period of payments hereunder, without the prior approval of Hawkins;</w:t>
      </w:r>
    </w:p>
    <w:p>
      <w:pPr>
        <w:spacing w:after="0" w:line="181" w:lineRule="exact"/>
        <w:rPr>
          <w:rFonts w:ascii="Arial" w:cs="Arial" w:eastAsia="Arial" w:hAnsi="Arial"/>
          <w:sz w:val="18"/>
          <w:szCs w:val="18"/>
          <w:color w:val="auto"/>
        </w:rPr>
      </w:pPr>
    </w:p>
    <w:p>
      <w:pPr>
        <w:ind w:left="1300" w:right="300" w:hanging="644"/>
        <w:spacing w:after="0" w:line="286"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without the prior approval of Hawkins, become an agent or employee of any publicly traded corporation or any division or subsidiary of such corporation where more than 5% of such entity’s business is in competition with any business being conducted by Hawkins or its subsidiaries during such six-year period, unless the annual sales of such organization do not exceed $10 million;</w:t>
      </w:r>
    </w:p>
    <w:p>
      <w:pPr>
        <w:spacing w:after="0" w:line="165" w:lineRule="exact"/>
        <w:rPr>
          <w:rFonts w:ascii="Arial" w:cs="Arial" w:eastAsia="Arial" w:hAnsi="Arial"/>
          <w:sz w:val="17"/>
          <w:szCs w:val="17"/>
          <w:color w:val="auto"/>
        </w:rPr>
      </w:pPr>
    </w:p>
    <w:p>
      <w:pPr>
        <w:ind w:left="1300" w:right="100" w:hanging="644"/>
        <w:spacing w:after="0" w:line="264"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required by subpoena or court order, disclose to any other person any such confidential information or data; or make any written or oral statement regarding Hawkins’ or its subsidiaries’ directors or officers which may have the effect of being detrimental to any of their best interests; or</w:t>
      </w:r>
    </w:p>
    <w:p>
      <w:pPr>
        <w:spacing w:after="0" w:line="181" w:lineRule="exact"/>
        <w:rPr>
          <w:rFonts w:ascii="Arial" w:cs="Arial" w:eastAsia="Arial" w:hAnsi="Arial"/>
          <w:sz w:val="18"/>
          <w:szCs w:val="18"/>
          <w:color w:val="auto"/>
        </w:rPr>
      </w:pPr>
    </w:p>
    <w:p>
      <w:pPr>
        <w:ind w:left="1300" w:right="38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participate directly or indirectly in any attempt to acquire the business or assets of Hawkins or any subsidiary or in any other manner to interfere with the management of Hawkins, whether by friendly or unfriendly means, other than acting as a director or Executive Committee member of Hawkins.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at the time of the enforcement of this Section 7 the court shall hold that the duration, scope, or area of restriction stated in this section is unreasonable under the circumstances then existing, the parties agree that the maximum duration, scope, or area reasonable under such circumstances shall be substituted for the stated duration, scope, or area.</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the event of a breach of any of the provisions of this Section 7 by HMH, Hawkins, in addition to any of the rights and remedies existing in its favor, may apply to a court of competent jurisdiction for specific performance or injunctive or other relief in order to enforce or prevent any violations hereof.</w:t>
      </w:r>
    </w:p>
    <w:p>
      <w:pPr>
        <w:spacing w:after="0" w:line="120" w:lineRule="exact"/>
        <w:rPr>
          <w:sz w:val="20"/>
          <w:szCs w:val="20"/>
          <w:color w:val="auto"/>
        </w:rPr>
      </w:pPr>
    </w:p>
    <w:p>
      <w:pPr>
        <w:ind w:right="100" w:firstLine="656"/>
        <w:spacing w:after="0" w:line="266" w:lineRule="auto"/>
        <w:tabs>
          <w:tab w:leader="none" w:pos="131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HMH shall cooperate with Hawkins in furnishing testimony or other assistance in connection with the claims or litigation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kind against Hawkins or any of its subsidiaries, officers, or directors from time to time but shall be reimbursed for any out-of-pocket expense in connection therewith.</w:t>
      </w:r>
    </w:p>
    <w:p>
      <w:pPr>
        <w:sectPr>
          <w:pgSz w:w="11900" w:h="16838" w:orient="portrait"/>
          <w:cols w:equalWidth="0" w:num="1">
            <w:col w:w="11420"/>
          </w:cols>
          <w:pgMar w:left="240" w:top="121" w:right="239" w:bottom="0" w:gutter="0" w:footer="0" w:header="0"/>
        </w:sectPr>
      </w:pPr>
    </w:p>
    <w:bookmarkStart w:id="27" w:name="page28"/>
    <w:bookmarkEnd w:id="27"/>
    <w:p>
      <w:pPr>
        <w:ind w:firstLine="656"/>
        <w:spacing w:after="0" w:line="261" w:lineRule="auto"/>
        <w:tabs>
          <w:tab w:leader="none" w:pos="131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course of his employment with Hawkins, HMH has become familiar with its employees and those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During said six-year period and for two years thereafter he shall not directly or indirectly without the prior written permission of Hawkins induce any person to leave the employ of Hawkins or any subsidiary of it and enter into employment with him or his then employer, nor shall he hire any such individual who approaches him for employment.</w:t>
      </w:r>
    </w:p>
    <w:p>
      <w:pPr>
        <w:spacing w:after="0" w:line="180" w:lineRule="exact"/>
        <w:rPr>
          <w:rFonts w:ascii="Arial" w:cs="Arial" w:eastAsia="Arial" w:hAnsi="Arial"/>
          <w:sz w:val="18"/>
          <w:szCs w:val="18"/>
          <w:color w:val="auto"/>
        </w:rPr>
      </w:pPr>
    </w:p>
    <w:p>
      <w:pPr>
        <w:ind w:right="300" w:firstLine="656"/>
        <w:spacing w:after="0" w:line="282" w:lineRule="auto"/>
        <w:tabs>
          <w:tab w:leader="none" w:pos="1319"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Claims</w:t>
      </w:r>
      <w:r>
        <w:rPr>
          <w:rFonts w:ascii="Arial" w:cs="Arial" w:eastAsia="Arial" w:hAnsi="Arial"/>
          <w:sz w:val="18"/>
          <w:szCs w:val="18"/>
          <w:color w:val="auto"/>
        </w:rPr>
        <w:t>. Except for breaches of this Agreement or claims for amounts due pursuant to this Agreement or benefits under of any Hawkins</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plans, HMH waives, releases, and discharges Hawkins and its successors, assigns, officers,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employees, and agents from any and all claims which he might have, including claims arising out of his employment with Hawkins and claims arising under any federal or state employment policy.</w:t>
      </w:r>
    </w:p>
    <w:p>
      <w:pPr>
        <w:spacing w:after="0" w:line="166" w:lineRule="exact"/>
        <w:rPr>
          <w:sz w:val="20"/>
          <w:szCs w:val="20"/>
          <w:color w:val="auto"/>
        </w:rPr>
      </w:pPr>
    </w:p>
    <w:p>
      <w:pPr>
        <w:ind w:right="140" w:firstLine="656"/>
        <w:spacing w:after="0" w:line="266" w:lineRule="auto"/>
        <w:tabs>
          <w:tab w:leader="none" w:pos="131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Breach of Agreement</w:t>
      </w:r>
      <w:r>
        <w:rPr>
          <w:rFonts w:ascii="Arial" w:cs="Arial" w:eastAsia="Arial" w:hAnsi="Arial"/>
          <w:sz w:val="18"/>
          <w:szCs w:val="18"/>
          <w:color w:val="auto"/>
        </w:rPr>
        <w:t>. Upon breach or a threat of breach of any provision of this Agreement, either party has the right to pursue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remedies provided at law or in equity to enforce this Agreement, and Hawkins shall have the right to suspend any payment to be made by it other than from its tax-qualified plans.</w:t>
      </w:r>
    </w:p>
    <w:p>
      <w:pPr>
        <w:spacing w:after="0" w:line="18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If either party must act to enforce this Agreement, the other party shall reimburse the party so acting for all reasonable costs of enforcement, including attorneys’ fees.</w:t>
      </w:r>
    </w:p>
    <w:p>
      <w:pPr>
        <w:spacing w:after="0" w:line="166" w:lineRule="exact"/>
        <w:rPr>
          <w:sz w:val="20"/>
          <w:szCs w:val="20"/>
          <w:color w:val="auto"/>
        </w:rPr>
      </w:pPr>
    </w:p>
    <w:p>
      <w:pPr>
        <w:ind w:right="20" w:firstLine="656"/>
        <w:spacing w:after="0" w:line="266" w:lineRule="auto"/>
        <w:tabs>
          <w:tab w:leader="none" w:pos="1319"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is the entire agreement between the parties and may be altered or amended only by a written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both parties. HMH acknowledges that, except as provided in this Agreement, no additional sums of any kind will be paid to him by Hawkins or its subsidiaries.</w:t>
      </w:r>
    </w:p>
    <w:p>
      <w:pPr>
        <w:spacing w:after="0" w:line="176" w:lineRule="exact"/>
        <w:rPr>
          <w:rFonts w:ascii="Arial" w:cs="Arial" w:eastAsia="Arial" w:hAnsi="Arial"/>
          <w:sz w:val="18"/>
          <w:szCs w:val="18"/>
          <w:color w:val="auto"/>
        </w:rPr>
      </w:pPr>
    </w:p>
    <w:p>
      <w:pPr>
        <w:ind w:right="580" w:firstLine="656"/>
        <w:spacing w:after="0" w:line="282" w:lineRule="auto"/>
        <w:tabs>
          <w:tab w:leader="none" w:pos="1319"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is binding upon and inures to, the benefit of the parties, their heirs, successors, administrators,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This Agreement cannot be assigned by either party without the written consent of the other party.</w:t>
      </w:r>
    </w:p>
    <w:p>
      <w:pPr>
        <w:spacing w:after="0" w:line="161" w:lineRule="exact"/>
        <w:rPr>
          <w:rFonts w:ascii="Arial" w:cs="Arial" w:eastAsia="Arial" w:hAnsi="Arial"/>
          <w:sz w:val="18"/>
          <w:szCs w:val="18"/>
          <w:color w:val="auto"/>
        </w:rPr>
      </w:pPr>
    </w:p>
    <w:p>
      <w:pPr>
        <w:ind w:right="300" w:firstLine="656"/>
        <w:spacing w:after="0" w:line="282" w:lineRule="auto"/>
        <w:tabs>
          <w:tab w:leader="none" w:pos="1319"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Savings Clause</w:t>
      </w:r>
      <w:r>
        <w:rPr>
          <w:rFonts w:ascii="Arial" w:cs="Arial" w:eastAsia="Arial" w:hAnsi="Arial"/>
          <w:sz w:val="18"/>
          <w:szCs w:val="18"/>
          <w:color w:val="auto"/>
        </w:rPr>
        <w:t>. Should any valid federal or state law or final determination of any agency or court of competent jurisdiction affect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the remaining provisions shall otherwise continue in full force and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bas been executed by the parties the date first above written.</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HAWKINS CHEMICAL, INC.</w:t>
      </w:r>
    </w:p>
    <w:p>
      <w:pPr>
        <w:spacing w:after="0" w:line="200" w:lineRule="exact"/>
        <w:rPr>
          <w:sz w:val="20"/>
          <w:szCs w:val="20"/>
          <w:color w:val="auto"/>
        </w:rPr>
      </w:pPr>
    </w:p>
    <w:p>
      <w:pPr>
        <w:spacing w:after="0" w:line="245"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/s/ Dean L. Hahn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Howard M. Hawkins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Howard M. Hawkins,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81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 xml:space="preserve">We consent to the incorporation by reference in Registration Statement No. 33-41323 of Hawkins, Inc. (the Company) on </w:t>
      </w:r>
      <w:r>
        <w:rPr>
          <w:rFonts w:ascii="Arial" w:cs="Arial" w:eastAsia="Arial" w:hAnsi="Arial"/>
          <w:sz w:val="17"/>
          <w:szCs w:val="17"/>
          <w:color w:val="auto"/>
        </w:rPr>
        <w:t>Form S-8 of our reports dated</w:t>
      </w:r>
      <w:r>
        <w:rPr>
          <w:rFonts w:ascii="Arial" w:cs="Arial" w:eastAsia="Arial" w:hAnsi="Arial"/>
          <w:sz w:val="18"/>
          <w:szCs w:val="18"/>
          <w:color w:val="auto"/>
        </w:rPr>
        <w:t xml:space="preserve"> </w:t>
      </w:r>
      <w:r>
        <w:rPr>
          <w:rFonts w:ascii="Arial" w:cs="Arial" w:eastAsia="Arial" w:hAnsi="Arial"/>
          <w:sz w:val="17"/>
          <w:szCs w:val="17"/>
          <w:color w:val="auto"/>
        </w:rPr>
        <w:t>June 29, 2005, relating to the financial statements of Hawkins, Inc. and management’s report on the effectiveness of internal control over financial reporting (which report expresses an adverse opinion on the effectiveness of the Company’s internal control over financial reporting because of material weaknesses) appearing in this Annual Report on Form 10-K of the Company for the fiscal year ended April 3, 2005.</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328"/>
        <w:spacing w:after="0" w:line="264" w:lineRule="auto"/>
        <w:tabs>
          <w:tab w:leader="none" w:pos="6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7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60" w:hanging="4"/>
        <w:spacing w:after="0" w:line="277" w:lineRule="auto"/>
        <w:tabs>
          <w:tab w:leader="none" w:pos="100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4"/>
        <w:spacing w:after="0" w:line="277" w:lineRule="auto"/>
        <w:tabs>
          <w:tab w:leader="none" w:pos="9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1, 2005</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328"/>
        <w:spacing w:after="0" w:line="264" w:lineRule="auto"/>
        <w:tabs>
          <w:tab w:leader="none" w:pos="6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40" w:hanging="4"/>
        <w:spacing w:after="0" w:line="277" w:lineRule="auto"/>
        <w:tabs>
          <w:tab w:leader="none" w:pos="10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10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1, 2005</w:t>
      </w:r>
    </w:p>
    <w:p>
      <w:pPr>
        <w:spacing w:after="0" w:line="22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-130810</wp:posOffset>
            </wp:positionV>
            <wp:extent cx="28130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3, 2005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3, 2005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lowerLetter"/>
      <w:start w:val="1"/>
    </w:lvl>
  </w:abstractNum>
  <w:abstractNum w:abstractNumId="1">
    <w:nsid w:val="436C6125"/>
    <w:multiLevelType w:val="hybridMultilevel"/>
    <w:lvl w:ilvl="0">
      <w:lvlJc w:val="left"/>
      <w:lvlText w:val="(%1)"/>
      <w:numFmt w:val="lowerRoman"/>
      <w:start w:val="1"/>
    </w:lvl>
    <w:lvl w:ilvl="1">
      <w:lvlJc w:val="left"/>
      <w:lvlText w:val="(%2)"/>
      <w:numFmt w:val="upperLetter"/>
      <w:start w:val="1"/>
    </w:lvl>
  </w:abstractNum>
  <w:abstractNum w:abstractNumId="2">
    <w:nsid w:val="628C895D"/>
    <w:multiLevelType w:val="hybridMultilevel"/>
    <w:lvl w:ilvl="0">
      <w:lvlJc w:val="left"/>
      <w:lvlText w:val="(%1)"/>
      <w:numFmt w:val="upperLetter"/>
      <w:start w:val="3"/>
    </w:lvl>
  </w:abstractNum>
  <w:abstractNum w:abstractNumId="3">
    <w:nsid w:val="333AB105"/>
    <w:multiLevelType w:val="hybridMultilevel"/>
    <w:lvl w:ilvl="0">
      <w:lvlJc w:val="left"/>
      <w:lvlText w:val="(%1)"/>
      <w:numFmt w:val="lowerRoman"/>
      <w:start w:val="2"/>
    </w:lvl>
  </w:abstractNum>
  <w:abstractNum w:abstractNumId="4">
    <w:nsid w:val="721DA317"/>
    <w:multiLevelType w:val="hybridMultilevel"/>
    <w:lvl w:ilvl="0">
      <w:lvlJc w:val="left"/>
      <w:lvlText w:val="(%1)"/>
      <w:numFmt w:val="lowerRoman"/>
      <w:start w:val="6"/>
    </w:lvl>
  </w:abstractNum>
  <w:abstractNum w:abstractNumId="5">
    <w:nsid w:val="2443A858"/>
    <w:multiLevelType w:val="hybridMultilevel"/>
    <w:lvl w:ilvl="0">
      <w:lvlJc w:val="left"/>
      <w:lvlText w:val="(%1)"/>
      <w:numFmt w:val="lowerRoman"/>
      <w:start w:val="7"/>
    </w:lvl>
  </w:abstractNum>
  <w:abstractNum w:abstractNumId="6">
    <w:nsid w:val="2D1D5AE9"/>
    <w:multiLevelType w:val="hybridMultilevel"/>
    <w:lvl w:ilvl="0">
      <w:lvlJc w:val="left"/>
      <w:lvlText w:val="%1"/>
      <w:numFmt w:val="lowerLetter"/>
      <w:start w:val="1"/>
    </w:lvl>
    <w:lvl w:ilvl="1">
      <w:lvlJc w:val="left"/>
      <w:lvlText w:val="(%2)"/>
      <w:numFmt w:val="lowerRoman"/>
      <w:start w:val="13"/>
    </w:lvl>
  </w:abstractNum>
  <w:abstractNum w:abstractNumId="7">
    <w:nsid w:val="6763845E"/>
    <w:multiLevelType w:val="hybridMultilevel"/>
    <w:lvl w:ilvl="0">
      <w:lvlJc w:val="left"/>
      <w:lvlText w:val="(%1)"/>
      <w:numFmt w:val="lowerLetter"/>
      <w:start w:val="4"/>
    </w:lvl>
    <w:lvl w:ilvl="1">
      <w:lvlJc w:val="left"/>
      <w:lvlText w:val="%2"/>
      <w:numFmt w:val="lowerRoman"/>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1."/>
      <w:numFmt w:val="decimal"/>
      <w:start w:val="3"/>
    </w:lvl>
  </w:abstractNum>
  <w:abstractNum w:abstractNumId="16">
    <w:nsid w:val="2CA88611"/>
    <w:multiLevelType w:val="hybridMultilevel"/>
    <w:lvl w:ilvl="0">
      <w:lvlJc w:val="left"/>
      <w:lvlText w:val="%1."/>
      <w:numFmt w:val="decimal"/>
      <w:start w:val="4"/>
    </w:lvl>
  </w:abstractNum>
  <w:abstractNum w:abstractNumId="17">
    <w:nsid w:val="836C40E"/>
    <w:multiLevelType w:val="hybridMultilevel"/>
    <w:lvl w:ilvl="0">
      <w:lvlJc w:val="left"/>
      <w:lvlText w:val="%1."/>
      <w:numFmt w:val="decimal"/>
      <w:start w:val="7"/>
    </w:lvl>
  </w:abstractNum>
  <w:abstractNum w:abstractNumId="18">
    <w:nsid w:val="2901D82"/>
    <w:multiLevelType w:val="hybridMultilevel"/>
    <w:lvl w:ilvl="0">
      <w:lvlJc w:val="left"/>
      <w:lvlText w:val="%1."/>
      <w:numFmt w:val="decimal"/>
      <w:start w:val="8"/>
    </w:lvl>
  </w:abstractNum>
  <w:abstractNum w:abstractNumId="19">
    <w:nsid w:val="3A95F874"/>
    <w:multiLevelType w:val="hybridMultilevel"/>
    <w:lvl w:ilvl="0">
      <w:lvlJc w:val="left"/>
      <w:lvlText w:val="%1."/>
      <w:numFmt w:val="decimal"/>
      <w:start w:val="9"/>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decimal"/>
      <w:start w:val="3"/>
    </w:lvl>
  </w:abstractNum>
  <w:abstractNum w:abstractNumId="29">
    <w:nsid w:val="419AC241"/>
    <w:multiLevelType w:val="hybridMultilevel"/>
    <w:lvl w:ilvl="0">
      <w:lvlJc w:val="left"/>
      <w:lvlText w:val="%1."/>
      <w:numFmt w:val="decimal"/>
      <w:start w:val="6"/>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8"/>
    </w:lvl>
  </w:abstractNum>
  <w:abstractNum w:abstractNumId="32">
    <w:nsid w:val="5072367"/>
    <w:multiLevelType w:val="hybridMultilevel"/>
    <w:lvl w:ilvl="0">
      <w:lvlJc w:val="left"/>
      <w:lvlText w:val="%1."/>
      <w:numFmt w:val="decimal"/>
      <w:start w:val="9"/>
    </w:lvl>
  </w:abstractNum>
  <w:abstractNum w:abstractNumId="33">
    <w:nsid w:val="3804823E"/>
    <w:multiLevelType w:val="hybridMultilevel"/>
    <w:lvl w:ilvl="0">
      <w:lvlJc w:val="left"/>
      <w:lvlText w:val="%1."/>
      <w:numFmt w:val="decimal"/>
      <w:start w:val="11"/>
    </w:lvl>
  </w:abstractNum>
  <w:abstractNum w:abstractNumId="34">
    <w:nsid w:val="77465F01"/>
    <w:multiLevelType w:val="hybridMultilevel"/>
    <w:lvl w:ilvl="0">
      <w:lvlJc w:val="left"/>
      <w:lvlText w:val="%1."/>
      <w:numFmt w:val="decimal"/>
      <w:start w:val="12"/>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2019-12-13T01:51:38Z</dcterms:created>
  <dcterms:modified xsi:type="dcterms:W3CDTF">2019-12-13T01:51:38Z</dcterms:modified>
</cp:coreProperties>
</file>