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217805</wp:posOffset>
            </wp:positionH>
            <wp:positionV relativeFrom="page">
              <wp:posOffset>620395</wp:posOffset>
            </wp:positionV>
            <wp:extent cx="7126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534670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90170</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40005</wp:posOffset>
            </wp:positionV>
            <wp:extent cx="2855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HAWKINS, INC.</w:t>
      </w:r>
    </w:p>
    <w:p>
      <w:pPr>
        <w:spacing w:after="0" w:line="6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23495</wp:posOffset>
            </wp:positionV>
            <wp:extent cx="58572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400" w:type="dxa"/>
            <w:vAlign w:val="bottom"/>
            <w:gridSpan w:val="2"/>
          </w:tcPr>
          <w:p>
            <w:pPr>
              <w:jc w:val="center"/>
              <w:ind w:left="1100"/>
              <w:spacing w:after="0"/>
              <w:rPr>
                <w:sz w:val="20"/>
                <w:szCs w:val="20"/>
                <w:color w:val="auto"/>
              </w:rPr>
            </w:pPr>
            <w:r>
              <w:rPr>
                <w:rFonts w:ascii="Arial" w:cs="Arial" w:eastAsia="Arial" w:hAnsi="Arial"/>
                <w:sz w:val="18"/>
                <w:szCs w:val="18"/>
                <w:b w:val="1"/>
                <w:bCs w:val="1"/>
                <w:color w:val="auto"/>
                <w:w w:val="92"/>
              </w:rPr>
              <w:t>Minnesota</w:t>
            </w:r>
          </w:p>
        </w:tc>
        <w:tc>
          <w:tcPr>
            <w:tcW w:w="2720" w:type="dxa"/>
            <w:vAlign w:val="bottom"/>
          </w:tcPr>
          <w:p>
            <w:pPr>
              <w:spacing w:after="0"/>
              <w:rPr>
                <w:sz w:val="20"/>
                <w:szCs w:val="20"/>
                <w:color w:val="auto"/>
              </w:rPr>
            </w:pPr>
          </w:p>
        </w:tc>
        <w:tc>
          <w:tcPr>
            <w:tcW w:w="4260" w:type="dxa"/>
            <w:vAlign w:val="bottom"/>
            <w:gridSpan w:val="2"/>
          </w:tcPr>
          <w:p>
            <w:pPr>
              <w:jc w:val="center"/>
              <w:ind w:right="88"/>
              <w:spacing w:after="0"/>
              <w:rPr>
                <w:sz w:val="20"/>
                <w:szCs w:val="20"/>
                <w:color w:val="auto"/>
              </w:rPr>
            </w:pPr>
            <w:r>
              <w:rPr>
                <w:rFonts w:ascii="Arial" w:cs="Arial" w:eastAsia="Arial" w:hAnsi="Arial"/>
                <w:sz w:val="18"/>
                <w:szCs w:val="18"/>
                <w:b w:val="1"/>
                <w:bCs w:val="1"/>
                <w:color w:val="auto"/>
                <w:w w:val="89"/>
              </w:rPr>
              <w:t>41-0771293</w:t>
            </w:r>
          </w:p>
        </w:tc>
        <w:tc>
          <w:tcPr>
            <w:tcW w:w="520" w:type="dxa"/>
            <w:vAlign w:val="bottom"/>
          </w:tcPr>
          <w:p>
            <w:pPr>
              <w:spacing w:after="0"/>
              <w:rPr>
                <w:sz w:val="20"/>
                <w:szCs w:val="20"/>
                <w:color w:val="auto"/>
              </w:rPr>
            </w:pPr>
          </w:p>
        </w:tc>
      </w:tr>
      <w:tr>
        <w:trPr>
          <w:trHeight w:val="27"/>
        </w:trPr>
        <w:tc>
          <w:tcPr>
            <w:tcW w:w="5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46"/>
        </w:trPr>
        <w:tc>
          <w:tcPr>
            <w:tcW w:w="520" w:type="dxa"/>
            <w:vAlign w:val="bottom"/>
          </w:tcPr>
          <w:p>
            <w:pPr>
              <w:spacing w:after="0"/>
              <w:rPr>
                <w:sz w:val="12"/>
                <w:szCs w:val="12"/>
                <w:color w:val="auto"/>
              </w:rPr>
            </w:pPr>
          </w:p>
        </w:tc>
        <w:tc>
          <w:tcPr>
            <w:tcW w:w="3400" w:type="dxa"/>
            <w:vAlign w:val="bottom"/>
            <w:gridSpan w:val="2"/>
          </w:tcPr>
          <w:p>
            <w:pPr>
              <w:jc w:val="center"/>
              <w:ind w:left="1100"/>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27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60" w:type="dxa"/>
            <w:vAlign w:val="bottom"/>
            <w:gridSpan w:val="2"/>
          </w:tcPr>
          <w:p>
            <w:pPr>
              <w:jc w:val="center"/>
              <w:ind w:right="2020"/>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20" w:type="dxa"/>
            <w:vAlign w:val="bottom"/>
          </w:tcPr>
          <w:p>
            <w:pPr>
              <w:spacing w:after="0"/>
              <w:rPr>
                <w:sz w:val="16"/>
                <w:szCs w:val="16"/>
                <w:color w:val="auto"/>
              </w:rPr>
            </w:pPr>
          </w:p>
        </w:tc>
        <w:tc>
          <w:tcPr>
            <w:tcW w:w="3400" w:type="dxa"/>
            <w:vAlign w:val="bottom"/>
            <w:gridSpan w:val="2"/>
          </w:tcPr>
          <w:p>
            <w:pPr>
              <w:jc w:val="center"/>
              <w:ind w:left="1100"/>
              <w:spacing w:after="0"/>
              <w:rPr>
                <w:sz w:val="20"/>
                <w:szCs w:val="20"/>
                <w:color w:val="auto"/>
              </w:rPr>
            </w:pPr>
            <w:r>
              <w:rPr>
                <w:rFonts w:ascii="Arial" w:cs="Arial" w:eastAsia="Arial" w:hAnsi="Arial"/>
                <w:sz w:val="14"/>
                <w:szCs w:val="14"/>
                <w:b w:val="1"/>
                <w:bCs w:val="1"/>
                <w:color w:val="auto"/>
                <w:w w:val="93"/>
              </w:rPr>
              <w:t>incorporation or organization)</w:t>
            </w:r>
          </w:p>
        </w:tc>
        <w:tc>
          <w:tcPr>
            <w:tcW w:w="2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60" w:type="dxa"/>
            <w:vAlign w:val="bottom"/>
            <w:gridSpan w:val="2"/>
          </w:tcPr>
          <w:p>
            <w:pPr>
              <w:jc w:val="center"/>
              <w:ind w:right="2020"/>
              <w:spacing w:after="0"/>
              <w:rPr>
                <w:sz w:val="20"/>
                <w:szCs w:val="20"/>
                <w:color w:val="auto"/>
              </w:rPr>
            </w:pPr>
            <w:r>
              <w:rPr>
                <w:rFonts w:ascii="Arial" w:cs="Arial" w:eastAsia="Arial" w:hAnsi="Arial"/>
                <w:sz w:val="14"/>
                <w:szCs w:val="14"/>
                <w:b w:val="1"/>
                <w:bCs w:val="1"/>
                <w:color w:val="auto"/>
                <w:w w:val="94"/>
              </w:rPr>
              <w:t>Identification No.)</w:t>
            </w:r>
          </w:p>
        </w:tc>
      </w:tr>
      <w:tr>
        <w:trPr>
          <w:trHeight w:val="498"/>
        </w:trPr>
        <w:tc>
          <w:tcPr>
            <w:tcW w:w="520" w:type="dxa"/>
            <w:vAlign w:val="bottom"/>
          </w:tcPr>
          <w:p>
            <w:pPr>
              <w:spacing w:after="0"/>
              <w:rPr>
                <w:sz w:val="24"/>
                <w:szCs w:val="24"/>
                <w:color w:val="auto"/>
              </w:rPr>
            </w:pPr>
          </w:p>
        </w:tc>
        <w:tc>
          <w:tcPr>
            <w:tcW w:w="6120" w:type="dxa"/>
            <w:vAlign w:val="bottom"/>
            <w:gridSpan w:val="3"/>
          </w:tcPr>
          <w:p>
            <w:pPr>
              <w:jc w:val="center"/>
              <w:ind w:right="99"/>
              <w:spacing w:after="0"/>
              <w:rPr>
                <w:sz w:val="20"/>
                <w:szCs w:val="20"/>
                <w:color w:val="auto"/>
              </w:rPr>
            </w:pPr>
            <w:r>
              <w:rPr>
                <w:rFonts w:ascii="Arial" w:cs="Arial" w:eastAsia="Arial" w:hAnsi="Arial"/>
                <w:sz w:val="18"/>
                <w:szCs w:val="18"/>
                <w:b w:val="1"/>
                <w:bCs w:val="1"/>
                <w:color w:val="auto"/>
                <w:w w:val="88"/>
              </w:rPr>
              <w:t>2381 Rosegate, Roseville, Minnesota</w:t>
            </w:r>
          </w:p>
        </w:tc>
        <w:tc>
          <w:tcPr>
            <w:tcW w:w="4260" w:type="dxa"/>
            <w:vAlign w:val="bottom"/>
            <w:gridSpan w:val="2"/>
          </w:tcPr>
          <w:p>
            <w:pPr>
              <w:jc w:val="right"/>
              <w:ind w:right="2388"/>
              <w:spacing w:after="0"/>
              <w:rPr>
                <w:sz w:val="20"/>
                <w:szCs w:val="20"/>
                <w:color w:val="auto"/>
              </w:rPr>
            </w:pPr>
            <w:r>
              <w:rPr>
                <w:rFonts w:ascii="Arial" w:cs="Arial" w:eastAsia="Arial" w:hAnsi="Arial"/>
                <w:sz w:val="18"/>
                <w:szCs w:val="18"/>
                <w:b w:val="1"/>
                <w:bCs w:val="1"/>
                <w:color w:val="auto"/>
              </w:rPr>
              <w:t>55113</w:t>
            </w:r>
          </w:p>
        </w:tc>
        <w:tc>
          <w:tcPr>
            <w:tcW w:w="520" w:type="dxa"/>
            <w:vAlign w:val="bottom"/>
          </w:tcPr>
          <w:p>
            <w:pPr>
              <w:spacing w:after="0"/>
              <w:rPr>
                <w:sz w:val="24"/>
                <w:szCs w:val="24"/>
                <w:color w:val="auto"/>
              </w:rPr>
            </w:pPr>
          </w:p>
        </w:tc>
      </w:tr>
      <w:tr>
        <w:trPr>
          <w:trHeight w:val="272"/>
        </w:trPr>
        <w:tc>
          <w:tcPr>
            <w:tcW w:w="520" w:type="dxa"/>
            <w:vAlign w:val="bottom"/>
          </w:tcPr>
          <w:p>
            <w:pPr>
              <w:spacing w:after="0"/>
              <w:rPr>
                <w:sz w:val="23"/>
                <w:szCs w:val="23"/>
                <w:color w:val="auto"/>
              </w:rPr>
            </w:pPr>
          </w:p>
        </w:tc>
        <w:tc>
          <w:tcPr>
            <w:tcW w:w="6120" w:type="dxa"/>
            <w:vAlign w:val="bottom"/>
            <w:gridSpan w:val="3"/>
          </w:tcPr>
          <w:p>
            <w:pPr>
              <w:jc w:val="center"/>
              <w:ind w:right="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92"/>
              </w:rPr>
              <w:t>(Zip code)</w:t>
            </w:r>
          </w:p>
        </w:tc>
      </w:tr>
      <w:tr>
        <w:trPr>
          <w:trHeight w:val="458"/>
        </w:trPr>
        <w:tc>
          <w:tcPr>
            <w:tcW w:w="5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20" w:type="dxa"/>
            <w:vAlign w:val="bottom"/>
          </w:tcPr>
          <w:p>
            <w:pPr>
              <w:jc w:val="right"/>
              <w:ind w:right="279"/>
              <w:spacing w:after="0"/>
              <w:rPr>
                <w:sz w:val="20"/>
                <w:szCs w:val="20"/>
                <w:color w:val="auto"/>
              </w:rPr>
            </w:pPr>
            <w:r>
              <w:rPr>
                <w:rFonts w:ascii="Arial" w:cs="Arial" w:eastAsia="Arial" w:hAnsi="Arial"/>
                <w:sz w:val="18"/>
                <w:szCs w:val="18"/>
                <w:b w:val="1"/>
                <w:bCs w:val="1"/>
                <w:color w:val="auto"/>
              </w:rPr>
              <w:t>(612) 331-6910</w:t>
            </w:r>
          </w:p>
        </w:tc>
        <w:tc>
          <w:tcPr>
            <w:tcW w:w="1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4"/>
        </w:trPr>
        <w:tc>
          <w:tcPr>
            <w:tcW w:w="5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gridSpan w:val="2"/>
          </w:tcPr>
          <w:p>
            <w:pPr>
              <w:jc w:val="center"/>
              <w:ind w:right="377"/>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460" w:type="dxa"/>
            <w:vAlign w:val="bottom"/>
            <w:gridSpan w:val="2"/>
          </w:tcPr>
          <w:p>
            <w:pPr>
              <w:spacing w:after="0"/>
              <w:rPr>
                <w:sz w:val="19"/>
                <w:szCs w:val="19"/>
                <w:color w:val="auto"/>
              </w:rPr>
            </w:pPr>
          </w:p>
        </w:tc>
      </w:tr>
      <w:tr>
        <w:trPr>
          <w:trHeight w:val="540"/>
        </w:trPr>
        <w:tc>
          <w:tcPr>
            <w:tcW w:w="664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9"/>
        </w:trPr>
        <w:tc>
          <w:tcPr>
            <w:tcW w:w="520" w:type="dxa"/>
            <w:vAlign w:val="bottom"/>
          </w:tcPr>
          <w:p>
            <w:pPr>
              <w:spacing w:after="0"/>
              <w:rPr>
                <w:sz w:val="24"/>
                <w:szCs w:val="24"/>
                <w:color w:val="auto"/>
              </w:rPr>
            </w:pPr>
          </w:p>
        </w:tc>
        <w:tc>
          <w:tcPr>
            <w:tcW w:w="3400" w:type="dxa"/>
            <w:vAlign w:val="bottom"/>
            <w:gridSpan w:val="2"/>
          </w:tcPr>
          <w:p>
            <w:pPr>
              <w:ind w:left="1220"/>
              <w:spacing w:after="0"/>
              <w:rPr>
                <w:sz w:val="20"/>
                <w:szCs w:val="20"/>
                <w:color w:val="auto"/>
              </w:rPr>
            </w:pPr>
            <w:r>
              <w:rPr>
                <w:rFonts w:ascii="Arial" w:cs="Arial" w:eastAsia="Arial" w:hAnsi="Arial"/>
                <w:sz w:val="16"/>
                <w:szCs w:val="16"/>
                <w:b w:val="1"/>
                <w:bCs w:val="1"/>
                <w:color w:val="auto"/>
              </w:rPr>
              <w:t>Title of each class</w:t>
            </w:r>
          </w:p>
        </w:tc>
        <w:tc>
          <w:tcPr>
            <w:tcW w:w="272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Trading Symbol(s)</w:t>
            </w:r>
          </w:p>
        </w:tc>
        <w:tc>
          <w:tcPr>
            <w:tcW w:w="4780" w:type="dxa"/>
            <w:vAlign w:val="bottom"/>
            <w:gridSpan w:val="3"/>
          </w:tcPr>
          <w:p>
            <w:pPr>
              <w:jc w:val="center"/>
              <w:ind w:right="1020"/>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520" w:type="dxa"/>
            <w:vAlign w:val="bottom"/>
          </w:tcPr>
          <w:p>
            <w:pPr>
              <w:spacing w:after="0"/>
              <w:rPr>
                <w:sz w:val="2"/>
                <w:szCs w:val="2"/>
                <w:color w:val="auto"/>
              </w:rPr>
            </w:pPr>
          </w:p>
        </w:tc>
        <w:tc>
          <w:tcPr>
            <w:tcW w:w="3400" w:type="dxa"/>
            <w:vAlign w:val="bottom"/>
            <w:tcBorders>
              <w:bottom w:val="single" w:sz="8" w:color="auto"/>
            </w:tcBorders>
            <w:gridSpan w:val="2"/>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gridSpan w:val="2"/>
          </w:tcPr>
          <w:p>
            <w:pPr>
              <w:spacing w:after="0"/>
              <w:rPr>
                <w:sz w:val="2"/>
                <w:szCs w:val="2"/>
                <w:color w:val="auto"/>
              </w:rPr>
            </w:pPr>
          </w:p>
        </w:tc>
        <w:tc>
          <w:tcPr>
            <w:tcW w:w="520" w:type="dxa"/>
            <w:vAlign w:val="bottom"/>
          </w:tcPr>
          <w:p>
            <w:pPr>
              <w:spacing w:after="0"/>
              <w:rPr>
                <w:sz w:val="2"/>
                <w:szCs w:val="2"/>
                <w:color w:val="auto"/>
              </w:rPr>
            </w:pPr>
          </w:p>
        </w:tc>
      </w:tr>
      <w:tr>
        <w:trPr>
          <w:trHeight w:val="217"/>
        </w:trPr>
        <w:tc>
          <w:tcPr>
            <w:tcW w:w="520" w:type="dxa"/>
            <w:vAlign w:val="bottom"/>
          </w:tcPr>
          <w:p>
            <w:pPr>
              <w:spacing w:after="0"/>
              <w:rPr>
                <w:sz w:val="18"/>
                <w:szCs w:val="18"/>
                <w:color w:val="auto"/>
              </w:rPr>
            </w:pPr>
          </w:p>
        </w:tc>
        <w:tc>
          <w:tcPr>
            <w:tcW w:w="3400" w:type="dxa"/>
            <w:vAlign w:val="bottom"/>
            <w:gridSpan w:val="2"/>
          </w:tcPr>
          <w:p>
            <w:pPr>
              <w:ind w:left="20"/>
              <w:spacing w:after="0"/>
              <w:rPr>
                <w:sz w:val="20"/>
                <w:szCs w:val="20"/>
                <w:color w:val="auto"/>
              </w:rPr>
            </w:pPr>
            <w:r>
              <w:rPr>
                <w:rFonts w:ascii="Arial" w:cs="Arial" w:eastAsia="Arial" w:hAnsi="Arial"/>
                <w:sz w:val="16"/>
                <w:szCs w:val="16"/>
                <w:color w:val="auto"/>
              </w:rPr>
              <w:t>Common Stock, par value $.05 per share</w:t>
            </w:r>
          </w:p>
        </w:tc>
        <w:tc>
          <w:tcPr>
            <w:tcW w:w="2720" w:type="dxa"/>
            <w:vAlign w:val="bottom"/>
          </w:tcPr>
          <w:p>
            <w:pPr>
              <w:jc w:val="center"/>
              <w:ind w:right="179"/>
              <w:spacing w:after="0"/>
              <w:rPr>
                <w:sz w:val="20"/>
                <w:szCs w:val="20"/>
                <w:color w:val="auto"/>
              </w:rPr>
            </w:pPr>
            <w:r>
              <w:rPr>
                <w:rFonts w:ascii="Arial" w:cs="Arial" w:eastAsia="Arial" w:hAnsi="Arial"/>
                <w:sz w:val="16"/>
                <w:szCs w:val="16"/>
                <w:color w:val="auto"/>
              </w:rPr>
              <w:t>HWKN</w:t>
            </w:r>
          </w:p>
        </w:tc>
        <w:tc>
          <w:tcPr>
            <w:tcW w:w="4780" w:type="dxa"/>
            <w:vAlign w:val="bottom"/>
            <w:gridSpan w:val="3"/>
          </w:tcPr>
          <w:p>
            <w:pPr>
              <w:jc w:val="center"/>
              <w:ind w:right="1020"/>
              <w:spacing w:after="0"/>
              <w:rPr>
                <w:sz w:val="20"/>
                <w:szCs w:val="20"/>
                <w:color w:val="auto"/>
              </w:rPr>
            </w:pPr>
            <w:r>
              <w:rPr>
                <w:rFonts w:ascii="Arial" w:cs="Arial" w:eastAsia="Arial" w:hAnsi="Arial"/>
                <w:sz w:val="16"/>
                <w:szCs w:val="16"/>
                <w:color w:val="auto"/>
                <w:w w:val="94"/>
              </w:rPr>
              <w:t>Nasdaq Stock Market LLC</w:t>
            </w:r>
          </w:p>
        </w:tc>
      </w:tr>
    </w:tbl>
    <w:p>
      <w:pPr>
        <w:spacing w:after="0" w:line="100"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5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72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72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9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160" w:type="dxa"/>
            <w:vAlign w:val="bottom"/>
          </w:tcPr>
          <w:p>
            <w:pPr>
              <w:ind w:left="272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4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7" w:lineRule="exact"/>
        <w:rPr>
          <w:sz w:val="24"/>
          <w:szCs w:val="24"/>
          <w:color w:val="auto"/>
        </w:rPr>
      </w:pPr>
    </w:p>
    <w:p>
      <w:pPr>
        <w:ind w:left="660"/>
        <w:spacing w:after="0" w:line="207" w:lineRule="exact"/>
        <w:tabs>
          <w:tab w:leader="none" w:pos="1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10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rPr>
              <w:t>CLASS</w:t>
            </w:r>
          </w:p>
        </w:tc>
        <w:tc>
          <w:tcPr>
            <w:tcW w:w="30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Shares Outstanding at July 26, 2019</w:t>
            </w:r>
          </w:p>
        </w:tc>
        <w:tc>
          <w:tcPr>
            <w:tcW w:w="1200" w:type="dxa"/>
            <w:vAlign w:val="bottom"/>
          </w:tcPr>
          <w:p>
            <w:pPr>
              <w:spacing w:after="0"/>
              <w:rPr>
                <w:sz w:val="16"/>
                <w:szCs w:val="16"/>
                <w:color w:val="auto"/>
              </w:rPr>
            </w:pPr>
          </w:p>
        </w:tc>
      </w:tr>
      <w:tr>
        <w:trPr>
          <w:trHeight w:val="243"/>
        </w:trPr>
        <w:tc>
          <w:tcPr>
            <w:tcW w:w="100" w:type="dxa"/>
            <w:vAlign w:val="bottom"/>
          </w:tcPr>
          <w:p>
            <w:pPr>
              <w:spacing w:after="0"/>
              <w:rPr>
                <w:sz w:val="21"/>
                <w:szCs w:val="21"/>
                <w:color w:val="auto"/>
              </w:rPr>
            </w:pPr>
          </w:p>
        </w:tc>
        <w:tc>
          <w:tcPr>
            <w:tcW w:w="51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Common Stock, par value $.05 per share</w:t>
            </w:r>
          </w:p>
        </w:tc>
        <w:tc>
          <w:tcPr>
            <w:tcW w:w="4840" w:type="dxa"/>
            <w:vAlign w:val="bottom"/>
          </w:tcPr>
          <w:p>
            <w:pPr>
              <w:jc w:val="right"/>
              <w:ind w:right="1939"/>
              <w:spacing w:after="0"/>
              <w:rPr>
                <w:sz w:val="20"/>
                <w:szCs w:val="20"/>
                <w:color w:val="auto"/>
              </w:rPr>
            </w:pPr>
            <w:r>
              <w:rPr>
                <w:rFonts w:ascii="Arial" w:cs="Arial" w:eastAsia="Arial" w:hAnsi="Arial"/>
                <w:sz w:val="18"/>
                <w:szCs w:val="18"/>
                <w:color w:val="auto"/>
              </w:rPr>
              <w:t>10,665,227</w:t>
            </w:r>
          </w:p>
        </w:tc>
        <w:tc>
          <w:tcPr>
            <w:tcW w:w="1200" w:type="dxa"/>
            <w:vAlign w:val="bottom"/>
          </w:tcPr>
          <w:p>
            <w:pPr>
              <w:spacing w:after="0"/>
              <w:rPr>
                <w:sz w:val="21"/>
                <w:szCs w:val="21"/>
                <w:color w:val="auto"/>
              </w:rPr>
            </w:pPr>
          </w:p>
        </w:tc>
      </w:tr>
      <w:tr>
        <w:trPr>
          <w:trHeight w:val="216"/>
        </w:trPr>
        <w:tc>
          <w:tcPr>
            <w:tcW w:w="100" w:type="dxa"/>
            <w:vAlign w:val="bottom"/>
          </w:tcPr>
          <w:p>
            <w:pPr>
              <w:spacing w:after="0"/>
              <w:rPr>
                <w:sz w:val="18"/>
                <w:szCs w:val="18"/>
                <w:color w:val="auto"/>
              </w:rPr>
            </w:pPr>
          </w:p>
        </w:tc>
        <w:tc>
          <w:tcPr>
            <w:tcW w:w="4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122"/>
        </w:trPr>
        <w:tc>
          <w:tcPr>
            <w:tcW w:w="100" w:type="dxa"/>
            <w:vAlign w:val="bottom"/>
          </w:tcPr>
          <w:p>
            <w:pPr>
              <w:spacing w:after="0"/>
              <w:rPr>
                <w:sz w:val="10"/>
                <w:szCs w:val="10"/>
                <w:color w:val="auto"/>
              </w:rPr>
            </w:pPr>
          </w:p>
        </w:tc>
        <w:tc>
          <w:tcPr>
            <w:tcW w:w="48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026" w:right="239" w:bottom="1440" w:gutter="0" w:footer="0" w:header="0"/>
        </w:sectPr>
      </w:pPr>
    </w:p>
    <w:bookmarkStart w:id="1" w:name="page2"/>
    <w:bookmarkEnd w:id="1"/>
    <w:p>
      <w:pPr>
        <w:jc w:val="center"/>
        <w:ind w:right="-116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INDEX TO FORM 10-Q</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336"/>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66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620" w:type="dxa"/>
            <w:vAlign w:val="bottom"/>
            <w:gridSpan w:val="9"/>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2"/>
        </w:trPr>
        <w:tc>
          <w:tcPr>
            <w:tcW w:w="1140" w:type="dxa"/>
            <w:vAlign w:val="bottom"/>
          </w:tcPr>
          <w:p>
            <w:pPr>
              <w:spacing w:after="0"/>
              <w:rPr>
                <w:sz w:val="24"/>
                <w:szCs w:val="24"/>
                <w:color w:val="auto"/>
              </w:rPr>
            </w:pPr>
          </w:p>
        </w:tc>
        <w:tc>
          <w:tcPr>
            <w:tcW w:w="5620" w:type="dxa"/>
            <w:vAlign w:val="bottom"/>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June 30, 2019 and March 31, 2019</w:t>
              </w:r>
            </w:hyperlink>
          </w:p>
        </w:tc>
        <w:tc>
          <w:tcPr>
            <w:tcW w:w="2440" w:type="dxa"/>
            <w:vAlign w:val="bottom"/>
            <w:gridSpan w:val="5"/>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7400" w:type="dxa"/>
            <w:vAlign w:val="bottom"/>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 Three Months Ended June 30, 2019 and July 1, 2018</w:t>
              </w:r>
            </w:hyperlink>
          </w:p>
        </w:tc>
        <w:tc>
          <w:tcPr>
            <w:tcW w:w="660" w:type="dxa"/>
            <w:vAlign w:val="bottom"/>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7400" w:type="dxa"/>
            <w:vAlign w:val="bottom"/>
            <w:gridSpan w:val="1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 Three Months Ended June 30, 2019</w:t>
              </w:r>
            </w:hyperlink>
          </w:p>
        </w:tc>
        <w:tc>
          <w:tcPr>
            <w:tcW w:w="660" w:type="dxa"/>
            <w:vAlign w:val="bottom"/>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196"/>
        </w:trPr>
        <w:tc>
          <w:tcPr>
            <w:tcW w:w="114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and July 1, 2018</w:t>
              </w:r>
            </w:hyperlink>
          </w:p>
        </w:tc>
        <w:tc>
          <w:tcPr>
            <w:tcW w:w="6200" w:type="dxa"/>
            <w:vAlign w:val="bottom"/>
            <w:tcBorders>
              <w:top w:val="single" w:sz="8" w:color="0000EE"/>
            </w:tcBorders>
            <w:gridSpan w:val="15"/>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372"/>
        </w:trPr>
        <w:tc>
          <w:tcPr>
            <w:tcW w:w="1140" w:type="dxa"/>
            <w:vAlign w:val="bottom"/>
          </w:tcPr>
          <w:p>
            <w:pPr>
              <w:spacing w:after="0"/>
              <w:rPr>
                <w:sz w:val="24"/>
                <w:szCs w:val="24"/>
                <w:color w:val="auto"/>
              </w:rPr>
            </w:pPr>
          </w:p>
        </w:tc>
        <w:tc>
          <w:tcPr>
            <w:tcW w:w="806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Shareholder’s Equity – Three Months Ended June 30, 2019</w:t>
              </w:r>
            </w:hyperlink>
          </w:p>
        </w:tc>
        <w:tc>
          <w:tcPr>
            <w:tcW w:w="96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196"/>
        </w:trPr>
        <w:tc>
          <w:tcPr>
            <w:tcW w:w="114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and July 1, 2018</w:t>
              </w:r>
            </w:hyperlink>
          </w:p>
        </w:tc>
        <w:tc>
          <w:tcPr>
            <w:tcW w:w="5940" w:type="dxa"/>
            <w:vAlign w:val="bottom"/>
            <w:tcBorders>
              <w:top w:val="single" w:sz="8" w:color="0000EE"/>
            </w:tcBorders>
            <w:gridSpan w:val="13"/>
          </w:tcPr>
          <w:p>
            <w:pPr>
              <w:spacing w:after="0"/>
              <w:rPr>
                <w:sz w:val="17"/>
                <w:szCs w:val="17"/>
                <w:color w:val="auto"/>
              </w:rPr>
            </w:pPr>
          </w:p>
        </w:tc>
        <w:tc>
          <w:tcPr>
            <w:tcW w:w="92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372"/>
        </w:trPr>
        <w:tc>
          <w:tcPr>
            <w:tcW w:w="1140" w:type="dxa"/>
            <w:vAlign w:val="bottom"/>
          </w:tcPr>
          <w:p>
            <w:pPr>
              <w:spacing w:after="0"/>
              <w:rPr>
                <w:sz w:val="24"/>
                <w:szCs w:val="24"/>
                <w:color w:val="auto"/>
              </w:rPr>
            </w:pPr>
          </w:p>
        </w:tc>
        <w:tc>
          <w:tcPr>
            <w:tcW w:w="8060" w:type="dxa"/>
            <w:vAlign w:val="bottom"/>
            <w:gridSpan w:val="20"/>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Condensed Consolidated Statements of Cash Flows – Three Months Ended June 30, 2019 and July 1,</w:t>
              </w:r>
            </w:hyperlink>
          </w:p>
        </w:tc>
        <w:tc>
          <w:tcPr>
            <w:tcW w:w="96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196"/>
        </w:trPr>
        <w:tc>
          <w:tcPr>
            <w:tcW w:w="11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2018</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372"/>
        </w:trPr>
        <w:tc>
          <w:tcPr>
            <w:tcW w:w="1140" w:type="dxa"/>
            <w:vAlign w:val="bottom"/>
          </w:tcPr>
          <w:p>
            <w:pPr>
              <w:spacing w:after="0"/>
              <w:rPr>
                <w:sz w:val="24"/>
                <w:szCs w:val="24"/>
                <w:color w:val="auto"/>
              </w:rPr>
            </w:pPr>
          </w:p>
        </w:tc>
        <w:tc>
          <w:tcPr>
            <w:tcW w:w="4000" w:type="dxa"/>
            <w:vAlign w:val="bottom"/>
            <w:gridSpan w:val="12"/>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4060" w:type="dxa"/>
            <w:vAlign w:val="bottom"/>
            <w:gridSpan w:val="8"/>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806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96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14</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160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18</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Controls and Procedures</w:t>
              </w:r>
            </w:hyperlink>
          </w:p>
        </w:tc>
        <w:tc>
          <w:tcPr>
            <w:tcW w:w="628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18</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060" w:type="dxa"/>
            <w:vAlign w:val="bottom"/>
            <w:gridSpan w:val="20"/>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OTHER INFORMATION</w:t>
              </w:r>
            </w:hyperlink>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2"/>
          </w:tcPr>
          <w:p>
            <w:pPr>
              <w:spacing w:after="0"/>
              <w:rPr>
                <w:sz w:val="24"/>
                <w:szCs w:val="24"/>
                <w:color w:val="auto"/>
              </w:rPr>
            </w:pPr>
          </w:p>
        </w:tc>
        <w:tc>
          <w:tcPr>
            <w:tcW w:w="604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19</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8060" w:type="dxa"/>
            <w:vAlign w:val="bottom"/>
            <w:gridSpan w:val="2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96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Unregistered Sales of Equity Securities and Use of Proceeds</w:t>
              </w:r>
            </w:hyperlink>
          </w:p>
        </w:tc>
        <w:tc>
          <w:tcPr>
            <w:tcW w:w="370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19</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8060" w:type="dxa"/>
            <w:vAlign w:val="bottom"/>
            <w:gridSpan w:val="2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Defaults Upon Senior Securities</w:t>
              </w:r>
            </w:hyperlink>
          </w:p>
        </w:tc>
        <w:tc>
          <w:tcPr>
            <w:tcW w:w="96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574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19</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Other Information</w:t>
              </w:r>
            </w:hyperlink>
          </w:p>
        </w:tc>
        <w:tc>
          <w:tcPr>
            <w:tcW w:w="6740" w:type="dxa"/>
            <w:vAlign w:val="bottom"/>
            <w:gridSpan w:val="15"/>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19</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96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179"/>
          </w:cols>
          <w:pgMar w:left="280" w:top="58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ectPr>
          <w:pgSz w:w="11900" w:h="16838" w:orient="portrait"/>
          <w:cols w:equalWidth="0" w:num="1">
            <w:col w:w="11420"/>
          </w:cols>
          <w:pgMar w:left="240" w:top="580" w:right="23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 (UNAUDITED)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ASSETS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and cash equivalents</w:t>
      </w:r>
    </w:p>
    <w:p>
      <w:pPr>
        <w:spacing w:after="0" w:line="100" w:lineRule="exact"/>
        <w:rPr>
          <w:sz w:val="20"/>
          <w:szCs w:val="20"/>
          <w:color w:val="auto"/>
        </w:rPr>
      </w:pPr>
    </w:p>
    <w:p>
      <w:pPr>
        <w:jc w:val="right"/>
        <w:ind w:right="3680"/>
        <w:spacing w:after="0"/>
        <w:rPr>
          <w:sz w:val="20"/>
          <w:szCs w:val="20"/>
          <w:color w:val="auto"/>
        </w:rPr>
      </w:pPr>
      <w:r>
        <w:rPr>
          <w:rFonts w:ascii="Arial" w:cs="Arial" w:eastAsia="Arial" w:hAnsi="Arial"/>
          <w:sz w:val="16"/>
          <w:szCs w:val="16"/>
          <w:color w:val="auto"/>
        </w:rPr>
        <w:t>Trade receivables — less 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right"/>
        <w:ind w:right="3680"/>
        <w:spacing w:after="0"/>
        <w:rPr>
          <w:sz w:val="20"/>
          <w:szCs w:val="20"/>
          <w:color w:val="auto"/>
        </w:rPr>
      </w:pPr>
      <w:r>
        <w:rPr>
          <w:rFonts w:ascii="Arial" w:cs="Arial" w:eastAsia="Arial" w:hAnsi="Arial"/>
          <w:sz w:val="16"/>
          <w:szCs w:val="16"/>
          <w:color w:val="auto"/>
        </w:rPr>
        <w:t>$916 as of June 30, 2019 and $620 as of March 31, 2019</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Income taxes receivable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Less accumulated depreciation</w:t>
      </w:r>
    </w:p>
    <w:p>
      <w:pPr>
        <w:spacing w:after="0" w:line="10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Net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ASSETS: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Goodwill</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7"/>
                <w:szCs w:val="17"/>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24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33"/>
        </w:trPr>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757"/>
        </w:trPr>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5,607</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9,199</w:t>
            </w:r>
          </w:p>
        </w:tc>
      </w:tr>
      <w:tr>
        <w:trPr>
          <w:trHeight w:val="540"/>
        </w:trPr>
        <w:tc>
          <w:tcPr>
            <w:tcW w:w="24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69,026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63,966</w:t>
            </w:r>
          </w:p>
        </w:tc>
      </w:tr>
      <w:tr>
        <w:trPr>
          <w:trHeight w:val="270"/>
        </w:trPr>
        <w:tc>
          <w:tcPr>
            <w:tcW w:w="2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58,693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60,482</w:t>
            </w:r>
          </w:p>
        </w:tc>
      </w:tr>
      <w:tr>
        <w:trPr>
          <w:trHeight w:val="270"/>
        </w:trPr>
        <w:tc>
          <w:tcPr>
            <w:tcW w:w="2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527</w:t>
            </w:r>
          </w:p>
        </w:tc>
      </w:tr>
      <w:tr>
        <w:trPr>
          <w:trHeight w:val="270"/>
        </w:trPr>
        <w:tc>
          <w:tcPr>
            <w:tcW w:w="2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4,777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5,235</w:t>
            </w:r>
          </w:p>
        </w:tc>
      </w:tr>
      <w:tr>
        <w:trPr>
          <w:trHeight w:val="33"/>
        </w:trPr>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138,103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139,409</w:t>
            </w:r>
          </w:p>
        </w:tc>
      </w:tr>
      <w:tr>
        <w:trPr>
          <w:trHeight w:val="270"/>
        </w:trPr>
        <w:tc>
          <w:tcPr>
            <w:tcW w:w="2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253,544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244,861</w:t>
            </w:r>
          </w:p>
        </w:tc>
      </w:tr>
      <w:tr>
        <w:trPr>
          <w:trHeight w:val="270"/>
        </w:trPr>
        <w:tc>
          <w:tcPr>
            <w:tcW w:w="2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129,996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126,233</w:t>
            </w:r>
          </w:p>
        </w:tc>
      </w:tr>
      <w:tr>
        <w:trPr>
          <w:trHeight w:val="33"/>
        </w:trPr>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123,548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118,628</w:t>
            </w:r>
          </w:p>
        </w:tc>
      </w:tr>
      <w:tr>
        <w:trPr>
          <w:trHeight w:val="540"/>
        </w:trPr>
        <w:tc>
          <w:tcPr>
            <w:tcW w:w="24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9,941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58,440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58,440</w:t>
            </w:r>
          </w:p>
        </w:tc>
      </w:tr>
      <w:tr>
        <w:trPr>
          <w:trHeight w:val="270"/>
        </w:trPr>
        <w:tc>
          <w:tcPr>
            <w:tcW w:w="2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64,457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65,726</w:t>
            </w:r>
          </w:p>
        </w:tc>
      </w:tr>
      <w:tr>
        <w:trPr>
          <w:trHeight w:val="270"/>
        </w:trPr>
        <w:tc>
          <w:tcPr>
            <w:tcW w:w="2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4,468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3,396</w:t>
            </w:r>
          </w:p>
        </w:tc>
      </w:tr>
    </w:tbl>
    <w:p>
      <w:pPr>
        <w:spacing w:after="0" w:line="13" w:lineRule="exact"/>
        <w:rPr>
          <w:sz w:val="20"/>
          <w:szCs w:val="20"/>
          <w:color w:val="auto"/>
        </w:rPr>
      </w:pPr>
    </w:p>
    <w:p>
      <w:pPr>
        <w:sectPr>
          <w:pgSz w:w="11900" w:h="16838" w:orient="portrait"/>
          <w:cols w:equalWidth="0" w:num="2">
            <w:col w:w="7860" w:space="720"/>
            <w:col w:w="284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580" w:type="dxa"/>
            <w:vAlign w:val="bottom"/>
          </w:tcPr>
          <w:p>
            <w:pPr>
              <w:ind w:left="820"/>
              <w:spacing w:after="0"/>
              <w:rPr>
                <w:sz w:val="20"/>
                <w:szCs w:val="20"/>
                <w:color w:val="auto"/>
              </w:rPr>
            </w:pPr>
            <w:r>
              <w:rPr>
                <w:rFonts w:ascii="Arial" w:cs="Arial" w:eastAsia="Arial" w:hAnsi="Arial"/>
                <w:sz w:val="16"/>
                <w:szCs w:val="16"/>
                <w:color w:val="auto"/>
              </w:rPr>
              <w:t>Total other assets</w:t>
            </w: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137,306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127,562</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398,957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385,599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5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Accounts payable — trade</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31,971</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29,314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payroll and employee benefits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12,483</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Income tax payable</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2,983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long-term debt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9,907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Short-term lease liability</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1,707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Container deposits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Other current liabilities</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1,812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2,393</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liabilities</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55,689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55,396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LONG-TERM DEBT, LESS CURRENT PORTION</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74,682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74,658</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LEASE LIABILITY</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PENSION WITHDRAWAL LIABILITY</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5,233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5,316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26,673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5,149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5,695</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175,565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167,738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4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 EQUITY:</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580" w:type="dxa"/>
            <w:vAlign w:val="bottom"/>
          </w:tcPr>
          <w:p>
            <w:pPr>
              <w:ind w:left="380"/>
              <w:spacing w:after="0"/>
              <w:rPr>
                <w:sz w:val="20"/>
                <w:szCs w:val="20"/>
                <w:color w:val="auto"/>
              </w:rPr>
            </w:pPr>
            <w:r>
              <w:rPr>
                <w:rFonts w:ascii="Arial" w:cs="Arial" w:eastAsia="Arial" w:hAnsi="Arial"/>
                <w:sz w:val="16"/>
                <w:szCs w:val="16"/>
                <w:color w:val="auto"/>
              </w:rPr>
              <w:t>Common stock; authorized: 30,000,000 shares of $0.05 par value; 10,563,774 and 10,592,450 shares issued and</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580" w:type="dxa"/>
            <w:vAlign w:val="bottom"/>
          </w:tcPr>
          <w:p>
            <w:pPr>
              <w:ind w:left="380"/>
              <w:spacing w:after="0"/>
              <w:rPr>
                <w:sz w:val="20"/>
                <w:szCs w:val="20"/>
                <w:color w:val="auto"/>
              </w:rPr>
            </w:pPr>
            <w:r>
              <w:rPr>
                <w:rFonts w:ascii="Arial" w:cs="Arial" w:eastAsia="Arial" w:hAnsi="Arial"/>
                <w:sz w:val="16"/>
                <w:szCs w:val="16"/>
                <w:color w:val="auto"/>
              </w:rPr>
              <w:t>outstanding as of June 30, 2019 and March 31, 2019, respectively</w:t>
            </w:r>
          </w:p>
        </w:tc>
        <w:tc>
          <w:tcPr>
            <w:tcW w:w="42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52,609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171,752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164,405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Total shareholders’ equity</w:t>
            </w: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223,392</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217,861</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 and shareholders’ equity</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398,957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385,599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580" w:right="239" w:bottom="1440" w:gutter="0" w:footer="0" w:header="0"/>
          <w:type w:val="continuous"/>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359" w:lineRule="exact"/>
        <w:rPr>
          <w:sz w:val="20"/>
          <w:szCs w:val="20"/>
          <w:color w:val="auto"/>
        </w:rPr>
      </w:pPr>
    </w:p>
    <w:p>
      <w:pPr>
        <w:ind w:left="92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37465</wp:posOffset>
            </wp:positionV>
            <wp:extent cx="18008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080" w:type="dxa"/>
            <w:vAlign w:val="bottom"/>
          </w:tcPr>
          <w:p>
            <w:pPr>
              <w:jc w:val="right"/>
              <w:ind w:right="412"/>
              <w:spacing w:after="0"/>
              <w:rPr>
                <w:sz w:val="20"/>
                <w:szCs w:val="20"/>
                <w:color w:val="auto"/>
              </w:rPr>
            </w:pPr>
            <w:r>
              <w:rPr>
                <w:rFonts w:ascii="Arial" w:cs="Arial" w:eastAsia="Arial" w:hAnsi="Arial"/>
                <w:sz w:val="14"/>
                <w:szCs w:val="14"/>
                <w:b w:val="1"/>
                <w:bCs w:val="1"/>
                <w:color w:val="auto"/>
              </w:rPr>
              <w:t>July 1,</w:t>
            </w:r>
          </w:p>
        </w:tc>
      </w:tr>
      <w:tr>
        <w:trPr>
          <w:trHeight w:val="192"/>
        </w:trPr>
        <w:tc>
          <w:tcPr>
            <w:tcW w:w="85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147,336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149,800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(118,539)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(121,343)</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28,457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(14,979)</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13,478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(934)</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13,315</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12,542</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9,807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9,123</w:t>
            </w:r>
          </w:p>
        </w:tc>
      </w:tr>
      <w:tr>
        <w:trPr>
          <w:trHeight w:val="67"/>
        </w:trPr>
        <w:tc>
          <w:tcPr>
            <w:tcW w:w="85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85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10,604,306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10,648,226</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10,665,709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10,682,060</w:t>
            </w:r>
          </w:p>
        </w:tc>
      </w:tr>
      <w:tr>
        <w:trPr>
          <w:trHeight w:val="324"/>
        </w:trPr>
        <w:tc>
          <w:tcPr>
            <w:tcW w:w="8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0.85</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85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405"/>
        </w:trPr>
        <w:tc>
          <w:tcPr>
            <w:tcW w:w="8580" w:type="dxa"/>
            <w:vAlign w:val="bottom"/>
          </w:tcPr>
          <w:p>
            <w:pPr>
              <w:ind w:left="3080"/>
              <w:spacing w:after="0"/>
              <w:rPr>
                <w:sz w:val="20"/>
                <w:szCs w:val="20"/>
                <w:color w:val="auto"/>
              </w:rPr>
            </w:pPr>
            <w:r>
              <w:rPr>
                <w:rFonts w:ascii="Arial" w:cs="Arial" w:eastAsia="Arial" w:hAnsi="Arial"/>
                <w:sz w:val="18"/>
                <w:szCs w:val="18"/>
                <w:color w:val="auto"/>
                <w:w w:val="92"/>
              </w:rPr>
              <w:t>See accompanying notes to condensed consolidated financial statements.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675"/>
        </w:trPr>
        <w:tc>
          <w:tcPr>
            <w:tcW w:w="8580" w:type="dxa"/>
            <w:vAlign w:val="bottom"/>
          </w:tcPr>
          <w:p>
            <w:pPr>
              <w:ind w:left="56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3"/>
                <w:szCs w:val="13"/>
                <w:color w:val="auto"/>
              </w:rPr>
            </w:pPr>
          </w:p>
        </w:tc>
        <w:tc>
          <w:tcPr>
            <w:tcW w:w="1060" w:type="dxa"/>
            <w:vAlign w:val="bottom"/>
          </w:tcPr>
          <w:p>
            <w:pPr>
              <w:jc w:val="right"/>
              <w:ind w:right="397"/>
              <w:spacing w:after="0" w:line="153" w:lineRule="exact"/>
              <w:rPr>
                <w:sz w:val="20"/>
                <w:szCs w:val="20"/>
                <w:color w:val="auto"/>
              </w:rPr>
            </w:pPr>
            <w:r>
              <w:rPr>
                <w:rFonts w:ascii="Arial" w:cs="Arial" w:eastAsia="Arial" w:hAnsi="Arial"/>
                <w:sz w:val="14"/>
                <w:szCs w:val="14"/>
                <w:b w:val="1"/>
                <w:bCs w:val="1"/>
                <w:color w:val="auto"/>
              </w:rPr>
              <w:t>July 1,</w:t>
            </w:r>
          </w:p>
        </w:tc>
      </w:tr>
      <w:tr>
        <w:trPr>
          <w:trHeight w:val="192"/>
        </w:trPr>
        <w:tc>
          <w:tcPr>
            <w:tcW w:w="8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9,807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9,123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gain on interest rate swap</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9,628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9,150</w:t>
            </w:r>
          </w:p>
        </w:tc>
      </w:tr>
      <w:tr>
        <w:trPr>
          <w:trHeight w:val="27"/>
        </w:trPr>
        <w:tc>
          <w:tcPr>
            <w:tcW w:w="8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240" w:top="580" w:right="5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right="4880"/>
        <w:spacing w:after="0" w:line="220" w:lineRule="auto"/>
        <w:rPr>
          <w:sz w:val="20"/>
          <w:szCs w:val="20"/>
          <w:color w:val="auto"/>
        </w:rPr>
      </w:pPr>
      <w:r>
        <w:rPr>
          <w:rFonts w:ascii="Arial" w:cs="Arial" w:eastAsia="Arial" w:hAnsi="Arial"/>
          <w:sz w:val="18"/>
          <w:szCs w:val="18"/>
          <w:b w:val="1"/>
          <w:bCs w:val="1"/>
          <w:color w:val="auto"/>
        </w:rPr>
        <w:t xml:space="preserve">CONDENSED CONSOLIDATED STATEMENTS OF SHAREHOLDERS’ EQUITY </w:t>
      </w:r>
      <w:r>
        <w:rPr>
          <w:rFonts w:ascii="Arial" w:cs="Arial" w:eastAsia="Arial" w:hAnsi="Arial"/>
          <w:sz w:val="14"/>
          <w:szCs w:val="14"/>
          <w:b w:val="1"/>
          <w:bCs w:val="1"/>
          <w:color w:val="auto"/>
        </w:rPr>
        <w:t>(In thousands, except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260" w:type="dxa"/>
            <w:vAlign w:val="bottom"/>
            <w:gridSpan w:val="3"/>
          </w:tcPr>
          <w:p>
            <w:pPr>
              <w:jc w:val="right"/>
              <w:ind w:right="378"/>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4"/>
                <w:szCs w:val="14"/>
                <w:color w:val="auto"/>
              </w:rPr>
            </w:pPr>
          </w:p>
        </w:tc>
        <w:tc>
          <w:tcPr>
            <w:tcW w:w="110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322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w w:val="98"/>
              </w:rPr>
              <w:t>Paid-in</w:t>
            </w:r>
          </w:p>
        </w:tc>
        <w:tc>
          <w:tcPr>
            <w:tcW w:w="240" w:type="dxa"/>
            <w:vAlign w:val="bottom"/>
          </w:tcPr>
          <w:p>
            <w:pPr>
              <w:spacing w:after="0"/>
              <w:rPr>
                <w:sz w:val="4"/>
                <w:szCs w:val="4"/>
                <w:color w:val="auto"/>
              </w:rPr>
            </w:pPr>
          </w:p>
        </w:tc>
        <w:tc>
          <w:tcPr>
            <w:tcW w:w="1140" w:type="dxa"/>
            <w:vAlign w:val="bottom"/>
            <w:gridSpan w:val="2"/>
            <w:vMerge w:val="restart"/>
          </w:tcPr>
          <w:p>
            <w:pPr>
              <w:ind w:left="120"/>
              <w:spacing w:after="0" w:line="13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4"/>
                <w:szCs w:val="4"/>
                <w:color w:val="auto"/>
              </w:rPr>
            </w:pPr>
          </w:p>
        </w:tc>
        <w:tc>
          <w:tcPr>
            <w:tcW w:w="1100" w:type="dxa"/>
            <w:vAlign w:val="bottom"/>
            <w:vMerge w:val="restart"/>
          </w:tcPr>
          <w:p>
            <w:pPr>
              <w:jc w:val="center"/>
              <w:ind w:right="77"/>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3220" w:type="dxa"/>
            <w:vAlign w:val="bottom"/>
          </w:tcPr>
          <w:p>
            <w:pPr>
              <w:spacing w:after="0"/>
              <w:rPr>
                <w:sz w:val="5"/>
                <w:szCs w:val="5"/>
                <w:color w:val="auto"/>
              </w:rPr>
            </w:pPr>
          </w:p>
        </w:tc>
        <w:tc>
          <w:tcPr>
            <w:tcW w:w="13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7"/>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1"/>
        </w:trPr>
        <w:tc>
          <w:tcPr>
            <w:tcW w:w="3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 April 1, 2018</w:t>
            </w:r>
          </w:p>
        </w:tc>
        <w:tc>
          <w:tcPr>
            <w:tcW w:w="128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10,631,992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CCEEFF"/>
            </w:tcBorders>
            <w:shd w:val="clear" w:color="auto" w:fill="CCEEFF"/>
          </w:tcPr>
          <w:p>
            <w:pPr>
              <w:jc w:val="right"/>
              <w:ind w:right="678"/>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532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53,877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147,242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596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202,247</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7"/>
                <w:szCs w:val="17"/>
                <w:color w:val="auto"/>
              </w:rPr>
              <w:t>Cash dividends declared</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22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Share-based compensation expense</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470</w:t>
            </w:r>
          </w:p>
        </w:tc>
        <w:tc>
          <w:tcPr>
            <w:tcW w:w="0" w:type="dxa"/>
            <w:vAlign w:val="bottom"/>
          </w:tcPr>
          <w:p>
            <w:pPr>
              <w:spacing w:after="0"/>
              <w:rPr>
                <w:sz w:val="1"/>
                <w:szCs w:val="1"/>
                <w:color w:val="auto"/>
              </w:rPr>
            </w:pPr>
          </w:p>
        </w:tc>
      </w:tr>
      <w:tr>
        <w:trPr>
          <w:trHeight w:val="239"/>
        </w:trPr>
        <w:tc>
          <w:tcPr>
            <w:tcW w:w="3220" w:type="dxa"/>
            <w:vAlign w:val="bottom"/>
          </w:tcPr>
          <w:p>
            <w:pPr>
              <w:ind w:left="380"/>
              <w:spacing w:after="0"/>
              <w:rPr>
                <w:sz w:val="20"/>
                <w:szCs w:val="20"/>
                <w:color w:val="auto"/>
              </w:rPr>
            </w:pPr>
            <w:r>
              <w:rPr>
                <w:rFonts w:ascii="Arial" w:cs="Arial" w:eastAsia="Arial" w:hAnsi="Arial"/>
                <w:sz w:val="17"/>
                <w:szCs w:val="17"/>
                <w:color w:val="auto"/>
              </w:rPr>
              <w:t>Vesting of restricted stock</w:t>
            </w: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24,567</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Shares surrendered for payroll taxes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(8,105)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0" w:type="dxa"/>
            <w:vAlign w:val="bottom"/>
          </w:tcPr>
          <w:p>
            <w:pPr>
              <w:spacing w:after="0"/>
              <w:rPr>
                <w:sz w:val="1"/>
                <w:szCs w:val="1"/>
                <w:color w:val="auto"/>
              </w:rPr>
            </w:pPr>
          </w:p>
        </w:tc>
      </w:tr>
      <w:tr>
        <w:trPr>
          <w:trHeight w:val="239"/>
        </w:trPr>
        <w:tc>
          <w:tcPr>
            <w:tcW w:w="3220" w:type="dxa"/>
            <w:vAlign w:val="bottom"/>
          </w:tcPr>
          <w:p>
            <w:pPr>
              <w:ind w:left="380"/>
              <w:spacing w:after="0"/>
              <w:rPr>
                <w:sz w:val="20"/>
                <w:szCs w:val="20"/>
                <w:color w:val="auto"/>
              </w:rPr>
            </w:pPr>
            <w:r>
              <w:rPr>
                <w:rFonts w:ascii="Arial" w:cs="Arial" w:eastAsia="Arial" w:hAnsi="Arial"/>
                <w:sz w:val="17"/>
                <w:szCs w:val="17"/>
                <w:color w:val="auto"/>
              </w:rPr>
              <w:t>ESPP shares issued</w:t>
            </w: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22,531</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7"/>
                <w:szCs w:val="17"/>
                <w:color w:val="auto"/>
              </w:rPr>
              <w:t>676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677</w:t>
            </w:r>
          </w:p>
        </w:tc>
        <w:tc>
          <w:tcPr>
            <w:tcW w:w="0" w:type="dxa"/>
            <w:vAlign w:val="bottom"/>
          </w:tcPr>
          <w:p>
            <w:pPr>
              <w:spacing w:after="0"/>
              <w:rPr>
                <w:sz w:val="1"/>
                <w:szCs w:val="1"/>
                <w:color w:val="auto"/>
              </w:rPr>
            </w:pPr>
          </w:p>
        </w:tc>
      </w:tr>
      <w:tr>
        <w:trPr>
          <w:trHeight w:val="31"/>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Shares repurchased</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3220" w:type="dxa"/>
            <w:vAlign w:val="bottom"/>
          </w:tcPr>
          <w:p>
            <w:pPr>
              <w:ind w:left="380"/>
              <w:spacing w:after="0"/>
              <w:rPr>
                <w:sz w:val="20"/>
                <w:szCs w:val="20"/>
                <w:color w:val="auto"/>
              </w:rPr>
            </w:pPr>
            <w:r>
              <w:rPr>
                <w:rFonts w:ascii="Arial" w:cs="Arial" w:eastAsia="Arial" w:hAnsi="Arial"/>
                <w:sz w:val="17"/>
                <w:szCs w:val="17"/>
                <w:color w:val="auto"/>
              </w:rPr>
              <w:t>Other comprehensive income, net of</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380"/>
              <w:spacing w:after="0"/>
              <w:rPr>
                <w:sz w:val="20"/>
                <w:szCs w:val="20"/>
                <w:color w:val="auto"/>
              </w:rPr>
            </w:pPr>
            <w:r>
              <w:rPr>
                <w:rFonts w:ascii="Arial" w:cs="Arial" w:eastAsia="Arial" w:hAnsi="Arial"/>
                <w:sz w:val="17"/>
                <w:szCs w:val="17"/>
                <w:color w:val="auto"/>
              </w:rPr>
              <w:t>tax</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1"/>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Net income</w:t>
            </w: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9,123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9,123</w:t>
            </w:r>
          </w:p>
        </w:tc>
        <w:tc>
          <w:tcPr>
            <w:tcW w:w="0" w:type="dxa"/>
            <w:vAlign w:val="bottom"/>
          </w:tcPr>
          <w:p>
            <w:pPr>
              <w:spacing w:after="0"/>
              <w:rPr>
                <w:sz w:val="1"/>
                <w:szCs w:val="1"/>
                <w:color w:val="auto"/>
              </w:rPr>
            </w:pPr>
          </w:p>
        </w:tc>
      </w:tr>
      <w:tr>
        <w:trPr>
          <w:trHeight w:val="219"/>
        </w:trPr>
        <w:tc>
          <w:tcPr>
            <w:tcW w:w="3220" w:type="dxa"/>
            <w:vAlign w:val="bottom"/>
          </w:tcPr>
          <w:p>
            <w:pPr>
              <w:ind w:left="40"/>
              <w:spacing w:after="0"/>
              <w:rPr>
                <w:sz w:val="20"/>
                <w:szCs w:val="20"/>
                <w:color w:val="auto"/>
              </w:rPr>
            </w:pPr>
            <w:r>
              <w:rPr>
                <w:rFonts w:ascii="Arial" w:cs="Arial" w:eastAsia="Arial" w:hAnsi="Arial"/>
                <w:sz w:val="17"/>
                <w:szCs w:val="17"/>
                <w:color w:val="auto"/>
              </w:rPr>
              <w:t>BALANCE — July 1, 2018</w:t>
            </w: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10,670,985</w:t>
            </w:r>
          </w:p>
        </w:tc>
        <w:tc>
          <w:tcPr>
            <w:tcW w:w="100" w:type="dxa"/>
            <w:vAlign w:val="bottom"/>
          </w:tcPr>
          <w:p>
            <w:pPr>
              <w:spacing w:after="0"/>
              <w:rPr>
                <w:sz w:val="19"/>
                <w:szCs w:val="19"/>
                <w:color w:val="auto"/>
              </w:rPr>
            </w:pPr>
          </w:p>
        </w:tc>
        <w:tc>
          <w:tcPr>
            <w:tcW w:w="880" w:type="dxa"/>
            <w:vAlign w:val="bottom"/>
            <w:tcBorders>
              <w:top w:val="single" w:sz="8" w:color="auto"/>
            </w:tcBorders>
          </w:tcPr>
          <w:p>
            <w:pPr>
              <w:jc w:val="right"/>
              <w:ind w:right="678"/>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4"/>
              </w:rPr>
              <w:t>534</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54,757</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156,365</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623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212,279</w:t>
            </w:r>
          </w:p>
        </w:tc>
        <w:tc>
          <w:tcPr>
            <w:tcW w:w="0" w:type="dxa"/>
            <w:vAlign w:val="bottom"/>
          </w:tcPr>
          <w:p>
            <w:pPr>
              <w:spacing w:after="0"/>
              <w:rPr>
                <w:sz w:val="1"/>
                <w:szCs w:val="1"/>
                <w:color w:val="auto"/>
              </w:rPr>
            </w:pPr>
          </w:p>
        </w:tc>
      </w:tr>
      <w:tr>
        <w:trPr>
          <w:trHeight w:val="71"/>
        </w:trPr>
        <w:tc>
          <w:tcPr>
            <w:tcW w:w="3220" w:type="dxa"/>
            <w:vAlign w:val="bottom"/>
            <w:tcBorders>
              <w:bottom w:val="single" w:sz="8" w:color="CCEEFF"/>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322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220" w:type="dxa"/>
            <w:vAlign w:val="bottom"/>
          </w:tcPr>
          <w:p>
            <w:pPr>
              <w:ind w:left="40"/>
              <w:spacing w:after="0"/>
              <w:rPr>
                <w:sz w:val="20"/>
                <w:szCs w:val="20"/>
                <w:color w:val="auto"/>
              </w:rPr>
            </w:pPr>
            <w:r>
              <w:rPr>
                <w:rFonts w:ascii="Arial" w:cs="Arial" w:eastAsia="Arial" w:hAnsi="Arial"/>
                <w:sz w:val="17"/>
                <w:szCs w:val="17"/>
                <w:color w:val="auto"/>
              </w:rPr>
              <w:t>BALANCE — March 31, 2019</w:t>
            </w: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10,592,450</w:t>
            </w:r>
          </w:p>
        </w:tc>
        <w:tc>
          <w:tcPr>
            <w:tcW w:w="100" w:type="dxa"/>
            <w:vAlign w:val="bottom"/>
          </w:tcPr>
          <w:p>
            <w:pPr>
              <w:spacing w:after="0"/>
              <w:rPr>
                <w:sz w:val="19"/>
                <w:szCs w:val="19"/>
                <w:color w:val="auto"/>
              </w:rPr>
            </w:pPr>
          </w:p>
        </w:tc>
        <w:tc>
          <w:tcPr>
            <w:tcW w:w="880" w:type="dxa"/>
            <w:vAlign w:val="bottom"/>
          </w:tcPr>
          <w:p>
            <w:pPr>
              <w:jc w:val="right"/>
              <w:ind w:right="678"/>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35"/>
              <w:spacing w:after="0"/>
              <w:rPr>
                <w:sz w:val="20"/>
                <w:szCs w:val="20"/>
                <w:color w:val="auto"/>
              </w:rPr>
            </w:pPr>
            <w:r>
              <w:rPr>
                <w:rFonts w:ascii="Arial" w:cs="Arial" w:eastAsia="Arial" w:hAnsi="Arial"/>
                <w:sz w:val="17"/>
                <w:szCs w:val="17"/>
                <w:color w:val="auto"/>
                <w:w w:val="84"/>
              </w:rPr>
              <w:t>530</w:t>
            </w:r>
          </w:p>
        </w:tc>
        <w:tc>
          <w:tcPr>
            <w:tcW w:w="10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9"/>
              <w:spacing w:after="0"/>
              <w:rPr>
                <w:sz w:val="20"/>
                <w:szCs w:val="20"/>
                <w:color w:val="auto"/>
              </w:rPr>
            </w:pPr>
            <w:r>
              <w:rPr>
                <w:rFonts w:ascii="Arial" w:cs="Arial" w:eastAsia="Arial" w:hAnsi="Arial"/>
                <w:sz w:val="17"/>
                <w:szCs w:val="17"/>
                <w:color w:val="auto"/>
              </w:rPr>
              <w:t>52,609</w:t>
            </w:r>
          </w:p>
        </w:tc>
        <w:tc>
          <w:tcPr>
            <w:tcW w:w="10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164,405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39"/>
              <w:spacing w:after="0"/>
              <w:rPr>
                <w:sz w:val="20"/>
                <w:szCs w:val="20"/>
                <w:color w:val="auto"/>
              </w:rPr>
            </w:pPr>
            <w:r>
              <w:rPr>
                <w:rFonts w:ascii="Arial" w:cs="Arial" w:eastAsia="Arial" w:hAnsi="Arial"/>
                <w:sz w:val="17"/>
                <w:szCs w:val="17"/>
                <w:color w:val="auto"/>
              </w:rPr>
              <w:t>317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217,861</w:t>
            </w:r>
          </w:p>
        </w:tc>
        <w:tc>
          <w:tcPr>
            <w:tcW w:w="0" w:type="dxa"/>
            <w:vAlign w:val="bottom"/>
          </w:tcPr>
          <w:p>
            <w:pPr>
              <w:spacing w:after="0"/>
              <w:rPr>
                <w:sz w:val="1"/>
                <w:szCs w:val="1"/>
                <w:color w:val="auto"/>
              </w:rPr>
            </w:pPr>
          </w:p>
        </w:tc>
      </w:tr>
      <w:tr>
        <w:trPr>
          <w:trHeight w:val="71"/>
        </w:trPr>
        <w:tc>
          <w:tcPr>
            <w:tcW w:w="3220" w:type="dxa"/>
            <w:vAlign w:val="bottom"/>
            <w:tcBorders>
              <w:bottom w:val="single" w:sz="8" w:color="CCEEFF"/>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380"/>
              <w:spacing w:after="0" w:line="179" w:lineRule="exact"/>
              <w:rPr>
                <w:sz w:val="20"/>
                <w:szCs w:val="20"/>
                <w:color w:val="auto"/>
              </w:rPr>
            </w:pPr>
            <w:r>
              <w:rPr>
                <w:rFonts w:ascii="Arial" w:cs="Arial" w:eastAsia="Arial" w:hAnsi="Arial"/>
                <w:sz w:val="17"/>
                <w:szCs w:val="17"/>
                <w:color w:val="auto"/>
              </w:rPr>
              <w:t>Cash dividends declared</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(2,460)</w:t>
            </w:r>
          </w:p>
        </w:tc>
        <w:tc>
          <w:tcPr>
            <w:tcW w:w="0" w:type="dxa"/>
            <w:vAlign w:val="bottom"/>
          </w:tcPr>
          <w:p>
            <w:pPr>
              <w:spacing w:after="0"/>
              <w:rPr>
                <w:sz w:val="1"/>
                <w:szCs w:val="1"/>
                <w:color w:val="auto"/>
              </w:rPr>
            </w:pPr>
          </w:p>
        </w:tc>
      </w:tr>
      <w:tr>
        <w:trPr>
          <w:trHeight w:val="31"/>
        </w:trPr>
        <w:tc>
          <w:tcPr>
            <w:tcW w:w="3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sectPr>
          <w:pgSz w:w="11900" w:h="16838" w:orient="portrait"/>
          <w:cols w:equalWidth="0" w:num="1">
            <w:col w:w="11420"/>
          </w:cols>
          <w:pgMar w:left="240" w:top="580" w:right="239" w:bottom="1440" w:gutter="0" w:footer="0" w:header="0"/>
        </w:sectPr>
      </w:pPr>
    </w:p>
    <w:p>
      <w:pPr>
        <w:ind w:left="380"/>
        <w:spacing w:after="0"/>
        <w:rPr>
          <w:sz w:val="20"/>
          <w:szCs w:val="20"/>
          <w:color w:val="auto"/>
        </w:rPr>
      </w:pPr>
      <w:r>
        <w:rPr>
          <w:rFonts w:ascii="Arial" w:cs="Arial" w:eastAsia="Arial" w:hAnsi="Arial"/>
          <w:sz w:val="15"/>
          <w:szCs w:val="15"/>
          <w:color w:val="auto"/>
        </w:rPr>
        <w:t>Share-based compensation expense</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Vesting of restricted stock</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Shares surrendered for payroll taxes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Shares repurchased</w:t>
      </w:r>
    </w:p>
    <w:p>
      <w:pPr>
        <w:spacing w:after="0" w:line="75" w:lineRule="exact"/>
        <w:rPr>
          <w:sz w:val="20"/>
          <w:szCs w:val="20"/>
          <w:color w:val="auto"/>
        </w:rPr>
      </w:pPr>
    </w:p>
    <w:p>
      <w:pPr>
        <w:ind w:left="380"/>
        <w:spacing w:after="0" w:line="274" w:lineRule="auto"/>
        <w:rPr>
          <w:sz w:val="20"/>
          <w:szCs w:val="20"/>
          <w:color w:val="auto"/>
        </w:rPr>
      </w:pPr>
      <w:r>
        <w:rPr>
          <w:rFonts w:ascii="Arial" w:cs="Arial" w:eastAsia="Arial" w:hAnsi="Arial"/>
          <w:sz w:val="17"/>
          <w:szCs w:val="17"/>
          <w:color w:val="auto"/>
        </w:rPr>
        <w:t>Other comprehensive income, net of tax</w:t>
      </w:r>
    </w:p>
    <w:p>
      <w:pPr>
        <w:spacing w:after="0" w:line="13" w:lineRule="exact"/>
        <w:rPr>
          <w:sz w:val="20"/>
          <w:szCs w:val="20"/>
          <w:color w:val="auto"/>
        </w:rPr>
      </w:pPr>
    </w:p>
    <w:p>
      <w:pPr>
        <w:ind w:left="720"/>
        <w:spacing w:after="0"/>
        <w:rPr>
          <w:sz w:val="20"/>
          <w:szCs w:val="20"/>
          <w:color w:val="auto"/>
        </w:rPr>
      </w:pPr>
      <w:r>
        <w:rPr>
          <w:rFonts w:ascii="Arial" w:cs="Arial" w:eastAsia="Arial" w:hAnsi="Arial"/>
          <w:sz w:val="17"/>
          <w:szCs w:val="17"/>
          <w:color w:val="auto"/>
        </w:rPr>
        <w:t>Net income</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BALANCE — June 30,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76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780" w:type="dxa"/>
            <w:vAlign w:val="bottom"/>
          </w:tcPr>
          <w:p>
            <w:pPr>
              <w:jc w:val="right"/>
              <w:ind w:right="1815"/>
              <w:spacing w:after="0"/>
              <w:rPr>
                <w:sz w:val="20"/>
                <w:szCs w:val="20"/>
                <w:color w:val="auto"/>
              </w:rPr>
            </w:pPr>
            <w:r>
              <w:rPr>
                <w:rFonts w:ascii="Arial" w:cs="Arial" w:eastAsia="Arial" w:hAnsi="Arial"/>
                <w:sz w:val="17"/>
                <w:szCs w:val="17"/>
                <w:color w:val="auto"/>
              </w:rPr>
              <w:t>509</w:t>
            </w:r>
          </w:p>
        </w:tc>
        <w:tc>
          <w:tcPr>
            <w:tcW w:w="2340" w:type="dxa"/>
            <w:vAlign w:val="bottom"/>
          </w:tcPr>
          <w:p>
            <w:pPr>
              <w:jc w:val="right"/>
              <w:spacing w:after="0"/>
              <w:rPr>
                <w:sz w:val="20"/>
                <w:szCs w:val="20"/>
                <w:color w:val="auto"/>
              </w:rPr>
            </w:pPr>
            <w:r>
              <w:rPr>
                <w:rFonts w:ascii="Arial" w:cs="Arial" w:eastAsia="Arial" w:hAnsi="Arial"/>
                <w:sz w:val="17"/>
                <w:szCs w:val="17"/>
                <w:color w:val="auto"/>
              </w:rPr>
              <w:t>509</w:t>
            </w:r>
          </w:p>
        </w:tc>
      </w:tr>
      <w:tr>
        <w:trPr>
          <w:trHeight w:val="270"/>
        </w:trPr>
        <w:tc>
          <w:tcPr>
            <w:tcW w:w="1180" w:type="dxa"/>
            <w:vAlign w:val="bottom"/>
          </w:tcPr>
          <w:p>
            <w:pPr>
              <w:jc w:val="right"/>
              <w:ind w:right="555"/>
              <w:spacing w:after="0"/>
              <w:rPr>
                <w:sz w:val="20"/>
                <w:szCs w:val="20"/>
                <w:color w:val="auto"/>
              </w:rPr>
            </w:pPr>
            <w:r>
              <w:rPr>
                <w:rFonts w:ascii="Arial" w:cs="Arial" w:eastAsia="Arial" w:hAnsi="Arial"/>
                <w:sz w:val="17"/>
                <w:szCs w:val="17"/>
                <w:color w:val="auto"/>
                <w:w w:val="99"/>
              </w:rPr>
              <w:t>27,620</w:t>
            </w:r>
          </w:p>
        </w:tc>
        <w:tc>
          <w:tcPr>
            <w:tcW w:w="1220" w:type="dxa"/>
            <w:vAlign w:val="bottom"/>
          </w:tcPr>
          <w:p>
            <w:pPr>
              <w:jc w:val="right"/>
              <w:ind w:right="415"/>
              <w:spacing w:after="0"/>
              <w:rPr>
                <w:sz w:val="20"/>
                <w:szCs w:val="20"/>
                <w:color w:val="auto"/>
              </w:rPr>
            </w:pPr>
            <w:r>
              <w:rPr>
                <w:rFonts w:ascii="Arial" w:cs="Arial" w:eastAsia="Arial" w:hAnsi="Arial"/>
                <w:sz w:val="17"/>
                <w:szCs w:val="17"/>
                <w:color w:val="auto"/>
              </w:rPr>
              <w:t>1</w:t>
            </w:r>
          </w:p>
        </w:tc>
        <w:tc>
          <w:tcPr>
            <w:tcW w:w="2780" w:type="dxa"/>
            <w:vAlign w:val="bottom"/>
          </w:tcPr>
          <w:p>
            <w:pPr>
              <w:jc w:val="right"/>
              <w:ind w:right="1775"/>
              <w:spacing w:after="0"/>
              <w:rPr>
                <w:sz w:val="20"/>
                <w:szCs w:val="20"/>
                <w:color w:val="auto"/>
              </w:rPr>
            </w:pPr>
            <w:r>
              <w:rPr>
                <w:rFonts w:ascii="Arial" w:cs="Arial" w:eastAsia="Arial" w:hAnsi="Arial"/>
                <w:sz w:val="17"/>
                <w:szCs w:val="17"/>
                <w:color w:val="auto"/>
              </w:rPr>
              <w:t>(1)</w:t>
            </w:r>
          </w:p>
        </w:tc>
        <w:tc>
          <w:tcPr>
            <w:tcW w:w="23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0"/>
        </w:trPr>
        <w:tc>
          <w:tcPr>
            <w:tcW w:w="1180" w:type="dxa"/>
            <w:vAlign w:val="bottom"/>
          </w:tcPr>
          <w:p>
            <w:pPr>
              <w:jc w:val="right"/>
              <w:ind w:right="515"/>
              <w:spacing w:after="0"/>
              <w:rPr>
                <w:sz w:val="20"/>
                <w:szCs w:val="20"/>
                <w:color w:val="auto"/>
              </w:rPr>
            </w:pPr>
            <w:r>
              <w:rPr>
                <w:rFonts w:ascii="Arial" w:cs="Arial" w:eastAsia="Arial" w:hAnsi="Arial"/>
                <w:sz w:val="17"/>
                <w:szCs w:val="17"/>
                <w:color w:val="auto"/>
              </w:rPr>
              <w:t>(9,160)</w:t>
            </w:r>
          </w:p>
        </w:tc>
        <w:tc>
          <w:tcPr>
            <w:tcW w:w="1220" w:type="dxa"/>
            <w:vAlign w:val="bottom"/>
          </w:tcPr>
          <w:p>
            <w:pPr>
              <w:jc w:val="right"/>
              <w:ind w:right="355"/>
              <w:spacing w:after="0"/>
              <w:rPr>
                <w:sz w:val="20"/>
                <w:szCs w:val="20"/>
                <w:color w:val="auto"/>
              </w:rPr>
            </w:pPr>
            <w:r>
              <w:rPr>
                <w:rFonts w:ascii="Arial" w:cs="Arial" w:eastAsia="Arial" w:hAnsi="Arial"/>
                <w:sz w:val="17"/>
                <w:szCs w:val="17"/>
                <w:color w:val="auto"/>
              </w:rPr>
              <w:t>(1)</w:t>
            </w:r>
          </w:p>
        </w:tc>
        <w:tc>
          <w:tcPr>
            <w:tcW w:w="2780" w:type="dxa"/>
            <w:vAlign w:val="bottom"/>
          </w:tcPr>
          <w:p>
            <w:pPr>
              <w:jc w:val="right"/>
              <w:ind w:right="1775"/>
              <w:spacing w:after="0"/>
              <w:rPr>
                <w:sz w:val="20"/>
                <w:szCs w:val="20"/>
                <w:color w:val="auto"/>
              </w:rPr>
            </w:pPr>
            <w:r>
              <w:rPr>
                <w:rFonts w:ascii="Arial" w:cs="Arial" w:eastAsia="Arial" w:hAnsi="Arial"/>
                <w:sz w:val="17"/>
                <w:szCs w:val="17"/>
                <w:color w:val="auto"/>
              </w:rPr>
              <w:t>(342)</w:t>
            </w:r>
          </w:p>
        </w:tc>
        <w:tc>
          <w:tcPr>
            <w:tcW w:w="2340" w:type="dxa"/>
            <w:vAlign w:val="bottom"/>
          </w:tcPr>
          <w:p>
            <w:pPr>
              <w:jc w:val="right"/>
              <w:spacing w:after="0"/>
              <w:rPr>
                <w:sz w:val="20"/>
                <w:szCs w:val="20"/>
                <w:color w:val="auto"/>
              </w:rPr>
            </w:pPr>
            <w:r>
              <w:rPr>
                <w:rFonts w:ascii="Arial" w:cs="Arial" w:eastAsia="Arial" w:hAnsi="Arial"/>
                <w:sz w:val="17"/>
                <w:szCs w:val="17"/>
                <w:color w:val="auto"/>
              </w:rPr>
              <w:t>(343)</w:t>
            </w:r>
          </w:p>
        </w:tc>
      </w:tr>
      <w:tr>
        <w:trPr>
          <w:trHeight w:val="270"/>
        </w:trPr>
        <w:tc>
          <w:tcPr>
            <w:tcW w:w="1180" w:type="dxa"/>
            <w:vAlign w:val="bottom"/>
          </w:tcPr>
          <w:p>
            <w:pPr>
              <w:jc w:val="right"/>
              <w:ind w:right="515"/>
              <w:spacing w:after="0"/>
              <w:rPr>
                <w:sz w:val="20"/>
                <w:szCs w:val="20"/>
                <w:color w:val="auto"/>
              </w:rPr>
            </w:pPr>
            <w:r>
              <w:rPr>
                <w:rFonts w:ascii="Arial" w:cs="Arial" w:eastAsia="Arial" w:hAnsi="Arial"/>
                <w:sz w:val="17"/>
                <w:szCs w:val="17"/>
                <w:color w:val="auto"/>
                <w:w w:val="88"/>
              </w:rPr>
              <w:t>(47,136)</w:t>
            </w:r>
          </w:p>
        </w:tc>
        <w:tc>
          <w:tcPr>
            <w:tcW w:w="1220" w:type="dxa"/>
            <w:vAlign w:val="bottom"/>
          </w:tcPr>
          <w:p>
            <w:pPr>
              <w:jc w:val="right"/>
              <w:ind w:right="355"/>
              <w:spacing w:after="0"/>
              <w:rPr>
                <w:sz w:val="20"/>
                <w:szCs w:val="20"/>
                <w:color w:val="auto"/>
              </w:rPr>
            </w:pPr>
            <w:r>
              <w:rPr>
                <w:rFonts w:ascii="Arial" w:cs="Arial" w:eastAsia="Arial" w:hAnsi="Arial"/>
                <w:sz w:val="17"/>
                <w:szCs w:val="17"/>
                <w:color w:val="auto"/>
              </w:rPr>
              <w:t>(2)</w:t>
            </w:r>
          </w:p>
        </w:tc>
        <w:tc>
          <w:tcPr>
            <w:tcW w:w="2780" w:type="dxa"/>
            <w:vAlign w:val="bottom"/>
          </w:tcPr>
          <w:p>
            <w:pPr>
              <w:jc w:val="right"/>
              <w:ind w:right="1775"/>
              <w:spacing w:after="0"/>
              <w:rPr>
                <w:sz w:val="20"/>
                <w:szCs w:val="20"/>
                <w:color w:val="auto"/>
              </w:rPr>
            </w:pPr>
            <w:r>
              <w:rPr>
                <w:rFonts w:ascii="Arial" w:cs="Arial" w:eastAsia="Arial" w:hAnsi="Arial"/>
                <w:sz w:val="17"/>
                <w:szCs w:val="17"/>
                <w:color w:val="auto"/>
              </w:rPr>
              <w:t>(1,801)</w:t>
            </w:r>
          </w:p>
        </w:tc>
        <w:tc>
          <w:tcPr>
            <w:tcW w:w="2340" w:type="dxa"/>
            <w:vAlign w:val="bottom"/>
          </w:tcPr>
          <w:p>
            <w:pPr>
              <w:jc w:val="right"/>
              <w:spacing w:after="0"/>
              <w:rPr>
                <w:sz w:val="20"/>
                <w:szCs w:val="20"/>
                <w:color w:val="auto"/>
              </w:rPr>
            </w:pPr>
            <w:r>
              <w:rPr>
                <w:rFonts w:ascii="Arial" w:cs="Arial" w:eastAsia="Arial" w:hAnsi="Arial"/>
                <w:sz w:val="17"/>
                <w:szCs w:val="17"/>
                <w:color w:val="auto"/>
              </w:rPr>
              <w:t>(1,803)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-494030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-151130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3"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(179)</w:t>
            </w:r>
          </w:p>
        </w:tc>
      </w:tr>
      <w:tr>
        <w:trPr>
          <w:trHeight w:val="270"/>
        </w:trPr>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9,807</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9,807</w:t>
            </w:r>
          </w:p>
        </w:tc>
      </w:tr>
      <w:tr>
        <w:trPr>
          <w:trHeight w:val="31"/>
        </w:trPr>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9"/>
        </w:trPr>
        <w:tc>
          <w:tcPr>
            <w:tcW w:w="1280" w:type="dxa"/>
            <w:vAlign w:val="bottom"/>
          </w:tcPr>
          <w:p>
            <w:pPr>
              <w:jc w:val="right"/>
              <w:ind w:right="35"/>
              <w:spacing w:after="0"/>
              <w:rPr>
                <w:sz w:val="20"/>
                <w:szCs w:val="20"/>
                <w:color w:val="auto"/>
              </w:rPr>
            </w:pPr>
            <w:r>
              <w:rPr>
                <w:rFonts w:ascii="Arial" w:cs="Arial" w:eastAsia="Arial" w:hAnsi="Arial"/>
                <w:sz w:val="17"/>
                <w:szCs w:val="17"/>
                <w:color w:val="auto"/>
              </w:rPr>
              <w:t>10,563,774</w:t>
            </w:r>
          </w:p>
        </w:tc>
        <w:tc>
          <w:tcPr>
            <w:tcW w:w="100" w:type="dxa"/>
            <w:vAlign w:val="bottom"/>
          </w:tcPr>
          <w:p>
            <w:pPr>
              <w:spacing w:after="0"/>
              <w:rPr>
                <w:sz w:val="19"/>
                <w:szCs w:val="19"/>
                <w:color w:val="auto"/>
              </w:rPr>
            </w:pPr>
          </w:p>
        </w:tc>
        <w:tc>
          <w:tcPr>
            <w:tcW w:w="50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528</w:t>
            </w:r>
          </w:p>
        </w:tc>
        <w:tc>
          <w:tcPr>
            <w:tcW w:w="100" w:type="dxa"/>
            <w:vAlign w:val="bottom"/>
          </w:tcPr>
          <w:p>
            <w:pPr>
              <w:spacing w:after="0"/>
              <w:rPr>
                <w:sz w:val="19"/>
                <w:szCs w:val="19"/>
                <w:color w:val="auto"/>
              </w:rPr>
            </w:pPr>
          </w:p>
        </w:tc>
        <w:tc>
          <w:tcPr>
            <w:tcW w:w="4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50,974</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171,752</w:t>
            </w:r>
          </w:p>
        </w:tc>
        <w:tc>
          <w:tcPr>
            <w:tcW w:w="120" w:type="dxa"/>
            <w:vAlign w:val="bottom"/>
          </w:tcPr>
          <w:p>
            <w:pPr>
              <w:spacing w:after="0"/>
              <w:rPr>
                <w:sz w:val="19"/>
                <w:szCs w:val="19"/>
                <w:color w:val="auto"/>
              </w:rPr>
            </w:pPr>
          </w:p>
        </w:tc>
        <w:tc>
          <w:tcPr>
            <w:tcW w:w="520" w:type="dxa"/>
            <w:vAlign w:val="bottom"/>
          </w:tcPr>
          <w:p>
            <w:pPr>
              <w:jc w:val="right"/>
              <w:ind w:right="33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223,392</w:t>
            </w:r>
          </w:p>
        </w:tc>
      </w:tr>
      <w:tr>
        <w:trPr>
          <w:trHeight w:val="31"/>
        </w:trPr>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-368300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ectPr>
          <w:pgSz w:w="11900" w:h="16838" w:orient="portrait"/>
          <w:cols w:equalWidth="0" w:num="2">
            <w:col w:w="2880" w:space="200"/>
            <w:col w:w="8340"/>
          </w:cols>
          <w:pgMar w:left="240" w:top="580" w:right="23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7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300" w:type="dxa"/>
            <w:vAlign w:val="bottom"/>
          </w:tcPr>
          <w:p>
            <w:pPr>
              <w:spacing w:after="0"/>
              <w:rPr>
                <w:sz w:val="18"/>
                <w:szCs w:val="18"/>
                <w:color w:val="auto"/>
              </w:rPr>
            </w:pP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July 1,</w:t>
            </w:r>
          </w:p>
        </w:tc>
      </w:tr>
      <w:tr>
        <w:trPr>
          <w:trHeight w:val="210"/>
        </w:trPr>
        <w:tc>
          <w:tcPr>
            <w:tcW w:w="7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r>
      <w:tr>
        <w:trPr>
          <w:trHeight w:val="33"/>
        </w:trPr>
        <w:tc>
          <w:tcPr>
            <w:tcW w:w="7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4"/>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60"/>
        </w:trPr>
        <w:tc>
          <w:tcPr>
            <w:tcW w:w="76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9,807</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9,123</w:t>
            </w:r>
          </w:p>
        </w:tc>
      </w:tr>
      <w:tr>
        <w:trPr>
          <w:trHeight w:val="33"/>
        </w:trPr>
        <w:tc>
          <w:tcPr>
            <w:tcW w:w="7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Reconciliation to cash flows: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5,353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5,507</w:t>
            </w:r>
          </w:p>
        </w:tc>
      </w:tr>
      <w:tr>
        <w:trPr>
          <w:trHeight w:val="33"/>
        </w:trPr>
        <w:tc>
          <w:tcPr>
            <w:tcW w:w="7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Operating leases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34</w:t>
            </w:r>
          </w:p>
        </w:tc>
      </w:tr>
      <w:tr>
        <w:trPr>
          <w:trHeight w:val="33"/>
        </w:trPr>
        <w:tc>
          <w:tcPr>
            <w:tcW w:w="7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Loss (gain) on deferred compensation assets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Stock compensation expense</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470</w:t>
            </w:r>
          </w:p>
        </w:tc>
      </w:tr>
      <w:tr>
        <w:trPr>
          <w:trHeight w:val="33"/>
        </w:trPr>
        <w:tc>
          <w:tcPr>
            <w:tcW w:w="7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Loss on property disposals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r>
      <w:tr>
        <w:trPr>
          <w:trHeight w:val="224"/>
        </w:trPr>
        <w:tc>
          <w:tcPr>
            <w:tcW w:w="7620" w:type="dxa"/>
            <w:vAlign w:val="bottom"/>
          </w:tcPr>
          <w:p>
            <w:pPr>
              <w:ind w:left="720"/>
              <w:spacing w:after="0"/>
              <w:rPr>
                <w:sz w:val="20"/>
                <w:szCs w:val="20"/>
                <w:color w:val="auto"/>
              </w:rPr>
            </w:pPr>
            <w:r>
              <w:rPr>
                <w:rFonts w:ascii="Arial" w:cs="Arial" w:eastAsia="Arial" w:hAnsi="Arial"/>
                <w:sz w:val="16"/>
                <w:szCs w:val="16"/>
                <w:color w:val="auto"/>
              </w:rPr>
              <w:t>Changes in operating accounts providing (using) cash:</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Trade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(4,432)</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(6,631)</w:t>
            </w:r>
          </w:p>
        </w:tc>
      </w:tr>
      <w:tr>
        <w:trPr>
          <w:trHeight w:val="33"/>
        </w:trPr>
        <w:tc>
          <w:tcPr>
            <w:tcW w:w="7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3,536</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Accrued liabilities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(7,667)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(3,708)</w:t>
            </w:r>
          </w:p>
        </w:tc>
      </w:tr>
      <w:tr>
        <w:trPr>
          <w:trHeight w:val="33"/>
        </w:trPr>
        <w:tc>
          <w:tcPr>
            <w:tcW w:w="7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3,419</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(583)</w:t>
            </w:r>
          </w:p>
        </w:tc>
      </w:tr>
      <w:tr>
        <w:trPr>
          <w:trHeight w:val="33"/>
        </w:trPr>
        <w:tc>
          <w:tcPr>
            <w:tcW w:w="7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6,815</w:t>
            </w:r>
          </w:p>
        </w:tc>
      </w:tr>
      <w:tr>
        <w:trPr>
          <w:trHeight w:val="224"/>
        </w:trPr>
        <w:tc>
          <w:tcPr>
            <w:tcW w:w="762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(2,371)</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35</w:t>
            </w:r>
          </w:p>
        </w:tc>
      </w:tr>
      <w:tr>
        <w:trPr>
          <w:trHeight w:val="33"/>
        </w:trPr>
        <w:tc>
          <w:tcPr>
            <w:tcW w:w="7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(2,336)</w:t>
            </w:r>
          </w:p>
        </w:tc>
      </w:tr>
      <w:tr>
        <w:trPr>
          <w:trHeight w:val="224"/>
        </w:trPr>
        <w:tc>
          <w:tcPr>
            <w:tcW w:w="76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(4,704)</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New shares issued</w:t>
            </w:r>
          </w:p>
        </w:tc>
        <w:tc>
          <w:tcPr>
            <w:tcW w:w="3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677</w:t>
            </w:r>
          </w:p>
        </w:tc>
      </w:tr>
      <w:tr>
        <w:trPr>
          <w:trHeight w:val="33"/>
        </w:trPr>
        <w:tc>
          <w:tcPr>
            <w:tcW w:w="7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Shares surrendered for payroll taxes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Shares repurchased</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revolver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Payments on term loan borrowings</w:t>
            </w:r>
          </w:p>
        </w:tc>
        <w:tc>
          <w:tcPr>
            <w:tcW w:w="3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33"/>
        </w:trPr>
        <w:tc>
          <w:tcPr>
            <w:tcW w:w="7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(4,292)</w:t>
            </w:r>
          </w:p>
        </w:tc>
      </w:tr>
      <w:tr>
        <w:trPr>
          <w:trHeight w:val="217"/>
        </w:trPr>
        <w:tc>
          <w:tcPr>
            <w:tcW w:w="762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(3,592)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187</w:t>
            </w:r>
          </w:p>
        </w:tc>
      </w:tr>
      <w:tr>
        <w:trPr>
          <w:trHeight w:val="33"/>
        </w:trPr>
        <w:tc>
          <w:tcPr>
            <w:tcW w:w="7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4,990</w:t>
            </w:r>
          </w:p>
        </w:tc>
      </w:tr>
      <w:tr>
        <w:trPr>
          <w:trHeight w:val="217"/>
        </w:trPr>
        <w:tc>
          <w:tcPr>
            <w:tcW w:w="762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5,607</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5,177</w:t>
            </w:r>
          </w:p>
        </w:tc>
      </w:tr>
      <w:tr>
        <w:trPr>
          <w:trHeight w:val="73"/>
        </w:trPr>
        <w:tc>
          <w:tcPr>
            <w:tcW w:w="76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224"/>
        </w:trPr>
        <w:tc>
          <w:tcPr>
            <w:tcW w:w="7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4"/>
        </w:trPr>
        <w:tc>
          <w:tcPr>
            <w:tcW w:w="7620" w:type="dxa"/>
            <w:vAlign w:val="bottom"/>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interest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872</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211</w:t>
            </w:r>
          </w:p>
        </w:tc>
      </w:tr>
    </w:tbl>
    <w:p>
      <w:pPr>
        <w:spacing w:after="0" w:line="18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0"/>
          </w:cols>
          <w:pgMar w:left="240" w:top="580" w:right="7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9" w:lineRule="exact"/>
        <w:rPr>
          <w:sz w:val="20"/>
          <w:szCs w:val="20"/>
          <w:color w:val="auto"/>
        </w:rPr>
      </w:pPr>
    </w:p>
    <w:p>
      <w:pPr>
        <w:ind w:right="100"/>
        <w:spacing w:after="0" w:line="290" w:lineRule="auto"/>
        <w:rPr>
          <w:rFonts w:ascii="Arial" w:cs="Arial" w:eastAsia="Arial" w:hAnsi="Arial"/>
          <w:sz w:val="16"/>
          <w:szCs w:val="16"/>
          <w:color w:val="0000EE"/>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The accompanying unaudited condensed consolidated financial statements have been prepared in accordance with the instructions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Form 10-Q and, accordingly, do not include all information and footnotes required by generally accepted accounting principles for complete financial </w:t>
      </w:r>
      <w:hyperlink r:id="rId26">
        <w:r>
          <w:rPr>
            <w:rFonts w:ascii="Arial" w:cs="Arial" w:eastAsia="Arial" w:hAnsi="Arial"/>
            <w:sz w:val="16"/>
            <w:szCs w:val="16"/>
            <w:color w:val="auto"/>
          </w:rPr>
          <w:t xml:space="preserve">statements. These financial statements should be read in conjunction with the consolidated financial statements and footnotes included in our </w:t>
        </w:r>
        <w:r>
          <w:rPr>
            <w:rFonts w:ascii="Arial" w:cs="Arial" w:eastAsia="Arial" w:hAnsi="Arial"/>
            <w:sz w:val="16"/>
            <w:szCs w:val="16"/>
            <w:u w:val="single" w:color="auto"/>
            <w:color w:val="0000EE"/>
          </w:rPr>
          <w:t>Annual Report</w:t>
        </w:r>
      </w:hyperlink>
      <w:r>
        <w:rPr>
          <w:rFonts w:ascii="Arial" w:cs="Arial" w:eastAsia="Arial" w:hAnsi="Arial"/>
          <w:sz w:val="16"/>
          <w:szCs w:val="16"/>
          <w:color w:val="auto"/>
        </w:rPr>
        <w:t xml:space="preserve"> </w:t>
      </w:r>
      <w:hyperlink r:id="rId26">
        <w:r>
          <w:rPr>
            <w:rFonts w:ascii="Arial" w:cs="Arial" w:eastAsia="Arial" w:hAnsi="Arial"/>
            <w:sz w:val="16"/>
            <w:szCs w:val="16"/>
            <w:u w:val="single" w:color="auto"/>
            <w:color w:val="0000EE"/>
          </w:rPr>
          <w:t>on Form 10-K for the fiscal year ended March 31, 2019</w:t>
        </w:r>
        <w:r>
          <w:rPr>
            <w:rFonts w:ascii="Arial" w:cs="Arial" w:eastAsia="Arial" w:hAnsi="Arial"/>
            <w:sz w:val="16"/>
            <w:szCs w:val="16"/>
            <w:color w:val="000000"/>
          </w:rPr>
          <w:t>, previously filed with the Securities and Exchange Commission (“SEC”). In the opinion of</w:t>
        </w:r>
      </w:hyperlink>
      <w:r>
        <w:rPr>
          <w:rFonts w:ascii="Arial" w:cs="Arial" w:eastAsia="Arial" w:hAnsi="Arial"/>
          <w:sz w:val="16"/>
          <w:szCs w:val="16"/>
          <w:color w:val="0000EE"/>
        </w:rPr>
        <w:t xml:space="preserve"> </w:t>
      </w:r>
      <w:r>
        <w:rPr>
          <w:rFonts w:ascii="Arial" w:cs="Arial" w:eastAsia="Arial" w:hAnsi="Arial"/>
          <w:sz w:val="16"/>
          <w:szCs w:val="16"/>
          <w:color w:val="000000"/>
        </w:rPr>
        <w:t>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 The results of operations for the three months ended June 30, 2019 are not necessarily indicative of the results that may be expected for the full year.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References to fiscal 2019 refer to the fiscal year ended March 31, 2019 and references to fiscal 2020 refer to the fiscal year ending March 29, 2020.</w:t>
      </w:r>
    </w:p>
    <w:p>
      <w:pPr>
        <w:spacing w:after="0" w:line="237"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condensed consolidated financial statements in conformity with accounting principles generally accepted in the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States requires management to make estimates and assumptions that affect the reported amounts of assets and liabilities, particularly receivables, inventories, property, plant and equipment, right-of-use assets, goodwill, intangibles, accrued expenses, short-term and long-term lease liability, income taxes and related accounts and the reported amounts of revenues and expenses during the reporting period. Actual results could differ from those estimates.</w:t>
      </w:r>
    </w:p>
    <w:p>
      <w:pPr>
        <w:spacing w:after="0" w:line="154"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b w:val="1"/>
          <w:bCs w:val="1"/>
          <w:i w:val="1"/>
          <w:iCs w:val="1"/>
          <w:color w:val="auto"/>
        </w:rPr>
        <w:t xml:space="preserve">Accounting Policies. </w:t>
      </w:r>
      <w:r>
        <w:rPr>
          <w:rFonts w:ascii="Arial" w:cs="Arial" w:eastAsia="Arial" w:hAnsi="Arial"/>
          <w:sz w:val="17"/>
          <w:szCs w:val="17"/>
          <w:color w:val="auto"/>
        </w:rPr>
        <w:t>The accounting policies we follow are set forth in Note 1 – Nature of Business and Significant Accounting Policies to our consolidated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statements in our Annual Report on Form 10-K for the fiscal year ended March 31, 2019, previously filed with the SEC. With the exception of our policy regarding leases (see below), there has been no significant change in our accounting policies since the end of fiscal 2019.</w:t>
      </w:r>
    </w:p>
    <w:p>
      <w:pPr>
        <w:spacing w:after="0" w:line="166"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 xml:space="preserve">Leases. </w:t>
      </w:r>
      <w:r>
        <w:rPr>
          <w:rFonts w:ascii="Arial" w:cs="Arial" w:eastAsia="Arial" w:hAnsi="Arial"/>
          <w:sz w:val="16"/>
          <w:szCs w:val="16"/>
          <w:color w:val="auto"/>
        </w:rPr>
        <w:t>The Company determines if an arrangement is a lease at inception. Right-of-use (“ROU”) assets include operating leases. Lease liabilities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leases are classified in “short-term lease liabilities” and “long-term lease liabilities” in our condensed consolidated balance sheet.</w:t>
      </w:r>
    </w:p>
    <w:p>
      <w:pPr>
        <w:spacing w:after="0" w:line="12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Operating assets and liabilities are recognized at commencement date based on the present value of the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Lease terms may include options to extend or terminate the lease when it is reasonably certain that we will exercise that option. Lease expense for lease payments is recognized on a straight-line basis over the lease term.</w:t>
      </w:r>
    </w:p>
    <w:p>
      <w:pPr>
        <w:spacing w:after="0" w:line="15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Lease and non-lease components are generally accounted for separately for real estate leases. For non-real estate leases, we account for the lease and non-lease components as a single lease component.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2016-13, </w:t>
      </w:r>
      <w:r>
        <w:rPr>
          <w:rFonts w:ascii="Arial" w:cs="Arial" w:eastAsia="Arial" w:hAnsi="Arial"/>
          <w:sz w:val="18"/>
          <w:szCs w:val="18"/>
          <w:i w:val="1"/>
          <w:iCs w:val="1"/>
          <w:color w:val="auto"/>
        </w:rPr>
        <w:t>Financial Instruments -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(Topic 326), Measurement of Credit Losses on Financial Instruments</w:t>
      </w:r>
      <w:r>
        <w:rPr>
          <w:rFonts w:ascii="Arial" w:cs="Arial" w:eastAsia="Arial" w:hAnsi="Arial"/>
          <w:sz w:val="18"/>
          <w:szCs w:val="18"/>
          <w:color w:val="auto"/>
        </w:rPr>
        <w:t>. The amendments in this update replace the incurred loss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methodology in current GAAP with a methodology that reflects expected credit losses on instruments within its scope, including trade receivables. This update is intended to provide financial statement users with more decision-useful information about the expected credit losses. This ASU is effective for annual periods and interim periods for those annual periods beginning after December 15, 2019, which for us is our fiscal year beginning March 30, 2020. Entities may early adopt beginning after December 15, 2018. We are currently evaluating the impact of the adoption of ASU 2016-13 on our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On April 1, 2019, we adopted ASU 2016-02, which provides new accounting guidance requiring lessees to recognize most leases as assets and liabilities on the balance sheet and disclose key information about leasing arrangements. The new standard establishes a ROU model that requires a lessee to recognize a ROU asset and lease liability on the balance sheet for all leases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8" w:name="page9"/>
    <w:bookmarkEnd w:id="8"/>
    <w:p>
      <w:pPr>
        <w:ind w:right="100"/>
        <w:spacing w:after="0" w:line="264" w:lineRule="auto"/>
        <w:rPr>
          <w:sz w:val="20"/>
          <w:szCs w:val="20"/>
          <w:color w:val="auto"/>
        </w:rPr>
      </w:pPr>
      <w:r>
        <w:rPr>
          <w:rFonts w:ascii="Arial" w:cs="Arial" w:eastAsia="Arial" w:hAnsi="Arial"/>
          <w:sz w:val="18"/>
          <w:szCs w:val="18"/>
          <w:color w:val="auto"/>
        </w:rPr>
        <w:t>with a term longer than 12 months. Leases will be classified as finance or operating, with classification affecting the pattern and expense recognition in the income statement. We adopted this ASU using the modified retrospective method. See Note 11 to the condensed consolidated financial statements for further details.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revenue arrangements generally consist of a single performance obligation to transfer promised goods or services. We disaggregate revenues from contracts with customers by both operating segments and types of product sold. Reporting by operating segment is pertinent to understanding our revenues, as it aligns to how we review the financial performance of our operations. Types of products sold within each operating segment help us to further evaluate the financial performance of our segments.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disaggregate external customer net sales by major revenue stream for the three months ended June 30, 2019 and July 1, 2018:</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ind w:left="40" w:right="1280"/>
        <w:spacing w:after="0"/>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Manufactured, blended or repackaged products </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Other</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ind w:left="40" w:right="1280"/>
        <w:spacing w:after="0"/>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Manufactured, blended or repackaged products </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Other</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external customer sales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Three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36874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Water</w:t>
            </w:r>
          </w:p>
        </w:tc>
        <w:tc>
          <w:tcPr>
            <w:tcW w:w="18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Health and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Industrial</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Treatment</w:t>
            </w: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Nutrition</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15,090</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4,708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24,603</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44,401</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59,394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38,150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4,144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101,688</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1,247</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75,325</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43,252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28,759</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147,336</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-548005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-205105</wp:posOffset>
            </wp:positionV>
            <wp:extent cx="724662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13"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Three months ended July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36874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Water</w:t>
            </w:r>
          </w:p>
        </w:tc>
        <w:tc>
          <w:tcPr>
            <w:tcW w:w="18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Health and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Industrial</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Treatment</w:t>
            </w: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Nutrition</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14,936</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30,677</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51,435</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58,032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34,659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4,185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96,876</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1,489</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74,018</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40,869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34,913</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149,800</w:t>
            </w: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-728345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-376555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800"/>
          </w:cols>
          <w:pgMar w:left="240" w:top="584" w:right="239" w:bottom="1440" w:gutter="0" w:footer="0" w:header="0"/>
          <w:type w:val="continuous"/>
        </w:sectPr>
      </w:pPr>
    </w:p>
    <w:p>
      <w:pPr>
        <w:spacing w:after="0" w:line="222" w:lineRule="exact"/>
        <w:rPr>
          <w:sz w:val="20"/>
          <w:szCs w:val="20"/>
          <w:color w:val="auto"/>
        </w:rPr>
      </w:pPr>
    </w:p>
    <w:p>
      <w:pPr>
        <w:ind w:left="660" w:right="400" w:hanging="328"/>
        <w:spacing w:after="0" w:line="25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bulk products that we do not modify in any way, but receive, store, and ship from our facilities, or direct ship to our customers in large quantities. For our Health and Nutrition segment, this line includes our non-manufactured distributed specialty products, which may be sold out of one of our facilities or direct shipped to our customers.</w:t>
      </w:r>
    </w:p>
    <w:p>
      <w:pPr>
        <w:spacing w:after="0" w:line="1" w:lineRule="exact"/>
        <w:rPr>
          <w:rFonts w:ascii="Arial" w:cs="Arial" w:eastAsia="Arial" w:hAnsi="Arial"/>
          <w:sz w:val="16"/>
          <w:szCs w:val="16"/>
          <w:color w:val="auto"/>
        </w:rPr>
      </w:pPr>
    </w:p>
    <w:p>
      <w:pPr>
        <w:ind w:left="660" w:right="420" w:hanging="328"/>
        <w:spacing w:after="0" w:line="25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non-bulk specialty products that we either manufacture, blend, repackage, resell in their original form, or direct ship to our customers in smaller quantities, and services we provide for our customers. For our Health and Nutrition segment, this line includes products manufactured, processed or repackaged in our facility and/or with our equipment.</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Net sales include products and shipping charges, net of estimates for product returns and any related sales rebates. Revenue is measured as the amount of consideration we expect to receive in exchange for transferring products. All revenue is recognized when we satisfy our performance obligations under the contract. Our criteria for recording revenue is consistent between our operating segments and types of products sold. We recognize revenue upon transfer of control of the promised products to the customer, with revenue recognized at the point in time the customer obtains control of the products. In arrangements where product is shipped directly from the vendor to our customer, we act as the principal in the transaction as we direct the other party to provide the product to our customer on our behalf, take inventory risk, establish the selling price, and are exposed to credit risk for the collection of the invoiced amount. If there were circumstances where we were to manufacture products for customers that were unique to their specifications and we would be prohibited by contract to use the product for any alternate use, we would recognize revenue over time if all criteria were met. We have made a policy election to treat shipping costs for FOB shipping point sales as fulfillment costs. As such, we recognize revenue for all shipping charges, if applicable, at the same time we recognize revenue on the products delivered. We estimate product returns based on historical return rates. Using probability assessments, we estimate sales rebates expected to be paid over the term of the contract. The majority of our contracts have a single performance obligation and are short term in nature. Sales taxes that are collected from customers and remitted to governmental authorities are accounted for on a net basis and therefore are excluded from net sales. We offer certain customers cash discounts and volume rebates as sales incentives. The discounts and volume rebates are recorded as a reduction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type w:val="continuous"/>
        </w:sectPr>
      </w:pPr>
    </w:p>
    <w:bookmarkStart w:id="9" w:name="page10"/>
    <w:bookmarkEnd w:id="9"/>
    <w:p>
      <w:pPr>
        <w:ind w:right="500"/>
        <w:spacing w:after="0" w:line="277" w:lineRule="auto"/>
        <w:rPr>
          <w:sz w:val="20"/>
          <w:szCs w:val="20"/>
          <w:color w:val="auto"/>
        </w:rPr>
      </w:pPr>
      <w:r>
        <w:rPr>
          <w:rFonts w:ascii="Arial" w:cs="Arial" w:eastAsia="Arial" w:hAnsi="Arial"/>
          <w:sz w:val="18"/>
          <w:szCs w:val="18"/>
          <w:color w:val="auto"/>
        </w:rPr>
        <w:t>in sales at the time revenue is recognized in an amount estimated based on historical experience and contractual obligations. We periodically review the assumptions underlying our estimates of discounts and volume rebates and adjust revenues accordingly.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Earnings per Share</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Basic earnings per share (“EPS”) are computed by dividing net earnings by the weighted-average number of common shares outstanding. Diluted EPS includes the dilutive impact of incremental shares assumed to be issued as performance units and restricted stock. Basic and diluted EPS were calculated using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12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8120" w:type="dxa"/>
            <w:vAlign w:val="bottom"/>
          </w:tcPr>
          <w:p>
            <w:pPr>
              <w:spacing w:after="0"/>
              <w:rPr>
                <w:sz w:val="18"/>
                <w:szCs w:val="18"/>
                <w:color w:val="auto"/>
              </w:rPr>
            </w:pPr>
          </w:p>
        </w:tc>
        <w:tc>
          <w:tcPr>
            <w:tcW w:w="1720" w:type="dxa"/>
            <w:vAlign w:val="bottom"/>
            <w:gridSpan w:val="2"/>
          </w:tcPr>
          <w:p>
            <w:pPr>
              <w:ind w:left="460"/>
              <w:spacing w:after="0"/>
              <w:rPr>
                <w:sz w:val="20"/>
                <w:szCs w:val="20"/>
                <w:color w:val="auto"/>
              </w:rPr>
            </w:pPr>
            <w:r>
              <w:rPr>
                <w:rFonts w:ascii="Arial" w:cs="Arial" w:eastAsia="Arial" w:hAnsi="Arial"/>
                <w:sz w:val="18"/>
                <w:szCs w:val="18"/>
                <w:b w:val="1"/>
                <w:bCs w:val="1"/>
                <w:color w:val="auto"/>
              </w:rPr>
              <w:t>June 30,</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July 1,</w:t>
            </w:r>
          </w:p>
        </w:tc>
      </w:tr>
      <w:tr>
        <w:trPr>
          <w:trHeight w:val="234"/>
        </w:trPr>
        <w:tc>
          <w:tcPr>
            <w:tcW w:w="8120" w:type="dxa"/>
            <w:vAlign w:val="bottom"/>
          </w:tcPr>
          <w:p>
            <w:pPr>
              <w:spacing w:after="0"/>
              <w:rPr>
                <w:sz w:val="20"/>
                <w:szCs w:val="20"/>
                <w:color w:val="auto"/>
              </w:rPr>
            </w:pPr>
          </w:p>
        </w:tc>
        <w:tc>
          <w:tcPr>
            <w:tcW w:w="16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outstanding—basic</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10,604,306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10,648,226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Dilutive impact of performance units and restricted stock</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61,403</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33,834</w:t>
            </w:r>
          </w:p>
        </w:tc>
      </w:tr>
      <w:tr>
        <w:trPr>
          <w:trHeight w:val="27"/>
        </w:trPr>
        <w:tc>
          <w:tcPr>
            <w:tcW w:w="8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outstanding—diluted</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10,665,709</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10,682,060</w:t>
            </w:r>
          </w:p>
        </w:tc>
      </w:tr>
      <w:tr>
        <w:trPr>
          <w:trHeight w:val="20"/>
        </w:trPr>
        <w:tc>
          <w:tcPr>
            <w:tcW w:w="8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each of the three months ended June 30, 2019 and July 1, 2018, there were no shares excluded from the calculation of weighted-average common shares for diluted EPS.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Derivative Instruments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in place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swap agreement will terminate on December 23, 2020. The notional amount of the swap agreement is currently $30 million through August 31, 2019 and reduces to $20 million from September 1, 2019 through December 23, 2020. We have designated this swap as a cash flow hedge and have determined that it qualifies for hedge accounting treatment. For so long as the hedge is effective, changes in fair value of the cash flow hedge are recorded in other comprehensive income (net of tax) until income or loss from the cash flows of the hedged item is realized.</w:t>
      </w:r>
    </w:p>
    <w:p>
      <w:pPr>
        <w:spacing w:after="0" w:line="21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For the three months ended June 30, 2019, we recorded $0.2 million in other comprehensive income related to unrealized losses (net of tax) on the cash flow hedge described above. For the three months ended July 1, 2018, we recorded a nominal amount in other comprehensive income related to unrealized gains (net of tax) on the cash flow hedge. Included in other long-term assets on our condensed consolidated balance sheet was $0.2 million as of June 30, 2019 and $0.4 million as of March 31, 2019 related to the cash flow hedge. Unrealized gains and losses will be reflected in net income when the related cash flows or hedged transactions occur and offset the related performance of the hedged item.</w:t>
      </w:r>
    </w:p>
    <w:p>
      <w:pPr>
        <w:spacing w:after="0" w:line="17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By their nature, derivative instruments are subject to market risk. Derivative instruments are also subject to credit risk associated with counterparties to the derivative contracts. Credit risk associated with derivatives is measured based on the replacement cost should the counterparty with a contract in a gain position to us fail to perform under the terms of the contract. We do not anticipate nonperformance by the counterparty.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Our financial assets and liabilities are measured at fair value at the price that would be received to sell an asset or paid to transfer a liability in an orderly transaction between market participants at the measurement date (exit price). We classify the inputs used to measure fair value into the following hierarchy:</w:t>
      </w:r>
    </w:p>
    <w:p>
      <w:pPr>
        <w:spacing w:after="0" w:line="151"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63" w:lineRule="exact"/>
        <w:rPr>
          <w:sz w:val="20"/>
          <w:szCs w:val="20"/>
          <w:color w:val="auto"/>
        </w:rPr>
      </w:pPr>
    </w:p>
    <w:p>
      <w:pPr>
        <w:ind w:left="2160" w:right="340" w:hanging="864"/>
        <w:spacing w:after="0" w:line="264" w:lineRule="auto"/>
        <w:tabs>
          <w:tab w:leader="none" w:pos="21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in active markets for similar assets or liabilities, or quoted prices for identical or similar assets or liabilities in markets that are not active, or inputs other than quoted prices that are observable or can be corroborated by observable market data for the asset or liability.</w:t>
      </w:r>
    </w:p>
    <w:p>
      <w:pPr>
        <w:spacing w:after="0" w:line="19" w:lineRule="exact"/>
        <w:rPr>
          <w:sz w:val="20"/>
          <w:szCs w:val="20"/>
          <w:color w:val="auto"/>
        </w:rPr>
      </w:pPr>
    </w:p>
    <w:p>
      <w:pPr>
        <w:ind w:left="2160" w:right="1000" w:hanging="864"/>
        <w:spacing w:after="0" w:line="264" w:lineRule="auto"/>
        <w:tabs>
          <w:tab w:leader="none" w:pos="21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for the asset or liability that are supported by little or no market activity. These fair values are determined using pricing models for which the assumptions utilize management’s estimates or market participant assumptions.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0" w:name="page11"/>
    <w:bookmarkEnd w:id="10"/>
    <w:p>
      <w:pPr>
        <w:spacing w:after="0" w:line="279" w:lineRule="auto"/>
        <w:rPr>
          <w:sz w:val="20"/>
          <w:szCs w:val="20"/>
          <w:color w:val="auto"/>
        </w:rPr>
      </w:pPr>
      <w:r>
        <w:rPr>
          <w:rFonts w:ascii="Arial" w:cs="Arial" w:eastAsia="Arial" w:hAnsi="Arial"/>
          <w:sz w:val="17"/>
          <w:szCs w:val="17"/>
          <w:b w:val="1"/>
          <w:bCs w:val="1"/>
          <w:i w:val="1"/>
          <w:iCs w:val="1"/>
          <w:color w:val="auto"/>
        </w:rPr>
        <w:t xml:space="preserve">Assets and Liabilities Measured at Fair Value on a Recurring Basis. </w:t>
      </w:r>
      <w:r>
        <w:rPr>
          <w:rFonts w:ascii="Arial" w:cs="Arial" w:eastAsia="Arial" w:hAnsi="Arial"/>
          <w:sz w:val="17"/>
          <w:szCs w:val="17"/>
          <w:color w:val="auto"/>
        </w:rPr>
        <w:t>The fair value hierarchy requires the use of observable market data when available.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financial assets that are measured at fair value on a recurring basis are an interest rate swap and assets held in a deferred compensation retirement plan. Both of these assets are classified as other long-term assets on our balance sheet, with the portion of the deferred compensation retirement plan assets expected to be paid within twelve months reclassified to current assets.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established in fiscal 2017,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balances of assets measured at fair value on a recurring basis as of June 30, 2019 and March 31, 2019.</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June 30, 2019</w:t>
            </w:r>
          </w:p>
        </w:tc>
        <w:tc>
          <w:tcPr>
            <w:tcW w:w="102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8"/>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Level 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Level 3</w:t>
            </w: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621"/>
        </w:trPr>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March 31, 2019</w:t>
            </w:r>
          </w:p>
        </w:tc>
        <w:tc>
          <w:tcPr>
            <w:tcW w:w="1020" w:type="dxa"/>
            <w:vAlign w:val="bottom"/>
          </w:tcPr>
          <w:p>
            <w:pPr>
              <w:spacing w:after="0"/>
              <w:rPr>
                <w:sz w:val="24"/>
                <w:szCs w:val="24"/>
                <w:color w:val="auto"/>
              </w:rPr>
            </w:pPr>
          </w:p>
        </w:tc>
      </w:tr>
      <w:tr>
        <w:trPr>
          <w:trHeight w:val="27"/>
        </w:trPr>
        <w:tc>
          <w:tcPr>
            <w:tcW w:w="8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8"/>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Level 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Level 3</w:t>
            </w: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Assets Held for Sale</w:t>
      </w:r>
    </w:p>
    <w:p>
      <w:pPr>
        <w:spacing w:after="0" w:line="229"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In fiscal 2019, management entered into a plan of action to dispose of an office building in St. Louis, Missouri currently utilized in the administration of our Industrial segment. The amount of office space in this facility is no longer needed due to current staffing levels, and management expects to relocate affected employees to leased space. The building is listed for sale at a price in excess of its current book value, and thus no impairment has been recognized. The $0.9 million net book value of this property is recorded as an asset held for sale within “Prepaid expenses and other current assets” on our balance sheet.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r>
              <w:rPr>
                <w:rFonts w:ascii="Arial" w:cs="Arial" w:eastAsia="Arial" w:hAnsi="Arial"/>
                <w:sz w:val="18"/>
                <w:szCs w:val="18"/>
                <w:b w:val="1"/>
                <w:bCs w:val="1"/>
                <w:color w:val="auto"/>
              </w:rPr>
              <w:t>Note 7 – Inventories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8040" w:type="dxa"/>
            <w:vAlign w:val="bottom"/>
          </w:tcPr>
          <w:p>
            <w:pPr>
              <w:spacing w:after="0"/>
              <w:rPr>
                <w:sz w:val="20"/>
                <w:szCs w:val="20"/>
                <w:color w:val="auto"/>
              </w:rPr>
            </w:pPr>
            <w:r>
              <w:rPr>
                <w:rFonts w:ascii="Arial" w:cs="Arial" w:eastAsia="Arial" w:hAnsi="Arial"/>
                <w:sz w:val="18"/>
                <w:szCs w:val="18"/>
                <w:color w:val="auto"/>
              </w:rPr>
              <w:t>Inventories at June 30, 2019 and March 31, 2019 consisted of the following:</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14"/>
        </w:trPr>
        <w:tc>
          <w:tcPr>
            <w:tcW w:w="8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24"/>
                <w:szCs w:val="24"/>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55"/>
        </w:trPr>
        <w:tc>
          <w:tcPr>
            <w:tcW w:w="8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(FIFO basis)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63,749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65,526</w:t>
            </w: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color w:val="auto"/>
              </w:rPr>
              <w:t>LIFO reserve</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(5,044)</w:t>
            </w:r>
          </w:p>
        </w:tc>
      </w:tr>
      <w:tr>
        <w:trPr>
          <w:trHeight w:val="27"/>
        </w:trPr>
        <w:tc>
          <w:tcPr>
            <w:tcW w:w="8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inventory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60,482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$43.8 million at June 30, 2019 and $45.2 million at March 31, 2019. The remainder of the inventory was valued and accounted for under the FIFO method.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LIFO reserve increased nominally during the three months ended June 30, 2019 and increased $0.3 million during the three months ended July 1,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valuation of LIFO inventory for interim periods is based on our estimates of year-end inventory levels and costs.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carrying amount of goodwill was $58.4 million as of June 30, 2019 and March 31, 2019, of which $44.9 million was related to our Health and Nutrition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intangible assets as of June 30, 2019 and March 31, 2019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6"/>
              </w:rPr>
              <w:t>March 31, 2019</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2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720" w:type="dxa"/>
            <w:vAlign w:val="bottom"/>
            <w:gridSpan w:val="2"/>
          </w:tcPr>
          <w:p>
            <w:pPr>
              <w:jc w:val="right"/>
              <w:ind w:right="150"/>
              <w:spacing w:after="0" w:line="15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5"/>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Finite-life intangible 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78,383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(18,032)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60,351</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78,383</w:t>
            </w:r>
          </w:p>
        </w:tc>
        <w:tc>
          <w:tcPr>
            <w:tcW w:w="660" w:type="dxa"/>
            <w:vAlign w:val="bottom"/>
            <w:gridSpan w:val="3"/>
          </w:tcPr>
          <w:p>
            <w:pPr>
              <w:jc w:val="right"/>
              <w:ind w:right="268"/>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(16,910)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61,473</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Trademarks and 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2,798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(3,552)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88,076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63,230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88,076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(23,577)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64,499</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1,227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64,457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89,303</w:t>
            </w:r>
          </w:p>
        </w:tc>
        <w:tc>
          <w:tcPr>
            <w:tcW w:w="660" w:type="dxa"/>
            <w:vAlign w:val="bottom"/>
            <w:tcBorders>
              <w:bottom w:val="single" w:sz="8" w:color="CCEEFF"/>
            </w:tcBorders>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(23,577)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65,726</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9 – Debt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40" w:type="dxa"/>
            <w:vAlign w:val="bottom"/>
            <w:gridSpan w:val="5"/>
          </w:tcPr>
          <w:p>
            <w:pPr>
              <w:spacing w:after="0"/>
              <w:rPr>
                <w:sz w:val="20"/>
                <w:szCs w:val="20"/>
                <w:color w:val="auto"/>
              </w:rPr>
            </w:pPr>
            <w:r>
              <w:rPr>
                <w:rFonts w:ascii="Arial" w:cs="Arial" w:eastAsia="Arial" w:hAnsi="Arial"/>
                <w:sz w:val="18"/>
                <w:szCs w:val="18"/>
                <w:color w:val="auto"/>
                <w:w w:val="92"/>
              </w:rPr>
              <w:t>Debt at June 30, 2019 and March 31, 2019 consisted of the following:</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3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w w:val="85"/>
              </w:rPr>
              <w:t>June 30,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gridSpan w:val="3"/>
          </w:tcPr>
          <w:p>
            <w:pPr>
              <w:jc w:val="right"/>
              <w:ind w:right="68"/>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331"/>
              <w:spacing w:after="0"/>
              <w:rPr>
                <w:sz w:val="20"/>
                <w:szCs w:val="20"/>
                <w:color w:val="auto"/>
              </w:rPr>
            </w:pPr>
            <w:r>
              <w:rPr>
                <w:rFonts w:ascii="Arial" w:cs="Arial" w:eastAsia="Arial" w:hAnsi="Arial"/>
                <w:sz w:val="18"/>
                <w:szCs w:val="18"/>
                <w:b w:val="1"/>
                <w:bCs w:val="1"/>
                <w:color w:val="auto"/>
                <w:w w:val="84"/>
              </w:rPr>
              <w:t>2019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Senior secured revolving loan</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30"/>
              <w:spacing w:after="0"/>
              <w:rPr>
                <w:sz w:val="20"/>
                <w:szCs w:val="20"/>
                <w:color w:val="auto"/>
              </w:rPr>
            </w:pPr>
            <w:r>
              <w:rPr>
                <w:rFonts w:ascii="Arial" w:cs="Arial" w:eastAsia="Arial" w:hAnsi="Arial"/>
                <w:sz w:val="18"/>
                <w:szCs w:val="18"/>
                <w:color w:val="auto"/>
              </w:rPr>
              <w:t>85,000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w w:val="90"/>
              </w:rPr>
              <w:t>85,000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(411)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180"/>
              <w:spacing w:after="0"/>
              <w:rPr>
                <w:sz w:val="20"/>
                <w:szCs w:val="20"/>
                <w:color w:val="auto"/>
              </w:rPr>
            </w:pPr>
            <w:r>
              <w:rPr>
                <w:rFonts w:ascii="Arial" w:cs="Arial" w:eastAsia="Arial" w:hAnsi="Arial"/>
                <w:sz w:val="18"/>
                <w:szCs w:val="18"/>
                <w:color w:val="auto"/>
              </w:rPr>
              <w:t>Total debt, net of debt issuance costs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84,589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0"/>
              </w:rPr>
              <w:t>84,565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(9,907)</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8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74,682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0"/>
              </w:rPr>
              <w:t>74,658</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2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April 3, 2016 are closed to examination by the Internal Revenue Service, and with few exceptions, state and local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income tax jurisdictions. Our effective tax rate for the three months ended June 30, 2019 was 26.3% and was 27.3% for the three months ended July 1, 2018.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is impacted by projected levels of annual taxable income, permanent items, and state taxes.</w:t>
      </w:r>
    </w:p>
    <w:p>
      <w:pPr>
        <w:spacing w:after="0" w:line="21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As of June 30, 2019 and March 31, 2019, our balance sheet included a long-term liability for uncertain tax positions of $0.1 million, which arose from tax positions taken by Stauber Performance Ingredients, Inc. (“Stauber”) on its tax returns for periods prior to our acquisition. Because the Stauber acquisition agreement provides us with indemnification by the prior owners for any tax liabilities relating to pre-acquisition tax returns, we have also recorded an offsetting, long-term receivable of $0.1 million as of June 30, 2019 and March 31, 2019. As a result, any change in the unrecognized tax benefit will not impact our effective tax rate in future periods. We expect these uncertain income tax amounts to decrease through September 2019 as the applicable examination periods for the relevant taxing authorities expire.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w:t>
      </w:r>
    </w:p>
    <w:p>
      <w:pPr>
        <w:spacing w:after="0" w:line="225"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 xml:space="preserve">Adoption of ASU 2016-02, Leases. </w:t>
      </w:r>
      <w:r>
        <w:rPr>
          <w:rFonts w:ascii="Arial" w:cs="Arial" w:eastAsia="Arial" w:hAnsi="Arial"/>
          <w:sz w:val="16"/>
          <w:szCs w:val="16"/>
          <w:color w:val="auto"/>
        </w:rPr>
        <w:t>On April 1, 2019, we adopted ASU 2016-02 using the modified retrospective method applied to existing leases in place</w:t>
      </w:r>
      <w:r>
        <w:rPr>
          <w:rFonts w:ascii="Arial" w:cs="Arial" w:eastAsia="Arial" w:hAnsi="Arial"/>
          <w:sz w:val="16"/>
          <w:szCs w:val="16"/>
          <w:b w:val="1"/>
          <w:bCs w:val="1"/>
          <w:color w:val="auto"/>
        </w:rPr>
        <w:t xml:space="preserve"> </w:t>
      </w:r>
      <w:r>
        <w:rPr>
          <w:rFonts w:ascii="Arial" w:cs="Arial" w:eastAsia="Arial" w:hAnsi="Arial"/>
          <w:sz w:val="16"/>
          <w:szCs w:val="16"/>
          <w:color w:val="auto"/>
        </w:rPr>
        <w:t>as of April 1, 2019. Leases entered into after April 1, 2019 are presented under the provisions of ASU 2016-02, while prior periods are not adjusted and continue to be reported in accordance with previous accounting guidance. Leases commencing or renewing after the adoption date are evaluated based on the guidance in ASU 2016-02 and may result in more finance leases being recognized even for the renewal of previously classified operating leases.</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580" w:right="319" w:bottom="1440" w:gutter="0" w:footer="0" w:header="0"/>
        </w:sectPr>
      </w:pPr>
    </w:p>
    <w:bookmarkStart w:id="12" w:name="page13"/>
    <w:bookmarkEnd w:id="12"/>
    <w:p>
      <w:pPr>
        <w:spacing w:after="0" w:line="297" w:lineRule="auto"/>
        <w:rPr>
          <w:sz w:val="20"/>
          <w:szCs w:val="20"/>
          <w:color w:val="auto"/>
        </w:rPr>
      </w:pPr>
      <w:r>
        <w:rPr>
          <w:rFonts w:ascii="Arial" w:cs="Arial" w:eastAsia="Arial" w:hAnsi="Arial"/>
          <w:sz w:val="16"/>
          <w:szCs w:val="16"/>
          <w:color w:val="auto"/>
        </w:rPr>
        <w:t>We elected to adopt the ‘package of practical expedients’, which permitted us not to reassess under the new standard our prior conclusions about lease identification, lease classification and initial direct costs. We elected the short-term lease recognition exemption for all leases that qualified. This means, for those leases that qualified, we did not recognize right-of-use assets or lease liabilities, and this included not recognizing right-of-use assets or lease liabilities for existing short-term leases of those assets in transition. We also elected the practical expedient to not separate lease and non-lease components for all leases other than leases of real estate, and this included not separating lease and non-lease components for all leases other than leases of real estate in transition.</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adopted ASU 2016-02 using the modified retrospective method, recognizing the cumulative effect of application as an adjustment to the opening balance sheet. The standard had a material impact on our condensed consolidated balance sheet, but did not have a material impact on our condensed consolidated statement of income or cash flows. The most significant impact was the recognition of the ROU asset and lease liabilities for operating leases, both of which were approximately $10.4 million upon adoption.</w:t>
      </w:r>
    </w:p>
    <w:p>
      <w:pPr>
        <w:spacing w:after="0" w:line="18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Lease Obligations. </w:t>
      </w:r>
      <w:r>
        <w:rPr>
          <w:rFonts w:ascii="Arial" w:cs="Arial" w:eastAsia="Arial" w:hAnsi="Arial"/>
          <w:sz w:val="18"/>
          <w:szCs w:val="18"/>
          <w:color w:val="auto"/>
        </w:rPr>
        <w:t>As of June 30, 2019, we were obligated under operating lease agreements for certain manufacturing facilities, warehouse space, the land</w:t>
      </w:r>
      <w:r>
        <w:rPr>
          <w:rFonts w:ascii="Arial" w:cs="Arial" w:eastAsia="Arial" w:hAnsi="Arial"/>
          <w:sz w:val="18"/>
          <w:szCs w:val="18"/>
          <w:b w:val="1"/>
          <w:bCs w:val="1"/>
          <w:color w:val="auto"/>
        </w:rPr>
        <w:t xml:space="preserve"> </w:t>
      </w:r>
      <w:r>
        <w:rPr>
          <w:rFonts w:ascii="Arial" w:cs="Arial" w:eastAsia="Arial" w:hAnsi="Arial"/>
          <w:sz w:val="18"/>
          <w:szCs w:val="18"/>
          <w:color w:val="auto"/>
        </w:rPr>
        <w:t>on which some of our facilities sit, vehicles and information technology equipment. Our leases have remaining lease terms of 1 year to 25 years, some of which may include options to extend the lease for up to 10 years.</w:t>
      </w:r>
    </w:p>
    <w:p>
      <w:pPr>
        <w:spacing w:after="0" w:line="1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June 30, 2019, our operating lease components with initial or remaining terms in excess of one year were classified on the condensed consolidated balance sheet within right of use assets, short-term lease liability and long-term lease liability.</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Expense for leases less than 12 months for the three months ended June 30, 2019 was not material. Total lease expense for the three months ended June 30, 2019 was $0.7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our operating leases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0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0" w:type="dxa"/>
            <w:vAlign w:val="bottom"/>
            <w:gridSpan w:val="4"/>
          </w:tcPr>
          <w:p>
            <w:pPr>
              <w:jc w:val="right"/>
              <w:ind w:right="880"/>
              <w:spacing w:after="0"/>
              <w:rPr>
                <w:sz w:val="20"/>
                <w:szCs w:val="20"/>
                <w:color w:val="auto"/>
              </w:rPr>
            </w:pPr>
            <w:r>
              <w:rPr>
                <w:rFonts w:ascii="Arial" w:cs="Arial" w:eastAsia="Arial" w:hAnsi="Arial"/>
                <w:sz w:val="16"/>
                <w:szCs w:val="16"/>
                <w:b w:val="1"/>
                <w:bCs w:val="1"/>
                <w:color w:val="auto"/>
              </w:rPr>
              <w:t>June 30, 2019</w:t>
            </w:r>
          </w:p>
        </w:tc>
      </w:tr>
      <w:tr>
        <w:trPr>
          <w:trHeight w:val="250"/>
        </w:trPr>
        <w:tc>
          <w:tcPr>
            <w:tcW w:w="9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Pr>
          <w:p>
            <w:pPr>
              <w:spacing w:after="0"/>
              <w:rPr>
                <w:sz w:val="21"/>
                <w:szCs w:val="21"/>
                <w:color w:val="auto"/>
              </w:rPr>
            </w:pPr>
          </w:p>
        </w:tc>
      </w:tr>
      <w:tr>
        <w:trPr>
          <w:trHeight w:val="243"/>
        </w:trPr>
        <w:tc>
          <w:tcPr>
            <w:tcW w:w="9000" w:type="dxa"/>
            <w:vAlign w:val="bottom"/>
          </w:tcPr>
          <w:p>
            <w:pPr>
              <w:ind w:left="180"/>
              <w:spacing w:after="0"/>
              <w:rPr>
                <w:sz w:val="20"/>
                <w:szCs w:val="20"/>
                <w:color w:val="auto"/>
              </w:rPr>
            </w:pPr>
            <w:r>
              <w:rPr>
                <w:rFonts w:ascii="Arial" w:cs="Arial" w:eastAsia="Arial" w:hAnsi="Arial"/>
                <w:sz w:val="18"/>
                <w:szCs w:val="18"/>
                <w:color w:val="auto"/>
              </w:rPr>
              <w:t>Operating cash flows from leases</w:t>
            </w:r>
          </w:p>
        </w:tc>
        <w:tc>
          <w:tcPr>
            <w:tcW w:w="920" w:type="dxa"/>
            <w:vAlign w:val="bottom"/>
          </w:tcPr>
          <w:p>
            <w:pPr>
              <w:jc w:val="right"/>
              <w:ind w:right="71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Lease Term and Discount Rate</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Pr>
          <w:p>
            <w:pPr>
              <w:spacing w:after="0"/>
              <w:rPr>
                <w:sz w:val="21"/>
                <w:szCs w:val="21"/>
                <w:color w:val="auto"/>
              </w:rPr>
            </w:pPr>
          </w:p>
        </w:tc>
      </w:tr>
      <w:tr>
        <w:trPr>
          <w:trHeight w:val="243"/>
        </w:trPr>
        <w:tc>
          <w:tcPr>
            <w:tcW w:w="9000" w:type="dxa"/>
            <w:vAlign w:val="bottom"/>
          </w:tcPr>
          <w:p>
            <w:pPr>
              <w:ind w:left="180"/>
              <w:spacing w:after="0"/>
              <w:rPr>
                <w:sz w:val="20"/>
                <w:szCs w:val="20"/>
                <w:color w:val="auto"/>
              </w:rPr>
            </w:pPr>
            <w:r>
              <w:rPr>
                <w:rFonts w:ascii="Arial" w:cs="Arial" w:eastAsia="Arial" w:hAnsi="Arial"/>
                <w:sz w:val="18"/>
                <w:szCs w:val="18"/>
                <w:color w:val="auto"/>
              </w:rPr>
              <w:t>Weighted average remaining lease term (years)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9.15</w:t>
            </w:r>
          </w:p>
        </w:tc>
        <w:tc>
          <w:tcPr>
            <w:tcW w:w="32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discount rate</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1"/>
                <w:szCs w:val="21"/>
                <w:color w:val="auto"/>
              </w:rPr>
            </w:pPr>
          </w:p>
        </w:tc>
      </w:tr>
      <w:tr>
        <w:trPr>
          <w:trHeight w:val="432"/>
        </w:trPr>
        <w:tc>
          <w:tcPr>
            <w:tcW w:w="9000" w:type="dxa"/>
            <w:vAlign w:val="bottom"/>
          </w:tcPr>
          <w:p>
            <w:pPr>
              <w:spacing w:after="0"/>
              <w:rPr>
                <w:sz w:val="20"/>
                <w:szCs w:val="20"/>
                <w:color w:val="auto"/>
              </w:rPr>
            </w:pPr>
            <w:r>
              <w:rPr>
                <w:rFonts w:ascii="Arial" w:cs="Arial" w:eastAsia="Arial" w:hAnsi="Arial"/>
                <w:sz w:val="18"/>
                <w:szCs w:val="18"/>
                <w:color w:val="auto"/>
              </w:rPr>
              <w:t>Maturities of lease liabilities as of June 30, 2019 were as follows: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35"/>
        </w:trPr>
        <w:tc>
          <w:tcPr>
            <w:tcW w:w="9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2"/>
          </w:tcPr>
          <w:p>
            <w:pPr>
              <w:spacing w:after="0"/>
              <w:rPr>
                <w:sz w:val="11"/>
                <w:szCs w:val="11"/>
                <w:color w:val="auto"/>
              </w:rPr>
            </w:pPr>
          </w:p>
        </w:tc>
      </w:tr>
      <w:tr>
        <w:trPr>
          <w:trHeight w:val="244"/>
        </w:trPr>
        <w:tc>
          <w:tcPr>
            <w:tcW w:w="9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w w:val="89"/>
              </w:rPr>
              <w:t>Operating Leases</w:t>
            </w:r>
          </w:p>
        </w:tc>
      </w:tr>
      <w:tr>
        <w:trPr>
          <w:trHeight w:val="25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fiscal 2020</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1,978</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1,583</w:t>
            </w:r>
          </w:p>
        </w:tc>
      </w:tr>
      <w:tr>
        <w:trPr>
          <w:trHeight w:val="27"/>
        </w:trPr>
        <w:tc>
          <w:tcPr>
            <w:tcW w:w="9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1,306</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1,176</w:t>
            </w:r>
          </w:p>
        </w:tc>
      </w:tr>
      <w:tr>
        <w:trPr>
          <w:trHeight w:val="27"/>
        </w:trPr>
        <w:tc>
          <w:tcPr>
            <w:tcW w:w="9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1,114</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4,959</w:t>
            </w:r>
          </w:p>
        </w:tc>
      </w:tr>
      <w:tr>
        <w:trPr>
          <w:trHeight w:val="27"/>
        </w:trPr>
        <w:tc>
          <w:tcPr>
            <w:tcW w:w="90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44"/>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12,116</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Less: Interest</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(2,203)</w:t>
            </w:r>
          </w:p>
        </w:tc>
      </w:tr>
      <w:tr>
        <w:trPr>
          <w:trHeight w:val="27"/>
        </w:trPr>
        <w:tc>
          <w:tcPr>
            <w:tcW w:w="90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57"/>
        </w:trPr>
        <w:tc>
          <w:tcPr>
            <w:tcW w:w="9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9,913</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4" w:right="259" w:bottom="1440" w:gutter="0" w:footer="0" w:header="0"/>
        </w:sectPr>
      </w:pPr>
    </w:p>
    <w:bookmarkStart w:id="13" w:name="page14"/>
    <w:bookmarkEnd w:id="13"/>
    <w:p>
      <w:pPr>
        <w:ind w:right="20"/>
        <w:spacing w:after="0" w:line="277" w:lineRule="auto"/>
        <w:rPr>
          <w:sz w:val="20"/>
          <w:szCs w:val="20"/>
          <w:color w:val="auto"/>
        </w:rPr>
      </w:pPr>
      <w:r>
        <w:rPr>
          <w:rFonts w:ascii="Arial" w:cs="Arial" w:eastAsia="Arial" w:hAnsi="Arial"/>
          <w:sz w:val="18"/>
          <w:szCs w:val="18"/>
          <w:color w:val="auto"/>
        </w:rPr>
        <w:t>As we have not restated prior year information for our adoption of ASC Topic 842, the following represents our future minimum lease payments for operating leases under ASC Topic 840 on March 31,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87"/>
              </w:rPr>
              <w:t>Operating Leases</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1,783</w:t>
            </w:r>
          </w:p>
        </w:tc>
      </w:tr>
      <w:tr>
        <w:trPr>
          <w:trHeight w:val="27"/>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1,352</w:t>
            </w:r>
          </w:p>
        </w:tc>
      </w:tr>
      <w:tr>
        <w:trPr>
          <w:trHeight w:val="27"/>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5,473</w:t>
            </w:r>
          </w:p>
        </w:tc>
      </w:tr>
      <w:tr>
        <w:trPr>
          <w:trHeight w:val="27"/>
        </w:trPr>
        <w:tc>
          <w:tcPr>
            <w:tcW w:w="9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13,396</w:t>
            </w:r>
          </w:p>
        </w:tc>
      </w:tr>
      <w:tr>
        <w:trPr>
          <w:trHeight w:val="20"/>
        </w:trPr>
        <w:tc>
          <w:tcPr>
            <w:tcW w:w="9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Share-Based Compensation</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i w:val="1"/>
          <w:iCs w:val="1"/>
          <w:color w:val="auto"/>
        </w:rPr>
        <w:t>Performance-Based Restricted Stock Units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Board of Directors (the “Board”) approved a performance-based equity compensation arrangement for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officers during the first quarters of each of fiscal 2020 and fiscal 2019.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69,632 shares in the aggregate for fiscal 2020. The restricted shares issued, if any, will fully vest two years after the last day of the fiscal year on which the performance is based. We are recording the compensation expense for the outstanding performance share units and the converted restricted stock over the life of the awards.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three months ended June 30, 2019:</w:t>
      </w:r>
    </w:p>
    <w:p>
      <w:pPr>
        <w:spacing w:after="0" w:line="172"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8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114"/>
              <w:spacing w:after="0"/>
              <w:rPr>
                <w:sz w:val="20"/>
                <w:szCs w:val="20"/>
                <w:color w:val="auto"/>
              </w:rPr>
            </w:pPr>
            <w:r>
              <w:rPr>
                <w:rFonts w:ascii="Arial" w:cs="Arial" w:eastAsia="Arial" w:hAnsi="Arial"/>
                <w:sz w:val="16"/>
                <w:szCs w:val="16"/>
                <w:b w:val="1"/>
                <w:bCs w:val="1"/>
                <w:color w:val="auto"/>
                <w:w w:val="93"/>
              </w:rPr>
              <w:t>Weighted-</w:t>
            </w:r>
          </w:p>
        </w:tc>
      </w:tr>
      <w:tr>
        <w:trPr>
          <w:trHeight w:val="203"/>
        </w:trPr>
        <w:tc>
          <w:tcPr>
            <w:tcW w:w="8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134"/>
              <w:spacing w:after="0"/>
              <w:rPr>
                <w:sz w:val="20"/>
                <w:szCs w:val="20"/>
                <w:color w:val="auto"/>
              </w:rPr>
            </w:pPr>
            <w:r>
              <w:rPr>
                <w:rFonts w:ascii="Arial" w:cs="Arial" w:eastAsia="Arial" w:hAnsi="Arial"/>
                <w:sz w:val="16"/>
                <w:szCs w:val="16"/>
                <w:b w:val="1"/>
                <w:bCs w:val="1"/>
                <w:color w:val="auto"/>
                <w:w w:val="92"/>
              </w:rPr>
              <w:t>Average Grant</w:t>
            </w:r>
          </w:p>
        </w:tc>
      </w:tr>
      <w:tr>
        <w:trPr>
          <w:trHeight w:val="210"/>
        </w:trPr>
        <w:tc>
          <w:tcPr>
            <w:tcW w:w="8060" w:type="dxa"/>
            <w:vAlign w:val="bottom"/>
          </w:tcPr>
          <w:p>
            <w:pPr>
              <w:spacing w:after="0"/>
              <w:rPr>
                <w:sz w:val="18"/>
                <w:szCs w:val="18"/>
                <w:color w:val="auto"/>
              </w:rPr>
            </w:pPr>
          </w:p>
        </w:tc>
        <w:tc>
          <w:tcPr>
            <w:tcW w:w="1420" w:type="dxa"/>
            <w:vAlign w:val="bottom"/>
            <w:gridSpan w:val="2"/>
          </w:tcPr>
          <w:p>
            <w:pPr>
              <w:ind w:left="42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8"/>
                <w:szCs w:val="18"/>
                <w:color w:val="auto"/>
              </w:rPr>
            </w:pPr>
          </w:p>
        </w:tc>
        <w:tc>
          <w:tcPr>
            <w:tcW w:w="1480" w:type="dxa"/>
            <w:vAlign w:val="bottom"/>
          </w:tcPr>
          <w:p>
            <w:pPr>
              <w:jc w:val="center"/>
              <w:ind w:right="114"/>
              <w:spacing w:after="0"/>
              <w:rPr>
                <w:sz w:val="20"/>
                <w:szCs w:val="20"/>
                <w:color w:val="auto"/>
              </w:rPr>
            </w:pPr>
            <w:r>
              <w:rPr>
                <w:rFonts w:ascii="Arial" w:cs="Arial" w:eastAsia="Arial" w:hAnsi="Arial"/>
                <w:sz w:val="16"/>
                <w:szCs w:val="16"/>
                <w:b w:val="1"/>
                <w:bCs w:val="1"/>
                <w:color w:val="auto"/>
                <w:w w:val="93"/>
              </w:rPr>
              <w:t>Date Fair Value</w:t>
            </w:r>
          </w:p>
        </w:tc>
      </w:tr>
      <w:tr>
        <w:trPr>
          <w:trHeight w:val="33"/>
        </w:trPr>
        <w:tc>
          <w:tcPr>
            <w:tcW w:w="80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43.66</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69,252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34.49</w:t>
            </w:r>
          </w:p>
        </w:tc>
      </w:tr>
      <w:tr>
        <w:trPr>
          <w:trHeight w:val="27"/>
        </w:trPr>
        <w:tc>
          <w:tcPr>
            <w:tcW w:w="8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46.01</w:t>
            </w: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74,515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34.27</w:t>
            </w:r>
          </w:p>
        </w:tc>
      </w:tr>
      <w:tr>
        <w:trPr>
          <w:trHeight w:val="27"/>
        </w:trPr>
        <w:tc>
          <w:tcPr>
            <w:tcW w:w="80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8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recorded compensation expense related to performance share units and restricted stock of $0.3 million for both the three months ended June 30, 2019 and July 1, 2018. Substantially all of the compensation expense was recorded in selling, general and administrative expenses in the condensed consolidated statements of income.</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Restricted Stock Awards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part of their retainer, each non-employee director receives an annual grant of restricted stock for their Board of Director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restricted stock awards are expensed over the requisite vesting period, which is one year from the date of issuance, based on the market value on the date of grant. As of June 30, 2019, there were 8,352 shares of restricted stock with a grant date fair value of $35.90 outstanding under this program. Compensation expense for both the three months ended June 30, 2019 and July 1, 2018 related to restricted stock awards to the Board was $0.1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Share Repurchase Program</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board of directors has authorized the repurchase of up to 800,000 shares of our outstanding common stock for cash on the open market or in privately negotiated transactions subject to applicable securities laws and regulations. Upon purchase of the shares, we reduce our common stock for the par value of the shares with the excess applied against additional paid-in capital. During the three months ended June 30, 2019, we repurchased 47,136 shares at an aggregate purchase price of $1.8 million. No shares were repurchased during the first three months of fiscal 2019. As of June 30, 2019, 457,244 shares remained available to be repurchased under the share repurchase program.</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14 – Litigation, Commitments and Contingencies</w:t>
      </w:r>
    </w:p>
    <w:p>
      <w:pPr>
        <w:spacing w:after="0" w:line="229"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color w:val="auto"/>
        </w:rPr>
        <w:t>There are no material pending legal proceedings, other than ordinary routine litigation incidental to the business, to which we or any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are a party or of which any of our property is the subject. Legal fees associated with such matters are expensed as incurred.</w:t>
      </w:r>
    </w:p>
    <w:p>
      <w:pPr>
        <w:spacing w:after="0" w:line="14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b w:val="1"/>
          <w:bCs w:val="1"/>
          <w:i w:val="1"/>
          <w:iCs w:val="1"/>
          <w:color w:val="auto"/>
        </w:rPr>
        <w:t xml:space="preserve">Environmental Remediation. </w:t>
      </w:r>
      <w:r>
        <w:rPr>
          <w:rFonts w:ascii="Arial" w:cs="Arial" w:eastAsia="Arial" w:hAnsi="Arial"/>
          <w:sz w:val="18"/>
          <w:szCs w:val="18"/>
          <w:color w:val="auto"/>
        </w:rPr>
        <w:t>During fiscal 2018, we recorded a liability of $0.6 million related to estimated remediation expenses associated with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contamination at our Minneapolis facility. The liability was $0.3 million as of June 30, 2019 and $0.4 million as of March 31, 2019. Given the many uncertainties involved in assessing environmental claims, our reserves may prove to be insufficient. While it is possible that additional expenses related to remediation will be incurred in future periods if currently unknown issues arise, we are unable to estimate the extent of any further financial impact at this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three reportable segments: Industrial, Water Treatment, and Health and Nutrition. The accounting policies of the segments are the same as those described in the summary of significant accounting policies in our fiscal 2019 Annual Report on Form 10-K.</w:t>
      </w:r>
    </w:p>
    <w:p>
      <w:pPr>
        <w:spacing w:after="0" w:line="170" w:lineRule="exact"/>
        <w:rPr>
          <w:sz w:val="20"/>
          <w:szCs w:val="20"/>
          <w:color w:val="auto"/>
        </w:rPr>
      </w:pPr>
    </w:p>
    <w:p>
      <w:pPr>
        <w:ind w:right="40"/>
        <w:spacing w:after="0" w:line="320" w:lineRule="auto"/>
        <w:rPr>
          <w:sz w:val="20"/>
          <w:szCs w:val="20"/>
          <w:color w:val="auto"/>
        </w:rPr>
      </w:pPr>
      <w:r>
        <w:rPr>
          <w:rFonts w:ascii="Arial" w:cs="Arial" w:eastAsia="Arial" w:hAnsi="Arial"/>
          <w:sz w:val="15"/>
          <w:szCs w:val="15"/>
          <w:color w:val="auto"/>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Other than our Health and Nutrition segment, the segments do not have separate accounting, administration, customer service or purchasing functions. We allocate certain corporate expenses to our operating segments. There are no intersegment sales and no operating segments have been aggregated. No single customer’s revenues amounted to 10% or more of our total revenue. Sales are primarily within the United States and all assets are located within the United States.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Water</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Health and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5"/>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2"/>
                <w:szCs w:val="22"/>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Industrial</w:t>
            </w:r>
          </w:p>
        </w:tc>
        <w:tc>
          <w:tcPr>
            <w:tcW w:w="200" w:type="dxa"/>
            <w:vAlign w:val="bottom"/>
          </w:tcPr>
          <w:p>
            <w:pPr>
              <w:spacing w:after="0"/>
              <w:rPr>
                <w:sz w:val="22"/>
                <w:szCs w:val="22"/>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Treatment</w:t>
            </w:r>
          </w:p>
        </w:tc>
        <w:tc>
          <w:tcPr>
            <w:tcW w:w="180" w:type="dxa"/>
            <w:vAlign w:val="bottom"/>
          </w:tcPr>
          <w:p>
            <w:pPr>
              <w:spacing w:after="0"/>
              <w:rPr>
                <w:sz w:val="22"/>
                <w:szCs w:val="2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Nutrition</w:t>
            </w:r>
          </w:p>
        </w:tc>
        <w:tc>
          <w:tcPr>
            <w:tcW w:w="300" w:type="dxa"/>
            <w:vAlign w:val="bottom"/>
          </w:tcPr>
          <w:p>
            <w:pPr>
              <w:spacing w:after="0"/>
              <w:rPr>
                <w:sz w:val="22"/>
                <w:szCs w:val="22"/>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June 30, 2019:</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75,325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43,252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28,759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147,336</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28,797</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14,836</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Three months ended July 1, 2018:</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149,800</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10,443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11,437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6,577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28,457</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14,979</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4,956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13,478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significant changes to identifiable assets by segment occurred during the three months ended June 30, 2019.</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5" w:name="page16"/>
    <w:bookmarkEnd w:id="15"/>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30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is a discussion and analysis of our financial condition and results of operations for the three months ended June 30, 2019 as compared to the similar period ended July 1, 2018. This discussion should be read in conjunction with the condensed consolidated financial statements and notes to condensed consolidated financial statements included in this quarterly report on Form 10-Q and Item 8 of our Annual Report on Form 10-K for the fiscal year ended March 31, 2019 (“fiscal 2019”). References to “fiscal 2020” refer to the fiscal year ending March 29,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and specialty ingredients, including manufacturing, blending, and repackaging certain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focus on total profitability dollars when evaluating our financial results as opposed to profitability as a percentage of sales, as sales dollars tend to fluctuate, particularly in our Industrial and Water Treatment segments, as raw material costs rise and fall. The costs for certain of our raw materials can rise or fall rapidly, causing fluctuations in gross profit as a percentage of sales.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use the last in, first out (“LIFO”) method for valuing the majority of our inventory in our Industrial and Water Treatment segments, which causes the most recent product costs for those products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Inventories in the Health and Nutrition segment are valued using the first-in, first-out (“FIFO”) method.</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Industrial and Water Treatment segments sell bulk commodity products. We disclose the sales of our bulk commodity products as a percentage of total sales dollars within each of those segments. Our definition of bulk commodity products includes products that we do not modify in any way, but receive, store, and ship from our facilities, or direct ship to our customers in large quantities. We review our sales reporting on a periodic basis to ensure we are including all products that meet this definition.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356" w:lineRule="exact"/>
        <w:rPr>
          <w:sz w:val="20"/>
          <w:szCs w:val="20"/>
          <w:color w:val="auto"/>
        </w:rPr>
      </w:pPr>
    </w:p>
    <w:p>
      <w:pPr>
        <w:ind w:left="8720"/>
        <w:spacing w:after="0"/>
        <w:rPr>
          <w:sz w:val="20"/>
          <w:szCs w:val="20"/>
          <w:color w:val="auto"/>
        </w:rPr>
      </w:pPr>
      <w:r>
        <w:rPr>
          <w:rFonts w:ascii="Arial" w:cs="Arial" w:eastAsia="Arial" w:hAnsi="Arial"/>
          <w:sz w:val="18"/>
          <w:szCs w:val="18"/>
          <w:b w:val="1"/>
          <w:bCs w:val="1"/>
          <w:color w:val="auto"/>
        </w:rPr>
        <w:t>Three months ended</w:t>
      </w:r>
    </w:p>
    <w:p>
      <w:pPr>
        <w:spacing w:after="0" w:line="34" w:lineRule="exact"/>
        <w:rPr>
          <w:sz w:val="20"/>
          <w:szCs w:val="20"/>
          <w:color w:val="auto"/>
        </w:rPr>
      </w:pPr>
    </w:p>
    <w:tbl>
      <w:tblPr>
        <w:tblLayout w:type="fixed"/>
        <w:tblInd w:w="240" w:type="dxa"/>
        <w:tblCellMar>
          <w:top w:w="0" w:type="dxa"/>
          <w:left w:w="0" w:type="dxa"/>
          <w:bottom w:w="0" w:type="dxa"/>
          <w:right w:w="0" w:type="dxa"/>
        </w:tblCellMar>
      </w:tblPr>
      <w:tr>
        <w:trPr>
          <w:trHeight w:val="284"/>
        </w:trPr>
        <w:tc>
          <w:tcPr>
            <w:tcW w:w="7580" w:type="dxa"/>
            <w:vAlign w:val="bottom"/>
            <w:tcBorders>
              <w:top w:val="single" w:sz="8" w:color="CCEEFF"/>
              <w:bottom w:val="single" w:sz="8" w:color="CCEEFF"/>
            </w:tcBorders>
            <w:shd w:val="clear" w:color="auto" w:fill="CCEEFF"/>
          </w:tcPr>
          <w:p>
            <w:pPr>
              <w:spacing w:after="0"/>
              <w:rPr>
                <w:sz w:val="24"/>
                <w:szCs w:val="24"/>
                <w:color w:val="auto"/>
              </w:rPr>
            </w:pPr>
          </w:p>
        </w:tc>
        <w:tc>
          <w:tcPr>
            <w:tcW w:w="1740" w:type="dxa"/>
            <w:vAlign w:val="bottom"/>
            <w:tcBorders>
              <w:top w:val="single" w:sz="8" w:color="auto"/>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June 30, 2019</w:t>
            </w:r>
          </w:p>
        </w:tc>
        <w:tc>
          <w:tcPr>
            <w:tcW w:w="164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July 1, 2018</w:t>
            </w: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Sales</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7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19.5 %</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19.0 %</w:t>
            </w:r>
          </w:p>
        </w:tc>
      </w:tr>
      <w:tr>
        <w:trPr>
          <w:trHeight w:val="27"/>
        </w:trPr>
        <w:tc>
          <w:tcPr>
            <w:tcW w:w="7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9.4 %</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9.0 %</w:t>
            </w:r>
          </w:p>
        </w:tc>
      </w:tr>
      <w:tr>
        <w:trPr>
          <w:trHeight w:val="27"/>
        </w:trPr>
        <w:tc>
          <w:tcPr>
            <w:tcW w:w="7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62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75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75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584" w:right="279" w:bottom="1440" w:gutter="0" w:footer="0" w:header="0"/>
        </w:sectPr>
      </w:pPr>
    </w:p>
    <w:bookmarkStart w:id="16" w:name="page17"/>
    <w:bookmarkEnd w:id="16"/>
    <w:p>
      <w:pPr>
        <w:ind w:right="5160"/>
        <w:spacing w:after="0" w:line="438" w:lineRule="auto"/>
        <w:rPr>
          <w:sz w:val="20"/>
          <w:szCs w:val="20"/>
          <w:color w:val="auto"/>
        </w:rPr>
      </w:pPr>
      <w:r>
        <w:rPr>
          <w:rFonts w:ascii="Arial" w:cs="Arial" w:eastAsia="Arial" w:hAnsi="Arial"/>
          <w:sz w:val="18"/>
          <w:szCs w:val="18"/>
          <w:b w:val="1"/>
          <w:bCs w:val="1"/>
          <w:i w:val="1"/>
          <w:iCs w:val="1"/>
          <w:color w:val="auto"/>
        </w:rPr>
        <w:t xml:space="preserve">Three Months Ended June 30, 2019 Compared to Three Months Ended July 1, 2018 </w:t>
      </w:r>
      <w:r>
        <w:rPr>
          <w:rFonts w:ascii="Arial" w:cs="Arial" w:eastAsia="Arial" w:hAnsi="Arial"/>
          <w:sz w:val="18"/>
          <w:szCs w:val="18"/>
          <w:i w:val="1"/>
          <w:iCs w:val="1"/>
          <w:color w:val="auto"/>
        </w:rPr>
        <w:t>Sales</w:t>
      </w:r>
    </w:p>
    <w:p>
      <w:pPr>
        <w:spacing w:after="0" w:line="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Sales decreased $2.5 million, or 1.6%, to $147.3 million for the three months ended June 30, 2019, as compared to $149.8 million for the same period of the prior year.</w:t>
      </w:r>
    </w:p>
    <w:p>
      <w:pPr>
        <w:spacing w:after="0" w:line="116"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Industrial Segment. </w:t>
      </w:r>
      <w:r>
        <w:rPr>
          <w:rFonts w:ascii="Arial" w:cs="Arial" w:eastAsia="Arial" w:hAnsi="Arial"/>
          <w:sz w:val="17"/>
          <w:szCs w:val="17"/>
          <w:color w:val="auto"/>
        </w:rPr>
        <w:t>Industrial segment sales increased $1.3 million, or 1.8%, to $75.3 million for the three months ended June 30, 2019, as compared to $74.0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same period of the prior year. Sales of bulk commodity products in the Industrial segment were approximately 20% of sales dollars for both the three months ended June 30, 2019 and for the same period in the prior year. Sales dollars increased from the prior year due to an increase in overall sales volumes, primarily volumes of our specialty products. The increased sales volumes of bulk and specialty products was partially attributable to heavy rains and flooding along the Mississippi River, which increased demand from certain customers.</w:t>
      </w:r>
    </w:p>
    <w:p>
      <w:pPr>
        <w:spacing w:after="0" w:line="11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Water Treatment segment sales increased $2.4 million, or 5.8%, to $43.3 million for the three months ended June 30, 2019,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$40.9 million for the same period of the prior year. Sales of bulk commodity products in the Water Treatment segment were approximately 11% of sales dollars for the three months ended June 30, 2019 and 14% of sales dollars for the same period in the prior year. The increase in sales dollars was driven by increased volumes sold of certain specialty products that carry higher per-unit selling prices.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Health and Nutrition segment sales decreased $6.2 million, or 17.6%, to $28.8 million for the three months ended June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$34.9 million the same period of the prior year. The decrease in sales was driven by decreased sales of certain specialty distributed products. The majority of the decrease was due to a previously anticipated temporary worldwide supply shortage of a significant product and the ramp-up of sales with new partners replacing previous product lines.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Gross profit was $28.8 million, or 19.5% of sales, for the three months ended June 30, 2019, an increase of $0.3 million from $28.5 million, or 19.0% of sales, for the same period of the prior year. During the three months ended June 30, 2019, the LIFO reserve did not change and, therefore, did not impact gross profit. In the same period of the prior year, the LIFO reserve increased, and gross profit decreased, by $0.3 million.</w:t>
      </w:r>
    </w:p>
    <w:p>
      <w:pPr>
        <w:spacing w:after="0" w:line="11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Industrial Segment. </w:t>
      </w:r>
      <w:r>
        <w:rPr>
          <w:rFonts w:ascii="Arial" w:cs="Arial" w:eastAsia="Arial" w:hAnsi="Arial"/>
          <w:sz w:val="17"/>
          <w:szCs w:val="17"/>
          <w:color w:val="auto"/>
        </w:rPr>
        <w:t>Gross profit for the Industrial segment increased $0.5 million to $10.9 million, or 14.5% of sales, for the three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2019, as compared to $10.4 million, or 14.1% of sales, for the same period of the prior year. During the current quarter, the LIFO reserve did not change and, therefore, did not impact gross profit. In the same period a year ago, the LIFO reserve increased, and gross profit decreased, by $0.3 million. Total gross profit increased from a year ago due to the increase in sales as well as decreased operational costs.</w:t>
      </w:r>
    </w:p>
    <w:p>
      <w:pPr>
        <w:spacing w:after="0" w:line="1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$0.7 million to $12.1 million, or 28.0% of sales,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2019, as compared to $11.4 million, or 28.0% of sales, for the same period of the prior year. During the current and prior year quarters, the LIFO reserve did not change and, therefore, did not impact gross profit. Gross profit increased as a result of higher sales compared to a year ago, offset somewhat by higher operating costs.</w:t>
      </w:r>
    </w:p>
    <w:p>
      <w:pPr>
        <w:spacing w:after="0" w:line="13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decreased $0.8 million to $5.8 million, or 20.1% of sales,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2019, as compared to $6.6 million, or 18.8% of sales, for the same period of the prior year. Gross profit decreased as a result of lower sales.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Selling, general and administrative (“SG&amp;A”) expenses were $14.8 million, or 10.1% of sales, for the three months ended June 30, 2019, a decrease of $0.2 million from $15.0 million, or 10.0% of sales, for the same period of the prior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Operating income increased $0.5 million to $14.0 million, or 9.4% of sales, for the three months ended June 30, 2019, as compared to $13.5 million, or 9.0% of sales, for the same period of the prior year due to the combined impact of the factors discussed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expense was $0.8 million for the three months ended June 30, 2019 compared to $0.9 million for the same period of the prior year. Interest expense decreased due to lower outstanding borrowings compared to the prior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Other (expense) income</w:t>
      </w:r>
    </w:p>
    <w:p>
      <w:pPr>
        <w:spacing w:after="0" w:line="17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Other income was $0.1 million for the three months ended June 30, 2019, an increase of $0.1 million compared to nominal other expense for the first quarter of last fiscal year. Other (expense) income represents gains or losses recorded on investments held for our non-qualified deferred compensation plan. The amount recorded as a gain or loss is offset by a similar reduction or increase to compensation expense recorded within SG&amp;A expenses.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effective income tax rate was 26.3% for the three months ended June 30, 2019. Our effective tax rate for the three months ended July 1, 2018 was 27.3%.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is impacted by projected levels of annual taxable income, permanent items, and state taxes.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was $5.6 million at June 30, 2019, a decrease of $3.6 million as compared with the $9.2 million available as of March 31, 2019.</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Cash provided by operating activities was $10.1 million for the three months ended June 30, 2019, compared to cash provided by operating activities of $6.8 million for the same period of the prior year. The year-over-year increase in cash provided by operating activities was primarily driven by the change in inventories, with total inventory decreasing in the first quarter of fiscal 2020 compared to a large increase in the first quarter of fiscal 2019. Due to flooding along the Mississippi River in the first quarter of fiscal 2020, we were only able to receive a limited number of barges of bulk chemicals into inventory, and thus our total inventory levels declined. In the first quarter of the prior year, we were able to receive a larger number of barges. Due to the nature of our operations, which includes purchases of large quantities of bulk chemicals, timing of purchases can result in significant changes in working capital investment and the resulting operating cash flow. Typically, our cash requirements increase during the period from April through November as caustic soda inventory levels increase as the majority of barges are received during this period.</w:t>
      </w:r>
    </w:p>
    <w:p>
      <w:pPr>
        <w:spacing w:after="0" w:line="1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Cash used in investing activities was $9.1 million for the three months ended June 30, 2019, compared to $2.3 million for the same period of the prior year. Capital expenditures were $9.2 million for the three months ended June 30, 2019, compared to $2.4 million in the same period of the prior year. We purchased our previously leased corporate headquarters facility in the first quarter of the current fiscal year, which drove the increase in capital spending.</w:t>
      </w:r>
    </w:p>
    <w:p>
      <w:pPr>
        <w:spacing w:after="0" w:line="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Cash used in financing activities was $4.6 million for the three months ended June 30, 2019, compared to cash provided by financing activities of $4.3 million in the same period of the prior year. Included in financing activities in the current year were dividend payments of $2.5 million and share repurchases of $1.8 million. In the first three months of the prior year, we made dividend payments of $4.7 million. The year-over-year change in dividend payments resulted from changing from semi-annual dividends previously to quarterly payments made currently.</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our cash balances and funds available under our credit facility, discussed below, along with cash flows generated from operations, will be sufficient to fund the cash requirements of our ongoing operations for the foreseeable future.</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Board of Directors has authorized the repurchase of up to 800,000 shares of our outstanding common stock, including an increase of 500,000 shares in February 2019. The shares may be 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the first quarter of fiscal 2020, we repurchased 47,136 shares of common stock with an aggregate purchase price of $1.8 million. No shares were repurchased during the first quarter of fiscal 2019. As of June 30, 2019, 457,244 shares remained available for purchase under the program</w:t>
      </w:r>
    </w:p>
    <w:p>
      <w:pPr>
        <w:spacing w:after="0" w:line="193" w:lineRule="exact"/>
        <w:rPr>
          <w:sz w:val="20"/>
          <w:szCs w:val="20"/>
          <w:color w:val="auto"/>
        </w:rPr>
      </w:pPr>
    </w:p>
    <w:p>
      <w:pPr>
        <w:jc w:val="both"/>
        <w:ind w:right="620"/>
        <w:spacing w:after="0" w:line="288" w:lineRule="auto"/>
        <w:rPr>
          <w:sz w:val="20"/>
          <w:szCs w:val="20"/>
          <w:color w:val="auto"/>
        </w:rPr>
      </w:pPr>
      <w:r>
        <w:rPr>
          <w:rFonts w:ascii="Arial" w:cs="Arial" w:eastAsia="Arial" w:hAnsi="Arial"/>
          <w:sz w:val="16"/>
          <w:szCs w:val="16"/>
          <w:color w:val="auto"/>
        </w:rPr>
        <w:t>We are party to an amended and restated credit agreement (the “Credit Agreement”) with U.S. Bank National Association (“U.S. Bank”) as Sole Lead Arranger and Sole Book Runner, and other lenders from time to time party thereto (collectively, the “Lenders”), whereby U.S. Bank is also serving as Administrative Agent. The Credit Agreement provides us with senior secured revolving credit facilities (the “Revolving Loan Facility”) totaling</w:t>
      </w:r>
    </w:p>
    <w:p>
      <w:pPr>
        <w:jc w:val="both"/>
        <w:ind w:right="180"/>
        <w:spacing w:after="0" w:line="255" w:lineRule="auto"/>
        <w:rPr>
          <w:sz w:val="20"/>
          <w:szCs w:val="20"/>
          <w:color w:val="auto"/>
        </w:rPr>
      </w:pPr>
      <w:r>
        <w:rPr>
          <w:rFonts w:ascii="Arial" w:cs="Arial" w:eastAsia="Arial" w:hAnsi="Arial"/>
          <w:sz w:val="18"/>
          <w:szCs w:val="18"/>
          <w:color w:val="auto"/>
        </w:rPr>
        <w:t>$150.0 million. The Revolving Loan Facility includes a $5.0 million letter of credit subfacility and $15.0 million swingline subfacility. The Revolving Loan Facility has a five-year maturity date, maturing on November 30, 2023. The Revolving Loan Facility is secured by substantially all of our personal property assets and those of our subsidiaries.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8" w:name="page19"/>
    <w:bookmarkEnd w:id="18"/>
    <w:p>
      <w:pPr>
        <w:ind w:right="80"/>
        <w:spacing w:after="0" w:line="291" w:lineRule="auto"/>
        <w:rPr>
          <w:sz w:val="20"/>
          <w:szCs w:val="20"/>
          <w:color w:val="auto"/>
        </w:rPr>
      </w:pPr>
      <w:r>
        <w:rPr>
          <w:rFonts w:ascii="Arial" w:cs="Arial" w:eastAsia="Arial" w:hAnsi="Arial"/>
          <w:sz w:val="16"/>
          <w:szCs w:val="16"/>
          <w:color w:val="auto"/>
        </w:rPr>
        <w:t>Borrowings under the Revolving Loan Facility bear interest at a rate per annum equal to one of the following, plus, in both cases, an applicable margin based upon our leverage ratio: (a) LIBOR for an interest period of one, two, three or six months as selected by us, reset at the end of the selected interest period, or</w:t>
      </w:r>
    </w:p>
    <w:p>
      <w:pPr>
        <w:ind w:firstLine="8"/>
        <w:spacing w:after="0" w:line="287"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 base rate determined by reference to the highest of (1) U. S. Bank’s prime rate, (2) the Federal Funds Effective Rate plus 0.5%, or (3) one-month LIBOR for U.S. dollars plus 1.0%. The LIBOR margin is between 0.85% - 1.35%, depending on our leverage ratio. The base rate margin is between 0.00% - 0.35%, depending on our leverage ratio. In the event that the ICE Benchmark Administration (or any person that takes over administration of such rate) determines that LIBOR is no longer available, including as a result of the intended phase out of LIBOR by the end of 2021, our Revolving Loan Facility provides for an alternative rate of interest to be jointly determined by us and U.S. Bank, as administrative agent, that gives due consideration to the then prevailing market convention for determining a rate of interest for syndicated loans in the United States. Once such successor rate has been approved by us and U.S. Bank, the Revolving Credit Loan Facility would be amended to use such successor rate without any further action or consent of any other lender, so long as the administrative agent does not receive any objection from any other lender. At June 30, 2019, the effective interest rate on our borrowing was 3.1%.</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addition to paying interest on the outstanding principal under the Revolving Loan Facility, we are required to pay a commitment fee on the unutilized commitments thereunder. The commitment fee is between 0.15% - 0.25%, depending on our leverage ratio.</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Debt issuance costs paid to the lenders are being amortized as interest expense over the term of the Credit Agreement. As of June 30, 2019, the unamortized balance of these costs was $0.4 million, and is reflected as a reduction of debt on our balance sheet.</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rate management transactions, subject to certain limitations. We are permitted to make distributions, pay dividends and repurchase shares so long as no default or event of default exists or would exist as a result thereof. We were in compliance with all covenants of the Credit Agreement as of June 30, 2019.</w:t>
      </w:r>
    </w:p>
    <w:p>
      <w:pPr>
        <w:spacing w:after="0" w:line="17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were no material changes in our critical accounting estimates since the filing of our Annual Report on Form 10-K for the fiscal year ended March 31,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Words such as “anticipate,” “expect,” “intend,” “plan,” “believe,”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March 31, 2019.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4" w:right="259" w:bottom="1440" w:gutter="0" w:footer="0" w:header="0"/>
        </w:sectPr>
      </w:pPr>
    </w:p>
    <w:bookmarkStart w:id="19" w:name="page20"/>
    <w:bookmarkEnd w:id="19"/>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exposed to market risks related to interest rates. Our exposure to changes in interest rates is limited to borrowings under our Credit Facility. A 25-basis point change in interest rates would potentially increase or decrease our annual interest expense by approximately $0.1 million. We have in place an interest rate swap that converts a portion of our variable-rate debt into a fixed-rate obligation. The swap agreement began September 1, 2017 and will end on December 23, 2020. The notional amount of the swap agreement is currently $30 million through August 31, 2019 and reduces to $20 million from September 1, 2019 through December 23, 2020. We have designated this swap as a cash flow hedge and have determined that it qualifies for hedge accounting treatment. Changes in fair value of the cash flow hedge are recorded in other comprehensive loss (net of tax) until income or loss from the cash flows of the hedged item is realized.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Other types of market risk, such as foreign currency risk, do not arise in the normal course of our business activities.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were effective as of June 30, 2019.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first quarter of fiscal 2020 that has materially affected, or is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7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risk factors from those disclosed in our Annual Report on Form 10-K for the fiscal year ended March 31, 2019.</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has authorized the repurchase of up to 800,000 shares of our outstanding common stock. The shares may be purchased on the open market or in privately negotiated transactions subject to applicable securities laws and regulations. The following table sets forth information concerning purchases of our common stock for the three months ended June 30, 2019:</w:t>
      </w:r>
    </w:p>
    <w:p>
      <w:pPr>
        <w:spacing w:after="0" w:line="344" w:lineRule="exact"/>
        <w:rPr>
          <w:sz w:val="20"/>
          <w:szCs w:val="20"/>
          <w:color w:val="auto"/>
        </w:rPr>
      </w:pPr>
    </w:p>
    <w:tbl>
      <w:tblPr>
        <w:tblLayout w:type="fixed"/>
        <w:tblInd w:w="52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 a</w:t>
            </w: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3"/>
              </w:rPr>
              <w:t>Maximum Number of Shares</w:t>
            </w: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113"/>
              <w:spacing w:after="0"/>
              <w:rPr>
                <w:sz w:val="20"/>
                <w:szCs w:val="20"/>
                <w:color w:val="auto"/>
              </w:rPr>
            </w:pPr>
            <w:r>
              <w:rPr>
                <w:rFonts w:ascii="Arial" w:cs="Arial" w:eastAsia="Arial" w:hAnsi="Arial"/>
                <w:sz w:val="16"/>
                <w:szCs w:val="16"/>
                <w:b w:val="1"/>
                <w:bCs w:val="1"/>
                <w:color w:val="auto"/>
              </w:rPr>
              <w:t>Total Number of</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Average Price Paid</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91"/>
              </w:rPr>
              <w:t>Publicly Announced Plan</w:t>
            </w: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1"/>
              </w:rPr>
              <w:t>that May Yet be Purchased</w:t>
            </w:r>
          </w:p>
        </w:tc>
      </w:tr>
      <w:tr>
        <w:trPr>
          <w:trHeight w:val="210"/>
        </w:trPr>
        <w:tc>
          <w:tcPr>
            <w:tcW w:w="2620" w:type="dxa"/>
            <w:vAlign w:val="bottom"/>
            <w:gridSpan w:val="2"/>
          </w:tcPr>
          <w:p>
            <w:pPr>
              <w:ind w:left="20"/>
              <w:spacing w:after="0"/>
              <w:rPr>
                <w:sz w:val="20"/>
                <w:szCs w:val="20"/>
                <w:color w:val="auto"/>
              </w:rPr>
            </w:pPr>
            <w:r>
              <w:rPr>
                <w:rFonts w:ascii="Arial" w:cs="Arial" w:eastAsia="Arial" w:hAnsi="Arial"/>
                <w:sz w:val="16"/>
                <w:szCs w:val="16"/>
                <w:b w:val="1"/>
                <w:bCs w:val="1"/>
                <w:color w:val="auto"/>
              </w:rPr>
              <w:t>Period</w:t>
            </w:r>
          </w:p>
        </w:tc>
        <w:tc>
          <w:tcPr>
            <w:tcW w:w="1560" w:type="dxa"/>
            <w:vAlign w:val="bottom"/>
          </w:tcPr>
          <w:p>
            <w:pPr>
              <w:jc w:val="right"/>
              <w:ind w:right="73"/>
              <w:spacing w:after="0"/>
              <w:rPr>
                <w:sz w:val="20"/>
                <w:szCs w:val="20"/>
                <w:color w:val="auto"/>
              </w:rPr>
            </w:pPr>
            <w:r>
              <w:rPr>
                <w:rFonts w:ascii="Arial" w:cs="Arial" w:eastAsia="Arial" w:hAnsi="Arial"/>
                <w:sz w:val="16"/>
                <w:szCs w:val="16"/>
                <w:b w:val="1"/>
                <w:bCs w:val="1"/>
                <w:color w:val="auto"/>
                <w:w w:val="98"/>
              </w:rPr>
              <w:t>Shares Purchased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Per Share</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92"/>
              </w:rPr>
              <w:t>or Program</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0"/>
              </w:rPr>
              <w:t>under Plans or Programs</w:t>
            </w:r>
          </w:p>
        </w:tc>
      </w:tr>
      <w:tr>
        <w:trPr>
          <w:trHeight w:val="33"/>
        </w:trPr>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4/1/2019 - 4/28/2019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9,160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37.49</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504,380</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4/29/2019 - 5/26/2019</w:t>
            </w:r>
          </w:p>
        </w:tc>
        <w:tc>
          <w:tcPr>
            <w:tcW w:w="1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504,380</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5/27/2019 - 6/30/2019</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47,136</w:t>
            </w: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38.29</w:t>
            </w:r>
          </w:p>
        </w:tc>
        <w:tc>
          <w:tcPr>
            <w:tcW w:w="1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47,136</w:t>
            </w: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457,244</w:t>
            </w:r>
          </w:p>
        </w:tc>
      </w:tr>
      <w:tr>
        <w:trPr>
          <w:trHeight w:val="237"/>
        </w:trPr>
        <w:tc>
          <w:tcPr>
            <w:tcW w:w="262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56,296</w:t>
            </w:r>
          </w:p>
        </w:tc>
        <w:tc>
          <w:tcPr>
            <w:tcW w:w="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47,136</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bl>
    <w:p>
      <w:pPr>
        <w:spacing w:after="0" w:line="229" w:lineRule="exact"/>
        <w:rPr>
          <w:sz w:val="20"/>
          <w:szCs w:val="20"/>
          <w:color w:val="auto"/>
        </w:rPr>
      </w:pPr>
    </w:p>
    <w:p>
      <w:pPr>
        <w:ind w:right="220" w:firstLine="8"/>
        <w:spacing w:after="0" w:line="342"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shares of common stock in this row represent shares that were surrendered to us by stock plan participants in order to satisfy minimum withholding tax obligations related to the vesting of restricted stock awards and are not shares purchased under the Board of Directors authorization described above.</w:t>
      </w:r>
    </w:p>
    <w:p>
      <w:pPr>
        <w:spacing w:after="0" w:line="12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860" w:type="dxa"/>
            <w:vAlign w:val="bottom"/>
          </w:tcPr>
          <w:p>
            <w:pPr>
              <w:jc w:val="right"/>
              <w:ind w:right="152"/>
              <w:spacing w:after="0"/>
              <w:rPr>
                <w:sz w:val="20"/>
                <w:szCs w:val="20"/>
                <w:color w:val="auto"/>
              </w:rPr>
            </w:pPr>
            <w:r>
              <w:rPr>
                <w:rFonts w:ascii="Arial" w:cs="Arial" w:eastAsia="Arial" w:hAnsi="Arial"/>
                <w:sz w:val="18"/>
                <w:szCs w:val="18"/>
                <w:color w:val="auto"/>
                <w:w w:val="95"/>
              </w:rPr>
              <w:t>ITEM 6.</w:t>
            </w:r>
          </w:p>
        </w:tc>
        <w:tc>
          <w:tcPr>
            <w:tcW w:w="960" w:type="dxa"/>
            <w:vAlign w:val="bottom"/>
          </w:tcPr>
          <w:p>
            <w:pPr>
              <w:ind w:left="120"/>
              <w:spacing w:after="0"/>
              <w:rPr>
                <w:sz w:val="20"/>
                <w:szCs w:val="20"/>
                <w:color w:val="auto"/>
              </w:rPr>
            </w:pPr>
            <w:r>
              <w:rPr>
                <w:rFonts w:ascii="Arial" w:cs="Arial" w:eastAsia="Arial" w:hAnsi="Arial"/>
                <w:sz w:val="18"/>
                <w:szCs w:val="18"/>
                <w:color w:val="auto"/>
                <w:w w:val="99"/>
              </w:rPr>
              <w:t>EXHIBITS</w:t>
            </w: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581"/>
        </w:trPr>
        <w:tc>
          <w:tcPr>
            <w:tcW w:w="860" w:type="dxa"/>
            <w:vAlign w:val="bottom"/>
          </w:tcPr>
          <w:p>
            <w:pPr>
              <w:jc w:val="right"/>
              <w:ind w:right="192"/>
              <w:spacing w:after="0"/>
              <w:rPr>
                <w:sz w:val="20"/>
                <w:szCs w:val="20"/>
                <w:color w:val="auto"/>
              </w:rPr>
            </w:pPr>
            <w:r>
              <w:rPr>
                <w:rFonts w:ascii="Arial" w:cs="Arial" w:eastAsia="Arial" w:hAnsi="Arial"/>
                <w:sz w:val="14"/>
                <w:szCs w:val="14"/>
                <w:color w:val="auto"/>
              </w:rPr>
              <w:t>Exhibit</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4"/>
          </w:tcPr>
          <w:p>
            <w:pPr>
              <w:spacing w:after="0"/>
              <w:rPr>
                <w:sz w:val="20"/>
                <w:szCs w:val="20"/>
                <w:color w:val="auto"/>
              </w:rPr>
            </w:pPr>
            <w:r>
              <w:rPr>
                <w:rFonts w:ascii="Arial" w:cs="Arial" w:eastAsia="Arial" w:hAnsi="Arial"/>
                <w:sz w:val="14"/>
                <w:szCs w:val="14"/>
                <w:color w:val="auto"/>
                <w:w w:val="94"/>
              </w:rPr>
              <w:t>Description</w:t>
            </w:r>
          </w:p>
        </w:tc>
        <w:tc>
          <w:tcPr>
            <w:tcW w:w="3800" w:type="dxa"/>
            <w:vAlign w:val="bottom"/>
            <w:gridSpan w:val="4"/>
          </w:tcPr>
          <w:p>
            <w:pPr>
              <w:spacing w:after="0"/>
              <w:rPr>
                <w:sz w:val="24"/>
                <w:szCs w:val="24"/>
                <w:color w:val="auto"/>
              </w:rPr>
            </w:pPr>
          </w:p>
        </w:tc>
        <w:tc>
          <w:tcPr>
            <w:tcW w:w="2180" w:type="dxa"/>
            <w:vAlign w:val="bottom"/>
            <w:gridSpan w:val="3"/>
          </w:tcPr>
          <w:p>
            <w:pPr>
              <w:jc w:val="center"/>
              <w:ind w:left="152"/>
              <w:spacing w:after="0"/>
              <w:rPr>
                <w:sz w:val="20"/>
                <w:szCs w:val="20"/>
                <w:color w:val="auto"/>
              </w:rPr>
            </w:pPr>
            <w:r>
              <w:rPr>
                <w:rFonts w:ascii="Arial" w:cs="Arial" w:eastAsia="Arial" w:hAnsi="Arial"/>
                <w:sz w:val="14"/>
                <w:szCs w:val="14"/>
                <w:color w:val="auto"/>
                <w:w w:val="98"/>
              </w:rPr>
              <w:t>Method of Filing</w:t>
            </w:r>
          </w:p>
        </w:tc>
      </w:tr>
      <w:tr>
        <w:trPr>
          <w:trHeight w:val="20"/>
        </w:trPr>
        <w:tc>
          <w:tcPr>
            <w:tcW w:w="8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3.1</w:t>
            </w:r>
          </w:p>
        </w:tc>
        <w:tc>
          <w:tcPr>
            <w:tcW w:w="8100" w:type="dxa"/>
            <w:vAlign w:val="bottom"/>
            <w:gridSpan w:val="13"/>
          </w:tcPr>
          <w:p>
            <w:pPr>
              <w:spacing w:after="0"/>
              <w:rPr>
                <w:rFonts w:ascii="Arial" w:cs="Arial" w:eastAsia="Arial" w:hAnsi="Arial"/>
                <w:sz w:val="18"/>
                <w:szCs w:val="18"/>
                <w:color w:val="0000FF"/>
              </w:rPr>
            </w:pPr>
            <w:hyperlink r:id="rId33">
              <w:r>
                <w:rPr>
                  <w:rFonts w:ascii="Arial" w:cs="Arial" w:eastAsia="Arial" w:hAnsi="Arial"/>
                  <w:sz w:val="18"/>
                  <w:szCs w:val="18"/>
                  <w:color w:val="0000FF"/>
                </w:rPr>
                <w:t xml:space="preserve">Amended and Restated Articles of Incorporation. </w:t>
              </w:r>
            </w:hyperlink>
            <w:r>
              <w:rPr>
                <w:rFonts w:ascii="Arial" w:cs="Arial" w:eastAsia="Arial" w:hAnsi="Arial"/>
                <w:sz w:val="18"/>
                <w:szCs w:val="18"/>
                <w:color w:val="000000"/>
              </w:rPr>
              <w:t>(1)</w:t>
            </w:r>
          </w:p>
        </w:tc>
        <w:tc>
          <w:tcPr>
            <w:tcW w:w="2180" w:type="dxa"/>
            <w:vAlign w:val="bottom"/>
            <w:gridSpan w:val="3"/>
          </w:tcPr>
          <w:p>
            <w:pPr>
              <w:jc w:val="center"/>
              <w:ind w:left="172"/>
              <w:spacing w:after="0"/>
              <w:rPr>
                <w:sz w:val="20"/>
                <w:szCs w:val="20"/>
                <w:color w:val="auto"/>
              </w:rPr>
            </w:pPr>
            <w:r>
              <w:rPr>
                <w:rFonts w:ascii="Arial" w:cs="Arial" w:eastAsia="Arial" w:hAnsi="Arial"/>
                <w:sz w:val="18"/>
                <w:szCs w:val="18"/>
                <w:color w:val="auto"/>
                <w:w w:val="90"/>
              </w:rPr>
              <w:t>Incorporated by Reference</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3.2</w:t>
            </w:r>
          </w:p>
        </w:tc>
        <w:tc>
          <w:tcPr>
            <w:tcW w:w="3540" w:type="dxa"/>
            <w:vAlign w:val="bottom"/>
            <w:tcBorders>
              <w:top w:val="single" w:sz="8" w:color="0000FF"/>
            </w:tcBorders>
            <w:gridSpan w:val="4"/>
          </w:tcPr>
          <w:p>
            <w:pPr>
              <w:spacing w:after="0"/>
              <w:rPr>
                <w:rFonts w:ascii="Arial" w:cs="Arial" w:eastAsia="Arial" w:hAnsi="Arial"/>
                <w:sz w:val="18"/>
                <w:szCs w:val="18"/>
                <w:color w:val="0000FF"/>
              </w:rPr>
            </w:pPr>
            <w:hyperlink r:id="rId34">
              <w:r>
                <w:rPr>
                  <w:rFonts w:ascii="Arial" w:cs="Arial" w:eastAsia="Arial" w:hAnsi="Arial"/>
                  <w:sz w:val="18"/>
                  <w:szCs w:val="18"/>
                  <w:color w:val="0000FF"/>
                </w:rPr>
                <w:t xml:space="preserve">Amended and Restated By-Laws. </w:t>
              </w:r>
            </w:hyperlink>
            <w:r>
              <w:rPr>
                <w:rFonts w:ascii="Arial" w:cs="Arial" w:eastAsia="Arial" w:hAnsi="Arial"/>
                <w:sz w:val="18"/>
                <w:szCs w:val="18"/>
                <w:color w:val="000000"/>
              </w:rPr>
              <w:t>(2)</w:t>
            </w:r>
          </w:p>
        </w:tc>
        <w:tc>
          <w:tcPr>
            <w:tcW w:w="4560" w:type="dxa"/>
            <w:vAlign w:val="bottom"/>
            <w:gridSpan w:val="9"/>
          </w:tcPr>
          <w:p>
            <w:pPr>
              <w:spacing w:after="0"/>
              <w:rPr>
                <w:sz w:val="21"/>
                <w:szCs w:val="21"/>
                <w:color w:val="auto"/>
              </w:rPr>
            </w:pPr>
          </w:p>
        </w:tc>
        <w:tc>
          <w:tcPr>
            <w:tcW w:w="2180" w:type="dxa"/>
            <w:vAlign w:val="bottom"/>
            <w:gridSpan w:val="3"/>
          </w:tcPr>
          <w:p>
            <w:pPr>
              <w:jc w:val="center"/>
              <w:ind w:left="172"/>
              <w:spacing w:after="0"/>
              <w:rPr>
                <w:sz w:val="20"/>
                <w:szCs w:val="20"/>
                <w:color w:val="auto"/>
              </w:rPr>
            </w:pPr>
            <w:r>
              <w:rPr>
                <w:rFonts w:ascii="Arial" w:cs="Arial" w:eastAsia="Arial" w:hAnsi="Arial"/>
                <w:sz w:val="18"/>
                <w:szCs w:val="18"/>
                <w:color w:val="auto"/>
                <w:w w:val="90"/>
              </w:rPr>
              <w:t>Incorporated by Reference</w:t>
            </w:r>
          </w:p>
        </w:tc>
      </w:tr>
      <w:tr>
        <w:trPr>
          <w:trHeight w:val="20"/>
        </w:trPr>
        <w:tc>
          <w:tcPr>
            <w:tcW w:w="86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10.1</w:t>
            </w:r>
          </w:p>
        </w:tc>
        <w:tc>
          <w:tcPr>
            <w:tcW w:w="3480" w:type="dxa"/>
            <w:vAlign w:val="bottom"/>
            <w:tcBorders>
              <w:bottom w:val="single" w:sz="8" w:color="0000FF"/>
            </w:tcBorders>
            <w:gridSpan w:val="3"/>
          </w:tcPr>
          <w:p>
            <w:pPr>
              <w:spacing w:after="0"/>
              <w:rPr>
                <w:rFonts w:ascii="Arial" w:cs="Arial" w:eastAsia="Arial" w:hAnsi="Arial"/>
                <w:sz w:val="18"/>
                <w:szCs w:val="18"/>
                <w:color w:val="0000FF"/>
                <w:w w:val="87"/>
              </w:rPr>
            </w:pPr>
            <w:hyperlink r:id="rId35">
              <w:r>
                <w:rPr>
                  <w:rFonts w:ascii="Arial" w:cs="Arial" w:eastAsia="Arial" w:hAnsi="Arial"/>
                  <w:sz w:val="18"/>
                  <w:szCs w:val="18"/>
                  <w:color w:val="0000FF"/>
                  <w:w w:val="87"/>
                </w:rPr>
                <w:t>Employee Stock Purchase Plan, as amended. (3)</w:t>
              </w:r>
            </w:hyperlink>
          </w:p>
        </w:tc>
        <w:tc>
          <w:tcPr>
            <w:tcW w:w="4620" w:type="dxa"/>
            <w:vAlign w:val="bottom"/>
            <w:gridSpan w:val="10"/>
          </w:tcPr>
          <w:p>
            <w:pPr>
              <w:spacing w:after="0"/>
              <w:rPr>
                <w:sz w:val="21"/>
                <w:szCs w:val="21"/>
                <w:color w:val="auto"/>
              </w:rPr>
            </w:pPr>
          </w:p>
        </w:tc>
        <w:tc>
          <w:tcPr>
            <w:tcW w:w="2180" w:type="dxa"/>
            <w:vAlign w:val="bottom"/>
            <w:gridSpan w:val="3"/>
          </w:tcPr>
          <w:p>
            <w:pPr>
              <w:jc w:val="center"/>
              <w:ind w:left="172"/>
              <w:spacing w:after="0"/>
              <w:rPr>
                <w:sz w:val="20"/>
                <w:szCs w:val="20"/>
                <w:color w:val="auto"/>
              </w:rPr>
            </w:pPr>
            <w:r>
              <w:rPr>
                <w:rFonts w:ascii="Arial" w:cs="Arial" w:eastAsia="Arial" w:hAnsi="Arial"/>
                <w:sz w:val="18"/>
                <w:szCs w:val="18"/>
                <w:color w:val="auto"/>
                <w:w w:val="90"/>
              </w:rPr>
              <w:t>Incorporated by Reference</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10.2</w:t>
            </w:r>
          </w:p>
        </w:tc>
        <w:tc>
          <w:tcPr>
            <w:tcW w:w="7780" w:type="dxa"/>
            <w:vAlign w:val="bottom"/>
            <w:tcBorders>
              <w:bottom w:val="single" w:sz="8" w:color="0000FF"/>
            </w:tcBorders>
            <w:gridSpan w:val="12"/>
          </w:tcPr>
          <w:p>
            <w:pPr>
              <w:spacing w:after="0"/>
              <w:rPr>
                <w:rFonts w:ascii="Arial" w:cs="Arial" w:eastAsia="Arial" w:hAnsi="Arial"/>
                <w:sz w:val="18"/>
                <w:szCs w:val="18"/>
                <w:color w:val="0000FF"/>
                <w:w w:val="89"/>
              </w:rPr>
            </w:pPr>
            <w:hyperlink r:id="rId36">
              <w:r>
                <w:rPr>
                  <w:rFonts w:ascii="Arial" w:cs="Arial" w:eastAsia="Arial" w:hAnsi="Arial"/>
                  <w:sz w:val="18"/>
                  <w:szCs w:val="18"/>
                  <w:color w:val="0000FF"/>
                  <w:w w:val="89"/>
                </w:rPr>
                <w:t>Amended and Restated Credit Agreement, dated as of November 30, 2018, among the Company, U.S. Bank</w:t>
              </w:r>
            </w:hyperlink>
          </w:p>
        </w:tc>
        <w:tc>
          <w:tcPr>
            <w:tcW w:w="320" w:type="dxa"/>
            <w:vAlign w:val="bottom"/>
          </w:tcPr>
          <w:p>
            <w:pPr>
              <w:spacing w:after="0"/>
              <w:rPr>
                <w:sz w:val="21"/>
                <w:szCs w:val="21"/>
                <w:color w:val="auto"/>
              </w:rPr>
            </w:pPr>
          </w:p>
        </w:tc>
        <w:tc>
          <w:tcPr>
            <w:tcW w:w="2180" w:type="dxa"/>
            <w:vAlign w:val="bottom"/>
            <w:gridSpan w:val="3"/>
          </w:tcPr>
          <w:p>
            <w:pPr>
              <w:jc w:val="center"/>
              <w:ind w:left="172"/>
              <w:spacing w:after="0"/>
              <w:rPr>
                <w:sz w:val="20"/>
                <w:szCs w:val="20"/>
                <w:color w:val="auto"/>
              </w:rPr>
            </w:pPr>
            <w:r>
              <w:rPr>
                <w:rFonts w:ascii="Arial" w:cs="Arial" w:eastAsia="Arial" w:hAnsi="Arial"/>
                <w:sz w:val="18"/>
                <w:szCs w:val="18"/>
                <w:color w:val="auto"/>
                <w:w w:val="90"/>
              </w:rPr>
              <w:t>Incorporated by Reference</w:t>
            </w:r>
          </w:p>
        </w:tc>
      </w:tr>
      <w:tr>
        <w:trPr>
          <w:trHeight w:val="196"/>
        </w:trPr>
        <w:tc>
          <w:tcPr>
            <w:tcW w:w="860" w:type="dxa"/>
            <w:vAlign w:val="bottom"/>
          </w:tcPr>
          <w:p>
            <w:pPr>
              <w:spacing w:after="0"/>
              <w:rPr>
                <w:sz w:val="17"/>
                <w:szCs w:val="17"/>
                <w:color w:val="auto"/>
              </w:rPr>
            </w:pPr>
          </w:p>
        </w:tc>
        <w:tc>
          <w:tcPr>
            <w:tcW w:w="422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National Association, and certain financial institutions. (4)</w:t>
              </w:r>
            </w:hyperlink>
          </w:p>
        </w:tc>
        <w:tc>
          <w:tcPr>
            <w:tcW w:w="388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31.1</w:t>
            </w:r>
          </w:p>
        </w:tc>
        <w:tc>
          <w:tcPr>
            <w:tcW w:w="8100" w:type="dxa"/>
            <w:vAlign w:val="bottom"/>
            <w:gridSpan w:val="13"/>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Certification by Chief Executive Officer pursuant to Rule 13a-14(a) of the Exchange Act.</w:t>
              </w:r>
            </w:hyperlink>
          </w:p>
        </w:tc>
        <w:tc>
          <w:tcPr>
            <w:tcW w:w="2180" w:type="dxa"/>
            <w:vAlign w:val="bottom"/>
            <w:gridSpan w:val="3"/>
          </w:tcPr>
          <w:p>
            <w:pPr>
              <w:jc w:val="center"/>
              <w:ind w:left="152"/>
              <w:spacing w:after="0"/>
              <w:rPr>
                <w:sz w:val="20"/>
                <w:szCs w:val="20"/>
                <w:color w:val="auto"/>
              </w:rPr>
            </w:pPr>
            <w:r>
              <w:rPr>
                <w:rFonts w:ascii="Arial" w:cs="Arial" w:eastAsia="Arial" w:hAnsi="Arial"/>
                <w:sz w:val="18"/>
                <w:szCs w:val="18"/>
                <w:color w:val="auto"/>
                <w:w w:val="94"/>
              </w:rPr>
              <w:t>Filed Electronically</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31.2</w:t>
            </w:r>
          </w:p>
        </w:tc>
        <w:tc>
          <w:tcPr>
            <w:tcW w:w="640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2"/>
              </w:rPr>
            </w:pPr>
            <w:hyperlink w:anchor="page25">
              <w:r>
                <w:rPr>
                  <w:rFonts w:ascii="Arial" w:cs="Arial" w:eastAsia="Arial" w:hAnsi="Arial"/>
                  <w:sz w:val="18"/>
                  <w:szCs w:val="18"/>
                  <w:color w:val="0000FF"/>
                  <w:w w:val="92"/>
                </w:rPr>
                <w:t>Certification by Chief Financial Officer pursuant to Rule 13a-14(a) of the Exchange Act.</w:t>
              </w:r>
            </w:hyperlink>
          </w:p>
        </w:tc>
        <w:tc>
          <w:tcPr>
            <w:tcW w:w="40" w:type="dxa"/>
            <w:vAlign w:val="bottom"/>
            <w:tcBorders>
              <w:top w:val="single" w:sz="8" w:color="0000FF"/>
            </w:tcBorders>
          </w:tcPr>
          <w:p>
            <w:pPr>
              <w:spacing w:after="0"/>
              <w:rPr>
                <w:sz w:val="21"/>
                <w:szCs w:val="21"/>
                <w:color w:val="auto"/>
              </w:rPr>
            </w:pPr>
          </w:p>
        </w:tc>
        <w:tc>
          <w:tcPr>
            <w:tcW w:w="1660" w:type="dxa"/>
            <w:vAlign w:val="bottom"/>
            <w:gridSpan w:val="2"/>
          </w:tcPr>
          <w:p>
            <w:pPr>
              <w:spacing w:after="0"/>
              <w:rPr>
                <w:sz w:val="21"/>
                <w:szCs w:val="21"/>
                <w:color w:val="auto"/>
              </w:rPr>
            </w:pPr>
          </w:p>
        </w:tc>
        <w:tc>
          <w:tcPr>
            <w:tcW w:w="2180" w:type="dxa"/>
            <w:vAlign w:val="bottom"/>
            <w:gridSpan w:val="3"/>
          </w:tcPr>
          <w:p>
            <w:pPr>
              <w:jc w:val="center"/>
              <w:ind w:left="152"/>
              <w:spacing w:after="0"/>
              <w:rPr>
                <w:sz w:val="20"/>
                <w:szCs w:val="20"/>
                <w:color w:val="auto"/>
              </w:rPr>
            </w:pPr>
            <w:r>
              <w:rPr>
                <w:rFonts w:ascii="Arial" w:cs="Arial" w:eastAsia="Arial" w:hAnsi="Arial"/>
                <w:sz w:val="18"/>
                <w:szCs w:val="18"/>
                <w:color w:val="auto"/>
                <w:w w:val="94"/>
              </w:rPr>
              <w:t>Filed Electronically</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32.1</w:t>
            </w:r>
          </w:p>
        </w:tc>
        <w:tc>
          <w:tcPr>
            <w:tcW w:w="960" w:type="dxa"/>
            <w:vAlign w:val="bottom"/>
          </w:tcPr>
          <w:p>
            <w:pP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Section 1350</w:t>
              </w:r>
            </w:hyperlink>
          </w:p>
        </w:tc>
        <w:tc>
          <w:tcPr>
            <w:tcW w:w="7140" w:type="dxa"/>
            <w:vAlign w:val="bottom"/>
            <w:gridSpan w:val="12"/>
          </w:tcPr>
          <w:p>
            <w:pPr>
              <w:ind w:left="20"/>
              <w:spacing w:after="0"/>
              <w:rPr>
                <w:rFonts w:ascii="Arial" w:cs="Arial" w:eastAsia="Arial" w:hAnsi="Arial"/>
                <w:sz w:val="18"/>
                <w:szCs w:val="18"/>
                <w:color w:val="0000FF"/>
              </w:rPr>
            </w:pPr>
            <w:hyperlink w:anchor="page26">
              <w:r>
                <w:rPr>
                  <w:rFonts w:ascii="Arial" w:cs="Arial" w:eastAsia="Arial" w:hAnsi="Arial"/>
                  <w:sz w:val="18"/>
                  <w:szCs w:val="18"/>
                  <w:color w:val="0000FF"/>
                </w:rPr>
                <w:t>Certification by Chief Executive Officer.</w:t>
              </w:r>
            </w:hyperlink>
          </w:p>
        </w:tc>
        <w:tc>
          <w:tcPr>
            <w:tcW w:w="2180" w:type="dxa"/>
            <w:vAlign w:val="bottom"/>
            <w:gridSpan w:val="3"/>
          </w:tcPr>
          <w:p>
            <w:pPr>
              <w:jc w:val="center"/>
              <w:ind w:left="152"/>
              <w:spacing w:after="0"/>
              <w:rPr>
                <w:sz w:val="20"/>
                <w:szCs w:val="20"/>
                <w:color w:val="auto"/>
              </w:rPr>
            </w:pPr>
            <w:r>
              <w:rPr>
                <w:rFonts w:ascii="Arial" w:cs="Arial" w:eastAsia="Arial" w:hAnsi="Arial"/>
                <w:sz w:val="18"/>
                <w:szCs w:val="18"/>
                <w:color w:val="auto"/>
                <w:w w:val="94"/>
              </w:rPr>
              <w:t>Filed Electronically</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32.2</w:t>
            </w:r>
          </w:p>
        </w:tc>
        <w:tc>
          <w:tcPr>
            <w:tcW w:w="96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Section 1350</w:t>
              </w:r>
            </w:hyperlink>
          </w:p>
        </w:tc>
        <w:tc>
          <w:tcPr>
            <w:tcW w:w="2920" w:type="dxa"/>
            <w:vAlign w:val="bottom"/>
            <w:tcBorders>
              <w:top w:val="single" w:sz="8" w:color="0000FF"/>
              <w:bottom w:val="single" w:sz="8" w:color="0000FF"/>
            </w:tcBorders>
            <w:gridSpan w:val="5"/>
          </w:tcPr>
          <w:p>
            <w:pPr>
              <w:ind w:left="20"/>
              <w:spacing w:after="0"/>
              <w:rPr>
                <w:rFonts w:ascii="Arial" w:cs="Arial" w:eastAsia="Arial" w:hAnsi="Arial"/>
                <w:sz w:val="18"/>
                <w:szCs w:val="18"/>
                <w:color w:val="0000FF"/>
                <w:w w:val="94"/>
              </w:rPr>
            </w:pPr>
            <w:hyperlink w:anchor="page27">
              <w:r>
                <w:rPr>
                  <w:rFonts w:ascii="Arial" w:cs="Arial" w:eastAsia="Arial" w:hAnsi="Arial"/>
                  <w:sz w:val="18"/>
                  <w:szCs w:val="18"/>
                  <w:color w:val="0000FF"/>
                  <w:w w:val="94"/>
                </w:rPr>
                <w:t>Certification by Chief Financial Officer.</w:t>
              </w:r>
            </w:hyperlink>
          </w:p>
        </w:tc>
        <w:tc>
          <w:tcPr>
            <w:tcW w:w="40" w:type="dxa"/>
            <w:vAlign w:val="bottom"/>
            <w:tcBorders>
              <w:top w:val="single" w:sz="8" w:color="0000FF"/>
            </w:tcBorders>
          </w:tcPr>
          <w:p>
            <w:pPr>
              <w:spacing w:after="0"/>
              <w:rPr>
                <w:sz w:val="21"/>
                <w:szCs w:val="21"/>
                <w:color w:val="auto"/>
              </w:rPr>
            </w:pPr>
          </w:p>
        </w:tc>
        <w:tc>
          <w:tcPr>
            <w:tcW w:w="4180" w:type="dxa"/>
            <w:vAlign w:val="bottom"/>
            <w:gridSpan w:val="6"/>
          </w:tcPr>
          <w:p>
            <w:pPr>
              <w:spacing w:after="0"/>
              <w:rPr>
                <w:sz w:val="21"/>
                <w:szCs w:val="21"/>
                <w:color w:val="auto"/>
              </w:rPr>
            </w:pPr>
          </w:p>
        </w:tc>
        <w:tc>
          <w:tcPr>
            <w:tcW w:w="2180" w:type="dxa"/>
            <w:vAlign w:val="bottom"/>
            <w:gridSpan w:val="3"/>
          </w:tcPr>
          <w:p>
            <w:pPr>
              <w:jc w:val="center"/>
              <w:ind w:left="152"/>
              <w:spacing w:after="0"/>
              <w:rPr>
                <w:sz w:val="20"/>
                <w:szCs w:val="20"/>
                <w:color w:val="auto"/>
              </w:rPr>
            </w:pPr>
            <w:r>
              <w:rPr>
                <w:rFonts w:ascii="Arial" w:cs="Arial" w:eastAsia="Arial" w:hAnsi="Arial"/>
                <w:sz w:val="18"/>
                <w:szCs w:val="18"/>
                <w:color w:val="auto"/>
                <w:w w:val="94"/>
              </w:rPr>
              <w:t>Filed Electronically</w:t>
            </w:r>
          </w:p>
        </w:tc>
      </w:tr>
      <w:tr>
        <w:trPr>
          <w:trHeight w:val="276"/>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101</w:t>
            </w:r>
          </w:p>
        </w:tc>
        <w:tc>
          <w:tcPr>
            <w:tcW w:w="8100" w:type="dxa"/>
            <w:vAlign w:val="bottom"/>
            <w:gridSpan w:val="13"/>
          </w:tcPr>
          <w:p>
            <w:pPr>
              <w:spacing w:after="0"/>
              <w:rPr>
                <w:sz w:val="20"/>
                <w:szCs w:val="20"/>
                <w:color w:val="auto"/>
              </w:rPr>
            </w:pPr>
            <w:r>
              <w:rPr>
                <w:rFonts w:ascii="Arial" w:cs="Arial" w:eastAsia="Arial" w:hAnsi="Arial"/>
                <w:sz w:val="18"/>
                <w:szCs w:val="18"/>
                <w:color w:val="auto"/>
                <w:w w:val="93"/>
              </w:rPr>
              <w:t>Financial statements from the Quarterly Report on Form 10-Q of Hawkins, Inc. for the period ended June 30,</w:t>
            </w:r>
          </w:p>
        </w:tc>
        <w:tc>
          <w:tcPr>
            <w:tcW w:w="2180" w:type="dxa"/>
            <w:vAlign w:val="bottom"/>
            <w:gridSpan w:val="3"/>
          </w:tcPr>
          <w:p>
            <w:pPr>
              <w:jc w:val="center"/>
              <w:ind w:left="152"/>
              <w:spacing w:after="0"/>
              <w:rPr>
                <w:sz w:val="20"/>
                <w:szCs w:val="20"/>
                <w:color w:val="auto"/>
              </w:rPr>
            </w:pPr>
            <w:r>
              <w:rPr>
                <w:rFonts w:ascii="Arial" w:cs="Arial" w:eastAsia="Arial" w:hAnsi="Arial"/>
                <w:sz w:val="18"/>
                <w:szCs w:val="18"/>
                <w:color w:val="auto"/>
                <w:w w:val="94"/>
              </w:rPr>
              <w:t>Filed Electronically</w:t>
            </w:r>
          </w:p>
        </w:tc>
      </w:tr>
      <w:tr>
        <w:trPr>
          <w:trHeight w:val="230"/>
        </w:trPr>
        <w:tc>
          <w:tcPr>
            <w:tcW w:w="860" w:type="dxa"/>
            <w:vAlign w:val="bottom"/>
          </w:tcPr>
          <w:p>
            <w:pPr>
              <w:spacing w:after="0"/>
              <w:rPr>
                <w:sz w:val="20"/>
                <w:szCs w:val="20"/>
                <w:color w:val="auto"/>
              </w:rPr>
            </w:pPr>
          </w:p>
        </w:tc>
        <w:tc>
          <w:tcPr>
            <w:tcW w:w="8100" w:type="dxa"/>
            <w:vAlign w:val="bottom"/>
            <w:gridSpan w:val="13"/>
          </w:tcPr>
          <w:p>
            <w:pPr>
              <w:spacing w:after="0"/>
              <w:rPr>
                <w:sz w:val="20"/>
                <w:szCs w:val="20"/>
                <w:color w:val="auto"/>
              </w:rPr>
            </w:pPr>
            <w:r>
              <w:rPr>
                <w:rFonts w:ascii="Arial" w:cs="Arial" w:eastAsia="Arial" w:hAnsi="Arial"/>
                <w:sz w:val="18"/>
                <w:szCs w:val="18"/>
                <w:color w:val="auto"/>
                <w:w w:val="95"/>
              </w:rPr>
              <w:t>2019 filed with the SEC on July 31, 2019 formatted in Extensible Business Reporting Language (XBRL); (i)</w:t>
            </w: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ind w:left="860" w:right="2540"/>
        <w:spacing w:after="0" w:line="252" w:lineRule="auto"/>
        <w:rPr>
          <w:sz w:val="20"/>
          <w:szCs w:val="20"/>
          <w:color w:val="auto"/>
        </w:rPr>
      </w:pPr>
      <w:r>
        <w:rPr>
          <w:rFonts w:ascii="Arial" w:cs="Arial" w:eastAsia="Arial" w:hAnsi="Arial"/>
          <w:sz w:val="18"/>
          <w:szCs w:val="18"/>
          <w:color w:val="auto"/>
        </w:rPr>
        <w:t>the Condensed Consolidated Balance Sheets at June 30, 2019 and March 31, 2019, (ii) the Condensed Consolidated Statements of Income for the three months ended June 30, 2019 and July 1, 2018, (iii) the Condensed Consolidated Statements of Comprehensive Income for the three months ended June 30, 2019 and July 1, 2018, (iv) the Condensed Consolidated Statements of Shareholder's Equity for the three months ended June 30, 2019 and July 1, 2018, (v) the Condensed Consolidated Statements of Cash Flows for the three months ended June 30, 2019 and July 1, 2018, and (vi) Notes to Condensed Consolidated Financial Statements.</w:t>
      </w:r>
    </w:p>
    <w:p>
      <w:pPr>
        <w:spacing w:after="0" w:line="200" w:lineRule="exact"/>
        <w:rPr>
          <w:sz w:val="20"/>
          <w:szCs w:val="20"/>
          <w:color w:val="auto"/>
        </w:rPr>
      </w:pPr>
    </w:p>
    <w:p>
      <w:pPr>
        <w:spacing w:after="0" w:line="209" w:lineRule="exact"/>
        <w:rPr>
          <w:sz w:val="20"/>
          <w:szCs w:val="20"/>
          <w:color w:val="auto"/>
        </w:rPr>
      </w:pPr>
    </w:p>
    <w:p>
      <w:pPr>
        <w:ind w:left="540" w:hanging="316"/>
        <w:spacing w:after="0" w:line="258"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Quarterly Report on Form 10-Q for the period ended June 30, 2010, filed on July 29, 2010 (File no. 000-07647).</w:t>
      </w:r>
    </w:p>
    <w:p>
      <w:pPr>
        <w:spacing w:after="0" w:line="1"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dated October 28, 2009 and filed November 3, 2009 (File no. 000-07647).</w:t>
      </w:r>
    </w:p>
    <w:p>
      <w:pPr>
        <w:ind w:left="540" w:hanging="316"/>
        <w:spacing w:after="0"/>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Incorporated by reference to Exhibit 99.1 to the Company’s Registration Statement on Form S-8 filed November 2, 2018 (File no. 333-228128).</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Registration Statement on Form 8-K filed December 3, 2018 (File no. 000-07647).</w:t>
      </w: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584" w:right="339" w:bottom="1440" w:gutter="0" w:footer="0" w:header="0"/>
        </w:sectPr>
      </w:pPr>
    </w:p>
    <w:bookmarkStart w:id="22" w:name="page23"/>
    <w:bookmarkEnd w:id="2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6420"/>
        <w:spacing w:after="0"/>
        <w:tabs>
          <w:tab w:leader="none" w:pos="8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31750</wp:posOffset>
            </wp:positionV>
            <wp:extent cx="26930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Vice President, Chief Financial Officer, and Treasurer</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behalf of the registrant and as principal financial and</w:t>
      </w:r>
    </w:p>
    <w:p>
      <w:pPr>
        <w:spacing w:after="0" w:line="23"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accounting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2019</w:t>
      </w:r>
    </w:p>
    <w:p>
      <w:pPr>
        <w:sectPr>
          <w:pgSz w:w="11900" w:h="16838" w:orient="portrait"/>
          <w:cols w:equalWidth="0" w:num="1">
            <w:col w:w="11260"/>
          </w:cols>
          <w:pgMar w:left="240" w:top="580" w:right="39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320"/>
        <w:spacing w:after="0" w:line="334"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34"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2019</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0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644"/>
        <w:spacing w:after="0" w:line="317"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60" w:hanging="644"/>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2019</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Jeffrey P. Oldenkamp</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58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30, 2019,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31, 2019</w:t>
      </w:r>
    </w:p>
    <w:p>
      <w:pPr>
        <w:sectPr>
          <w:pgSz w:w="11900" w:h="16838" w:orient="portrait"/>
          <w:cols w:equalWidth="0" w:num="1">
            <w:col w:w="11420"/>
          </w:cols>
          <w:pgMar w:left="240" w:top="58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30, 2019, as filed with the Securities and Exchange Commission on the date hereof (the Report), I, Jeffrey P. Oldenkamp, Chief Financial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Jeffrey P. Oldenkamp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31,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7" Type="http://schemas.openxmlformats.org/officeDocument/2006/relationships/image" Target="media/image25.png"/><Relationship Id="rId26" Type="http://schemas.openxmlformats.org/officeDocument/2006/relationships/hyperlink" Target="http://www.sec.gov/Archives/edgar/data/46250/000004625019000017/hwkn10k2019.htm" TargetMode="External"/><Relationship Id="rId33" Type="http://schemas.openxmlformats.org/officeDocument/2006/relationships/hyperlink" Target="http://www.sec.gov/Archives/edgar/data/46250/000089710110001532/hawkins103608_ex3-1.htm" TargetMode="External"/><Relationship Id="rId34" Type="http://schemas.openxmlformats.org/officeDocument/2006/relationships/hyperlink" Target="http://www.sec.gov/Archives/edgar/data/46250/000089710109002205/hawkins095018_ex3-1.htm" TargetMode="External"/><Relationship Id="rId35" Type="http://schemas.openxmlformats.org/officeDocument/2006/relationships/hyperlink" Target="http://www.sec.gov/Archives/edgar/data/46250/000119312518316437/d643918dex991.htm" TargetMode="External"/><Relationship Id="rId36" Type="http://schemas.openxmlformats.org/officeDocument/2006/relationships/hyperlink" Target="http://www.sec.gov/Archives/edgar/data/46250/000119312518341125/d65677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2019-12-28T09:39:09Z</dcterms:created>
  <dcterms:modified xsi:type="dcterms:W3CDTF">2019-12-28T09:39:09Z</dcterms:modified>
</cp:coreProperties>
</file>