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CURRENT REPORT</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Pursuant to Section 13 or 15(d) of the Securities Exchange Act of 1934</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 xml:space="preserve">Date of Report (Date of earliest event reported) April 25, 2025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sans-serif" w:hAnsi="sans-serif"/>
          <w:b/>
          <w:color w:val="000000"/>
          <w:sz w:val="48"/>
        </w:rPr>
      </w:pPr>
      <w:r>
        <w:rPr>
          <w:rFonts w:ascii="sans-serif" w:hAnsi="sans-serif"/>
          <w:b/>
          <w:color w:val="000000"/>
          <w:sz w:val="48"/>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782" w:type="dxa"/>
        <w:jc w:val="left"/>
        <w:tblInd w:w="0" w:type="dxa"/>
        <w:tblLayout w:type="fixed"/>
        <w:tblCellMar>
          <w:top w:w="28" w:type="dxa"/>
          <w:left w:w="28" w:type="dxa"/>
          <w:bottom w:w="28" w:type="dxa"/>
          <w:right w:w="28" w:type="dxa"/>
        </w:tblCellMar>
      </w:tblPr>
      <w:tblGrid>
        <w:gridCol w:w="846"/>
        <w:gridCol w:w="742"/>
        <w:gridCol w:w="751"/>
        <w:gridCol w:w="109"/>
        <w:gridCol w:w="109"/>
        <w:gridCol w:w="109"/>
        <w:gridCol w:w="857"/>
        <w:gridCol w:w="857"/>
        <w:gridCol w:w="865"/>
        <w:gridCol w:w="109"/>
        <w:gridCol w:w="109"/>
        <w:gridCol w:w="109"/>
        <w:gridCol w:w="941"/>
        <w:gridCol w:w="941"/>
        <w:gridCol w:w="132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5" w:type="dxa"/>
        <w:jc w:val="center"/>
        <w:tblInd w:w="0" w:type="dxa"/>
        <w:tblLayout w:type="fixed"/>
        <w:tblCellMar>
          <w:top w:w="28" w:type="dxa"/>
          <w:left w:w="28" w:type="dxa"/>
          <w:bottom w:w="28" w:type="dxa"/>
          <w:right w:w="28" w:type="dxa"/>
        </w:tblCellMar>
      </w:tblPr>
      <w:tblGrid>
        <w:gridCol w:w="738"/>
        <w:gridCol w:w="648"/>
        <w:gridCol w:w="650"/>
        <w:gridCol w:w="424"/>
        <w:gridCol w:w="424"/>
        <w:gridCol w:w="426"/>
        <w:gridCol w:w="171"/>
        <w:gridCol w:w="171"/>
        <w:gridCol w:w="172"/>
        <w:gridCol w:w="109"/>
        <w:gridCol w:w="109"/>
        <w:gridCol w:w="109"/>
        <w:gridCol w:w="329"/>
        <w:gridCol w:w="329"/>
        <w:gridCol w:w="466"/>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2381 Rosegate,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Roseville,</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3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lineRule="auto" w:line="288" w:before="0" w:after="0"/>
        <w:jc w:val="right"/>
        <w:rPr/>
      </w:pPr>
      <w:r>
        <w:rPr>
          <w:rFonts w:ascii="sans-serif" w:hAns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On April 25, 2025, Hawkins, Inc. (the "Company") entered into a second amendment (the “Amendment”) with U.S. Bank National Association (“U.S. Bank”) as Administrative Agent, Sole Lead Arranger and Sole Book Runner, and the other lenders from time to time party thereto (collectively, the “Lenders”), which amended that certain second amended and restated credit agreement dated as of March 31, 2022 (the “Existing Credit Agreement” and as amended, restated or modified from time to time, and as modified by the Amendment, the “Credit Agreement”). The Amendment increased the revolving commitment under the Existing Credit Agreement to provide the Company with senior secured revolving credit facilities (the “Revolving Loan Facility”) totaling $400.0 million. The Revolving Loan Facility includes a $10.0 million letter of credit subfacility and $25.0 million swingline subfacility. U.S. Bank, JP Morgan Chase Bank, N.A., Wells Fargo Bank, N.A., and Associated Bank, N.A. are lenders under the Credit Agreement as of the date of the Amendment.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The Company drew approximately $150 million of the proceeds from the Revolving Loan Facility to acquire substantially all of the assets of Surplus Management, Inc. dba WaterSurplus. The Company may use proceeds from the Revolving Loan Facility for working capital, capital expenditures, restricted payments and other acquisitions permitted under the Credit Agreement, and other general corporate purposes.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Borrowings under the Revolving Loan Facility bear interest at a rate per annum equal to one of the following, plus, in both cases, an applicable margin based upon the Company’s leverage ratio: (a) Term SOFR, for an interest period of one, three or six months as selected by the Company, reset at the end of the selected interest period, or (b) a base rate determined by reference to the highest of (1) U. S. Bank’s prime rate, (2) the Federal Funds Effective Rate plus 0.5%, or (3) one-month Term SOFR for U.S. dollars plus 1.0%. The Term SOFR margin is between 1.0% - 1.85%, depending on the Company’s leverage ratio. The base rate margin is between 0.00% - 0.85%, depending on the Company’s leverage ratio.</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In addition to paying interest on the outstanding principal under the Revolving Loan Facility, the Company is required to pay a commitment fee on the unutilized commitments thereunder. The commitment fee is between 0.15% - 0.25%, depending on the Company’s leverage ratio.</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Revolving Loan Facility is scheduled to mature on April 25, 2030.</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Revolving Loan Facility is secured by substantially all of the personal property assets of the Company and its subsidiaries.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Credit Agreement will require the Company to maintain (a) a minimum fixed charge coverage ratio of 1.15 to 1.00 and (b) a maximum total cash flow leverage ratio of 3.5 to 1.0, subject to an election by the Company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 Company will be permitted to make distributions, pay dividends and repurchase shares so long as no default or event of default exists or would exist as a result thereof.</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Credit Agreement contains customary events of default, the occurrence of which would permit the lenders to terminate their commitments and accelerate loans under the Revolving Loan Facility, including failure to make payments under the Revolving Loan Facility, failure to comply with covenants in the Credit Agreement and other loan documents, cross default to other material indebtedness of the Company or any of its subsidiaries, failure of the Company or any of its subsidiaries to pay or discharge material judgments, bankruptcy of the Company or any of its subsidiaries, and change of control of the Company.</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Each of U.S. Bank, JP Morgan, Wells Fargo and Associated Bank has performed and may continue to perform commercial banking and financial services for the Company and its subsidiaries for which they have receive and will continue to receive customary fees.</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Item 1.02. Termination of a Material Definitive Agreement.</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disclosure under Item 1.01 of this Current Report on Form 8-K regarding the Existing Credit Agreement and its termination in connection with the Credit Agreement is incorporated herein by reference.</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Item 2.03. Creation of a Direct Financial Obligation or an Obligation under an Off-Balance Sheet Arrangement of a Registrant.</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disclosure under Item 1.01 of this Current Report on Form 8-K regarding the Credit Agreement is incorporated herein by reference.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0" w:after="0"/>
        <w:ind w:left="0" w:right="0" w:hanging="360"/>
        <w:jc w:val="left"/>
        <w:rPr/>
      </w:pPr>
      <w:r>
        <w:rPr>
          <w:rFonts w:ascii="sans-serif" w:hAnsi="sans-serif"/>
          <w:b w:val="false"/>
          <w:color w:val="000000"/>
          <w:sz w:val="20"/>
        </w:rPr>
        <w:t>(d)</w:t>
      </w:r>
      <w:r>
        <w:rPr>
          <w:rFonts w:ascii="sans-serif" w:hAnsi="sans-serif"/>
          <w:b w:val="false"/>
          <w:color w:val="000000"/>
          <w:sz w:val="20"/>
          <w:u w:val="single"/>
        </w:rPr>
        <w:t>Exhibits</w:t>
      </w:r>
      <w:r>
        <w:rPr>
          <w:rFonts w:ascii="sans-serif" w:hAns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2305"/>
        <w:gridCol w:w="2305"/>
        <w:gridCol w:w="2323"/>
        <w:gridCol w:w="109"/>
        <w:gridCol w:w="109"/>
        <w:gridCol w:w="109"/>
        <w:gridCol w:w="471"/>
        <w:gridCol w:w="471"/>
        <w:gridCol w:w="67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Method of Filing</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1-2025debtmodific.htm">
              <w:r>
                <w:rPr>
                  <w:rStyle w:val="InternetLink"/>
                  <w:rFonts w:ascii="sans-serif" w:hAnsi="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sans-serif" w:hAnsi="sans-serif"/>
                <w:b w:val="false"/>
                <w:color w:val="000000"/>
                <w:sz w:val="20"/>
              </w:rPr>
            </w:pPr>
            <w:r>
              <w:rPr>
                <w:rFonts w:ascii="sans-serif" w:hAnsi="sans-serif"/>
                <w:b w:val="false"/>
                <w:color w:val="000000"/>
                <w:sz w:val="20"/>
              </w:rPr>
              <w:t>Third Amended and Restated Credit Agreement dated as of April 25, 2025, among Hawkins, Inc., the lenders party thereto, and U.S. Bank National Association, as an LC Issuer, Swing Line Lender and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596" w:type="dxa"/>
        <w:jc w:val="left"/>
        <w:tblInd w:w="0" w:type="dxa"/>
        <w:tblLayout w:type="fixed"/>
        <w:tblCellMar>
          <w:top w:w="28" w:type="dxa"/>
          <w:left w:w="28" w:type="dxa"/>
          <w:bottom w:w="28" w:type="dxa"/>
          <w:right w:w="28" w:type="dxa"/>
        </w:tblCellMar>
      </w:tblPr>
      <w:tblGrid>
        <w:gridCol w:w="744"/>
        <w:gridCol w:w="652"/>
        <w:gridCol w:w="658"/>
        <w:gridCol w:w="109"/>
        <w:gridCol w:w="109"/>
        <w:gridCol w:w="109"/>
        <w:gridCol w:w="171"/>
        <w:gridCol w:w="171"/>
        <w:gridCol w:w="171"/>
        <w:gridCol w:w="171"/>
        <w:gridCol w:w="171"/>
        <w:gridCol w:w="171"/>
        <w:gridCol w:w="1492"/>
        <w:gridCol w:w="1492"/>
        <w:gridCol w:w="2205"/>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 April 30,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/s/ Jeffrey P. Oldenkamp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Jeffrey P. Oldenkamp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20"/>
              </w:rPr>
            </w:pPr>
            <w:r>
              <w:rPr>
                <w:rFonts w:ascii="sans-serif" w:hAns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79" w:after="283"/>
        <w:jc w:val="right"/>
        <w:rPr>
          <w:rFonts w:ascii="Times New Roman;sans-serif" w:hAnsi="Times New Roman;sans-serif"/>
          <w:b w:val="false"/>
          <w:i/>
          <w:color w:val="000000"/>
          <w:sz w:val="24"/>
        </w:rPr>
      </w:pPr>
      <w:r>
        <w:rPr>
          <w:rFonts w:ascii="Times New Roman;sans-serif" w:hAnsi="Times New Roman;sans-serif"/>
          <w:b w:val="false"/>
          <w:i/>
          <w:color w:val="000000"/>
          <w:sz w:val="24"/>
        </w:rPr>
        <w:t>Execution Version</w:t>
      </w:r>
    </w:p>
    <w:p>
      <w:pPr>
        <w:pStyle w:val="TextBody"/>
        <w:bidi w:val="0"/>
        <w:spacing w:before="0" w:after="0"/>
        <w:jc w:val="left"/>
        <w:rPr/>
      </w:pPr>
      <w:r>
        <w:rPr/>
      </w:r>
    </w:p>
    <w:p>
      <w:pPr>
        <w:pStyle w:val="TextBody"/>
        <w:bidi w:val="0"/>
        <w:spacing w:lineRule="auto" w:line="288" w:before="0" w:after="0"/>
        <w:ind w:left="0" w:right="0" w:firstLine="384"/>
        <w:jc w:val="left"/>
        <w:rPr>
          <w:rFonts w:ascii="Times New Roman;sans-serif" w:hAnsi="Times New Roman;sans-serif"/>
          <w:b/>
          <w:color w:val="000000"/>
          <w:sz w:val="24"/>
        </w:rPr>
      </w:pPr>
      <w:r>
        <w:rPr>
          <w:rFonts w:ascii="Times New Roman;sans-serif" w:hAnsi="Times New Roman;sans-serif"/>
          <w:b/>
          <w:color w:val="000000"/>
          <w:sz w:val="24"/>
        </w:rPr>
        <w:t>JOINDER, CONSENT AND SECOND AMENDMENT TO SECOND AMENDED AND RESTATED CREDIT AGREEMENT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JOINDER, CONSENT AND SECOND AMENDMENT TO SECOND AMENDED</w:t>
      </w:r>
    </w:p>
    <w:p>
      <w:pPr>
        <w:pStyle w:val="TextBody"/>
        <w:bidi w:val="0"/>
        <w:spacing w:lineRule="auto" w:line="288" w:before="0" w:after="0"/>
        <w:jc w:val="both"/>
        <w:rPr/>
      </w:pPr>
      <w:r>
        <w:rPr>
          <w:rFonts w:ascii="Times New Roman;sans-serif" w:hAnsi="Times New Roman;sans-serif"/>
          <w:b w:val="false"/>
          <w:color w:val="000000"/>
          <w:sz w:val="24"/>
        </w:rPr>
        <w:t>AND RESTATED CREDIT AGREEMENT (this “</w:t>
      </w:r>
      <w:r>
        <w:rPr>
          <w:rFonts w:ascii="Times New Roman;sans-serif" w:hAnsi="Times New Roman;sans-serif"/>
          <w:b/>
          <w:color w:val="000000"/>
          <w:sz w:val="24"/>
        </w:rPr>
        <w:t>Amendment</w:t>
      </w:r>
      <w:r>
        <w:rPr>
          <w:color w:val="000000"/>
        </w:rPr>
        <w:t>”</w:t>
      </w:r>
      <w:r>
        <w:rPr>
          <w:rFonts w:ascii="Times New Roman;sans-serif" w:hAnsi="Times New Roman;sans-serif"/>
          <w:b w:val="false"/>
          <w:color w:val="000000"/>
          <w:sz w:val="24"/>
        </w:rPr>
        <w:t>) is dated as of April 25, 2025 (the “</w:t>
      </w:r>
      <w:r>
        <w:rPr>
          <w:rFonts w:ascii="Times New Roman;sans-serif" w:hAnsi="Times New Roman;sans-serif"/>
          <w:b/>
          <w:color w:val="000000"/>
          <w:sz w:val="24"/>
        </w:rPr>
        <w:t>Second Amendment Effective Date</w:t>
      </w:r>
      <w:r>
        <w:rPr>
          <w:color w:val="000000"/>
        </w:rPr>
        <w:t>”</w:t>
      </w:r>
      <w:r>
        <w:rPr>
          <w:rFonts w:ascii="Times New Roman;sans-serif" w:hAnsi="Times New Roman;sans-serif"/>
          <w:b w:val="false"/>
          <w:color w:val="000000"/>
          <w:sz w:val="24"/>
        </w:rPr>
        <w:t>), and is between Hawkins, Inc., a Minnesota corporation (the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4"/>
        </w:rPr>
        <w:t>), the Lenders party hereto, U.S. Bank National Association, a national banking association, as LC Issuer, Swing Line Lender and as Administrative Agent (the “</w:t>
      </w:r>
      <w:r>
        <w:rPr>
          <w:rFonts w:ascii="Times New Roman;sans-serif" w:hAnsi="Times New Roman;sans-serif"/>
          <w:b/>
          <w:color w:val="000000"/>
          <w:sz w:val="24"/>
        </w:rPr>
        <w:t>Administrative Agent</w:t>
      </w:r>
      <w:r>
        <w:rPr>
          <w:color w:val="000000"/>
        </w:rPr>
        <w:t>”</w:t>
      </w:r>
      <w:r>
        <w:rPr>
          <w:rFonts w:ascii="Times New Roman;sans-serif" w:hAnsi="Times New Roman;sans-serif"/>
          <w:b w:val="false"/>
          <w:color w:val="000000"/>
          <w:sz w:val="24"/>
        </w:rPr>
        <w:t>).</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A.The Borrower, the Lenders and the Administrative Agent are party to that certain Second Amended and Restated Credit Agreement, dated as of March 31, 2022 (as may be amended, restated or otherwise modified from time to time, the “</w:t>
      </w:r>
      <w:r>
        <w:rPr>
          <w:rFonts w:ascii="Times New Roman;sans-serif" w:hAnsi="Times New Roman;sans-serif"/>
          <w:b/>
          <w:color w:val="000000"/>
          <w:sz w:val="24"/>
        </w:rPr>
        <w:t>Credit Agreement</w:t>
      </w:r>
      <w:r>
        <w:rPr>
          <w:color w:val="000000"/>
        </w:rPr>
        <w:t>”</w:t>
      </w:r>
      <w:r>
        <w:rPr>
          <w:rFonts w:ascii="Times New Roman;sans-serif" w:hAnsi="Times New Roman;sans-serif"/>
          <w:b w:val="false"/>
          <w:color w:val="000000"/>
          <w:sz w:val="24"/>
        </w:rPr>
        <w:t>). Capitalized terms not otherwise defined in this Amendment shall have the meanings respectively assigned to them in the Credit Agreement.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B.JPMorgan Chase Bank, National Association (“</w:t>
      </w:r>
      <w:r>
        <w:rPr>
          <w:rFonts w:ascii="Times New Roman;sans-serif" w:hAnsi="Times New Roman;sans-serif"/>
          <w:b/>
          <w:color w:val="000000"/>
          <w:sz w:val="24"/>
        </w:rPr>
        <w:t>JPM</w:t>
      </w:r>
      <w:r>
        <w:rPr>
          <w:color w:val="000000"/>
        </w:rPr>
        <w:t>”</w:t>
      </w:r>
      <w:r>
        <w:rPr>
          <w:rFonts w:ascii="Times New Roman;sans-serif" w:hAnsi="Times New Roman;sans-serif"/>
          <w:b w:val="false"/>
          <w:color w:val="000000"/>
          <w:sz w:val="24"/>
        </w:rPr>
        <w:t>), Wells Fargo Bank, National Association, (“</w:t>
      </w:r>
      <w:r>
        <w:rPr>
          <w:rFonts w:ascii="Times New Roman;sans-serif" w:hAnsi="Times New Roman;sans-serif"/>
          <w:b/>
          <w:color w:val="000000"/>
          <w:sz w:val="24"/>
        </w:rPr>
        <w:t>Wells</w:t>
      </w:r>
      <w:r>
        <w:rPr>
          <w:color w:val="000000"/>
        </w:rPr>
        <w:t>”</w:t>
      </w:r>
      <w:r>
        <w:rPr>
          <w:rFonts w:ascii="Times New Roman;sans-serif" w:hAnsi="Times New Roman;sans-serif"/>
          <w:b w:val="false"/>
          <w:color w:val="000000"/>
          <w:sz w:val="24"/>
        </w:rPr>
        <w:t>), and Associated Bank, N.A. (“</w:t>
      </w:r>
      <w:r>
        <w:rPr>
          <w:rFonts w:ascii="Times New Roman;sans-serif" w:hAnsi="Times New Roman;sans-serif"/>
          <w:b/>
          <w:color w:val="000000"/>
          <w:sz w:val="24"/>
        </w:rPr>
        <w:t>Associated</w:t>
      </w:r>
      <w:r>
        <w:rPr>
          <w:color w:val="000000"/>
        </w:rPr>
        <w:t xml:space="preserve">” </w:t>
      </w:r>
      <w:r>
        <w:rPr>
          <w:rFonts w:ascii="Times New Roman;sans-serif" w:hAnsi="Times New Roman;sans-serif"/>
          <w:b w:val="false"/>
          <w:color w:val="000000"/>
          <w:sz w:val="24"/>
        </w:rPr>
        <w:t>together with JPM and Wells, collectively, the “</w:t>
      </w:r>
      <w:r>
        <w:rPr>
          <w:rFonts w:ascii="Times New Roman;sans-serif" w:hAnsi="Times New Roman;sans-serif"/>
          <w:b/>
          <w:color w:val="000000"/>
          <w:sz w:val="24"/>
        </w:rPr>
        <w:t>Joining Lenders</w:t>
      </w:r>
      <w:r>
        <w:rPr>
          <w:color w:val="000000"/>
        </w:rPr>
        <w:t xml:space="preserve">” </w:t>
      </w:r>
      <w:r>
        <w:rPr>
          <w:rFonts w:ascii="Times New Roman;sans-serif" w:hAnsi="Times New Roman;sans-serif"/>
          <w:b w:val="false"/>
          <w:color w:val="000000"/>
          <w:sz w:val="24"/>
        </w:rPr>
        <w:t>and, together with the existing Lenders, the “</w:t>
      </w:r>
      <w:r>
        <w:rPr>
          <w:rFonts w:ascii="Times New Roman;sans-serif" w:hAnsi="Times New Roman;sans-serif"/>
          <w:b/>
          <w:color w:val="000000"/>
          <w:sz w:val="24"/>
        </w:rPr>
        <w:t>Lenders</w:t>
      </w:r>
      <w:r>
        <w:rPr>
          <w:color w:val="000000"/>
        </w:rPr>
        <w:t>”</w:t>
      </w:r>
      <w:r>
        <w:rPr>
          <w:rFonts w:ascii="Times New Roman;sans-serif" w:hAnsi="Times New Roman;sans-serif"/>
          <w:b w:val="false"/>
          <w:color w:val="000000"/>
          <w:sz w:val="24"/>
        </w:rPr>
        <w:t>) desire to join the Credit Agreement and to provide certain Commitments, subject to the terms set forth herein.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C.Surplus Management, Inc. dba WaterSurplus, an Illinois corporation (the “</w:t>
      </w:r>
      <w:r>
        <w:rPr>
          <w:rFonts w:ascii="Times New Roman;sans-serif" w:hAnsi="Times New Roman;sans-serif"/>
          <w:b/>
          <w:color w:val="000000"/>
          <w:sz w:val="24"/>
        </w:rPr>
        <w:t>Seller</w:t>
      </w:r>
      <w:r>
        <w:rPr>
          <w:color w:val="000000"/>
        </w:rPr>
        <w:t>”</w:t>
      </w:r>
      <w:r>
        <w:rPr>
          <w:rFonts w:ascii="Times New Roman;sans-serif" w:hAnsi="Times New Roman;sans-serif"/>
          <w:b w:val="false"/>
          <w:color w:val="000000"/>
          <w:sz w:val="24"/>
        </w:rPr>
        <w:t>), John J. Barelli, as Trustee of the John J. Barelli Revocable Trust, dated August 2, 2007, Panther Acquisition Corporation, a Minnesota corporation (“</w:t>
      </w:r>
      <w:r>
        <w:rPr>
          <w:rFonts w:ascii="Times New Roman;sans-serif" w:hAnsi="Times New Roman;sans-serif"/>
          <w:b/>
          <w:color w:val="000000"/>
          <w:sz w:val="24"/>
        </w:rPr>
        <w:t>Newco</w:t>
      </w:r>
      <w:r>
        <w:rPr>
          <w:color w:val="000000"/>
        </w:rPr>
        <w:t>”</w:t>
      </w:r>
      <w:r>
        <w:rPr>
          <w:rFonts w:ascii="Times New Roman;sans-serif" w:hAnsi="Times New Roman;sans-serif"/>
          <w:b w:val="false"/>
          <w:color w:val="000000"/>
          <w:sz w:val="24"/>
        </w:rPr>
        <w:t>) and the Borrower are party to that certain Asset Purchase Agreement dated as of the date hereof (the “</w:t>
      </w:r>
      <w:r>
        <w:rPr>
          <w:rFonts w:ascii="Times New Roman;sans-serif" w:hAnsi="Times New Roman;sans-serif"/>
          <w:b/>
          <w:color w:val="000000"/>
          <w:sz w:val="24"/>
        </w:rPr>
        <w:t>Acquisition Agreement (WaterSurplus)</w:t>
      </w:r>
      <w:r>
        <w:rPr>
          <w:color w:val="000000"/>
        </w:rPr>
        <w:t>”</w:t>
      </w:r>
      <w:r>
        <w:rPr>
          <w:rFonts w:ascii="Times New Roman;sans-serif" w:hAnsi="Times New Roman;sans-serif"/>
          <w:b w:val="false"/>
          <w:color w:val="000000"/>
          <w:sz w:val="24"/>
        </w:rPr>
        <w:t>) whereby the purchase and transfer of all of the Assets (as defined in the Acquisition Agreement (WaterSurplus) of the Seller will be consummated (such purchase and transfer being the “</w:t>
      </w:r>
      <w:r>
        <w:rPr>
          <w:rFonts w:ascii="Times New Roman;sans-serif" w:hAnsi="Times New Roman;sans-serif"/>
          <w:b/>
          <w:color w:val="000000"/>
          <w:sz w:val="24"/>
        </w:rPr>
        <w:t>Acquisition (WaterSurplus)</w:t>
      </w:r>
      <w:r>
        <w:rPr>
          <w:color w:val="000000"/>
        </w:rPr>
        <w:t>”</w:t>
      </w:r>
      <w:r>
        <w:rPr>
          <w:rFonts w:ascii="Times New Roman;sans-serif" w:hAnsi="Times New Roman;sans-serif"/>
          <w:b w:val="false"/>
          <w:color w:val="000000"/>
          <w:sz w:val="24"/>
        </w:rPr>
        <w:t>). Newco desires to join the Credit Agreement, and, in relation to certain terms of the Acquisition (WaterSurplus), Borrower wishes to amend the Credit Agreement.</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parties hereto desire to amend and modify the Credit Agreement in accordance with the terms and subject to the conditions set forth in this Amendment.</w:t>
      </w:r>
    </w:p>
    <w:p>
      <w:pPr>
        <w:pStyle w:val="TextBody"/>
        <w:bidi w:val="0"/>
        <w:spacing w:lineRule="auto" w:line="288" w:before="240" w:after="283"/>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covenants, conditions and agreements herein contained, the parties hereto hereby agree as follows: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AGREEMENT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1. </w:t>
      </w:r>
      <w:r>
        <w:rPr>
          <w:rFonts w:ascii="Times New Roman;sans-serif" w:hAnsi="Times New Roman;sans-serif"/>
          <w:b/>
          <w:color w:val="000000"/>
          <w:sz w:val="24"/>
          <w:u w:val="single"/>
        </w:rPr>
        <w:t>Capitalized Terms</w:t>
      </w:r>
      <w:r>
        <w:rPr>
          <w:rFonts w:ascii="Times New Roman;sans-serif" w:hAnsi="Times New Roman;sans-serif"/>
          <w:b w:val="false"/>
          <w:color w:val="000000"/>
          <w:sz w:val="24"/>
        </w:rPr>
        <w:t>. Capitalized terms used and not otherwise defined herein shall have the meanings assigned to them in the Credit Agreement, unless the context otherwise requires.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3" w:after="283"/>
        <w:jc w:val="left"/>
        <w:rPr/>
      </w:pPr>
      <w:r>
        <w:rPr/>
      </w:r>
    </w:p>
    <w:p>
      <w:pPr>
        <w:pStyle w:val="TextBody"/>
        <w:bidi w:val="0"/>
        <w:spacing w:lineRule="auto" w:line="288" w:before="1"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4922-9658-4485\9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ans-serif" w:hAnsi="Times New Roman;sans-serif"/>
          <w:b w:val="false"/>
          <w:color w:val="000000"/>
          <w:sz w:val="24"/>
        </w:rPr>
        <w:t xml:space="preserve">SECTION 2. </w:t>
      </w:r>
      <w:r>
        <w:rPr>
          <w:rFonts w:ascii="Times New Roman;sans-serif" w:hAnsi="Times New Roman;sans-serif"/>
          <w:b/>
          <w:color w:val="000000"/>
          <w:sz w:val="24"/>
          <w:u w:val="single"/>
        </w:rPr>
        <w:t>Joinder</w:t>
      </w:r>
      <w:r>
        <w:rPr>
          <w:rFonts w:ascii="Times New Roman;sans-serif" w:hAnsi="Times New Roman;sans-serif"/>
          <w:b w:val="false"/>
          <w:color w:val="000000"/>
          <w:sz w:val="24"/>
        </w:rPr>
        <w:t>.</w:t>
      </w:r>
    </w:p>
    <w:p>
      <w:pPr>
        <w:pStyle w:val="TextBody"/>
        <w:bidi w:val="0"/>
        <w:spacing w:lineRule="auto" w:line="288" w:before="239" w:after="283"/>
        <w:ind w:left="0" w:right="0" w:firstLine="727"/>
        <w:jc w:val="both"/>
        <w:rPr/>
      </w:pPr>
      <w:r>
        <w:rPr>
          <w:rFonts w:ascii="Times New Roman;sans-serif" w:hAnsi="Times New Roman;sans-serif"/>
          <w:b/>
          <w:color w:val="000000"/>
          <w:sz w:val="24"/>
        </w:rPr>
        <w:t xml:space="preserve">Section 2.1- </w:t>
      </w:r>
      <w:r>
        <w:rPr>
          <w:rFonts w:ascii="Times New Roman;sans-serif" w:hAnsi="Times New Roman;sans-serif"/>
          <w:b/>
          <w:color w:val="000000"/>
          <w:sz w:val="24"/>
          <w:u w:val="single"/>
        </w:rPr>
        <w:t>Credit Agreement; Commitments</w:t>
      </w:r>
      <w:r>
        <w:rPr>
          <w:rFonts w:ascii="Times New Roman;sans-serif" w:hAnsi="Times New Roman;sans-serif"/>
          <w:b/>
          <w:color w:val="000000"/>
          <w:sz w:val="24"/>
        </w:rPr>
        <w:t xml:space="preserve">. </w:t>
      </w:r>
      <w:r>
        <w:rPr>
          <w:rFonts w:ascii="Times New Roman;sans-serif" w:hAnsi="Times New Roman;sans-serif"/>
          <w:b w:val="false"/>
          <w:color w:val="000000"/>
          <w:sz w:val="24"/>
        </w:rPr>
        <w:t>Effective solely upon satisfaction or waiver of each of the conditions precedent set forth in Section 4 below and in accordance with its Augmenting Lender Supplement, each Joining Lender agrees to be bound by the provisions of the Credit Agreement and agrees that it shall, as of the date hereof, become a Lender for all purposes of the Credit Agreement to the same extent as if originally a party thereto. The Joining Lenders, the Borrower, the LC Issuer, Swing Line Lender, and Administrative Agent agree that such joinder shall become effective as of the Second Amendment Effective Date. The Joining Lenders acknowledge and agree that the amount of each Joining Lender’s Revolving Commitment is set forth on Schedule 1 to the Credit Agreement, as amended by this Amendment.</w:t>
      </w:r>
    </w:p>
    <w:p>
      <w:pPr>
        <w:pStyle w:val="TextBody"/>
        <w:bidi w:val="0"/>
        <w:spacing w:lineRule="auto" w:line="288" w:before="241" w:after="283"/>
        <w:jc w:val="left"/>
        <w:rPr/>
      </w:pPr>
      <w:r>
        <w:rPr>
          <w:rFonts w:ascii="Times New Roman;sans-serif" w:hAnsi="Times New Roman;sans-serif"/>
          <w:b w:val="false"/>
          <w:color w:val="000000"/>
          <w:sz w:val="24"/>
        </w:rPr>
        <w:t xml:space="preserve">SECTION 3. </w:t>
      </w:r>
      <w:r>
        <w:rPr>
          <w:rFonts w:ascii="Times New Roman;sans-serif" w:hAnsi="Times New Roman;sans-serif"/>
          <w:b/>
          <w:color w:val="000000"/>
          <w:sz w:val="24"/>
          <w:u w:val="single"/>
        </w:rPr>
        <w:t>Amendments and Consent</w:t>
      </w:r>
      <w:r>
        <w:rPr>
          <w:rFonts w:ascii="Times New Roman;sans-serif" w:hAnsi="Times New Roman;sans-serif"/>
          <w:b w:val="false"/>
          <w:color w:val="000000"/>
          <w:sz w:val="24"/>
          <w:u w:val="single"/>
        </w:rPr>
        <w:t>.</w:t>
      </w:r>
    </w:p>
    <w:p>
      <w:pPr>
        <w:pStyle w:val="TextBody"/>
        <w:bidi w:val="0"/>
        <w:spacing w:lineRule="auto" w:line="288" w:before="240" w:after="283"/>
        <w:ind w:left="0" w:right="0" w:firstLine="727"/>
        <w:jc w:val="both"/>
        <w:rPr/>
      </w:pPr>
      <w:r>
        <w:rPr>
          <w:rFonts w:ascii="Times New Roman;sans-serif" w:hAnsi="Times New Roman;sans-serif"/>
          <w:b/>
          <w:color w:val="000000"/>
          <w:sz w:val="22"/>
        </w:rPr>
        <w:t>Section 3.1-</w:t>
      </w:r>
      <w:r>
        <w:rPr>
          <w:color w:val="000000"/>
        </w:rPr>
        <w:t xml:space="preserve"> </w:t>
      </w:r>
      <w:r>
        <w:rPr>
          <w:rFonts w:ascii="Times New Roman;sans-serif" w:hAnsi="Times New Roman;sans-serif"/>
          <w:b/>
          <w:color w:val="000000"/>
          <w:sz w:val="24"/>
          <w:u w:val="single"/>
        </w:rPr>
        <w:t>Credit Agreement</w:t>
      </w:r>
      <w:r>
        <w:rPr>
          <w:color w:val="000000"/>
        </w:rPr>
        <w:t xml:space="preserve">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Upon satisfaction (or waiver) of the conditions set forth in Section 4 hereof (except as set forth in Section 3.2 below), the Credit Agreement is hereby amended to (i) delete the red stricken text (indicated textually in the same manner as the following example: </w:t>
      </w:r>
      <w:r>
        <w:rPr>
          <w:rFonts w:ascii="Times New Roman;sans-serif" w:hAnsi="Times New Roman;sans-serif"/>
          <w:b w:val="false"/>
          <w:strike/>
          <w:color w:val="FF0000"/>
          <w:sz w:val="24"/>
        </w:rPr>
        <w:t>stricken red text</w:t>
      </w:r>
      <w:r>
        <w:rPr>
          <w:rFonts w:ascii="Times New Roman;sans-serif" w:hAnsi="Times New Roman;sans-serif"/>
          <w:b w:val="false"/>
          <w:color w:val="000000"/>
          <w:sz w:val="24"/>
        </w:rPr>
        <w:t xml:space="preserve">), (ii) add the blue double-underlined text (indicated textually in the same manner as the following example: </w:t>
      </w:r>
      <w:r>
        <w:rPr>
          <w:rFonts w:ascii="Times New Roman;sans-serif" w:hAnsi="Times New Roman;sans-serif"/>
          <w:b w:val="false"/>
          <w:color w:val="0000FF"/>
          <w:sz w:val="24"/>
        </w:rPr>
        <w:t>double-underlined blue text</w:t>
      </w:r>
      <w:r>
        <w:rPr>
          <w:rFonts w:ascii="Times New Roman;sans-serif" w:hAnsi="Times New Roman;sans-serif"/>
          <w:b w:val="false"/>
          <w:color w:val="000000"/>
          <w:sz w:val="24"/>
        </w:rPr>
        <w:t xml:space="preserve">), and (iii) move the green stricken text (indicated textually in the same manner as the following example: </w:t>
      </w:r>
      <w:r>
        <w:rPr>
          <w:rFonts w:ascii="Times New Roman;sans-serif" w:hAnsi="Times New Roman;sans-serif"/>
          <w:b w:val="false"/>
          <w:strike/>
          <w:color w:val="00AF50"/>
          <w:sz w:val="24"/>
        </w:rPr>
        <w:t>stricken green text</w:t>
      </w:r>
      <w:r>
        <w:rPr>
          <w:rFonts w:ascii="Times New Roman;sans-serif" w:hAnsi="Times New Roman;sans-serif"/>
          <w:b w:val="false"/>
          <w:color w:val="000000"/>
          <w:sz w:val="24"/>
        </w:rPr>
        <w:t xml:space="preserve">) to where shown in the green double-underlined text (indicated textually in the same manner as the following example: </w:t>
      </w:r>
      <w:r>
        <w:rPr>
          <w:rFonts w:ascii="Times New Roman;sans-serif" w:hAnsi="Times New Roman;sans-serif"/>
          <w:b w:val="false"/>
          <w:color w:val="00AF50"/>
          <w:sz w:val="24"/>
        </w:rPr>
        <w:t>double underlined green text</w:t>
      </w:r>
      <w:r>
        <w:rPr>
          <w:rFonts w:ascii="Times New Roman;sans-serif" w:hAnsi="Times New Roman;sans-serif"/>
          <w:b w:val="false"/>
          <w:color w:val="000000"/>
          <w:sz w:val="24"/>
        </w:rPr>
        <w:t>), in each case in a copy of the Credit Agreement attached as Exhibit A hereto.</w:t>
      </w:r>
    </w:p>
    <w:p>
      <w:pPr>
        <w:pStyle w:val="TextBody"/>
        <w:bidi w:val="0"/>
        <w:spacing w:lineRule="auto" w:line="288" w:before="240" w:after="283"/>
        <w:ind w:left="0" w:right="0" w:firstLine="727"/>
        <w:jc w:val="both"/>
        <w:rPr/>
      </w:pPr>
      <w:r>
        <w:rPr>
          <w:rFonts w:ascii="Times New Roman;sans-serif" w:hAnsi="Times New Roman;sans-serif"/>
          <w:b/>
          <w:color w:val="000000"/>
          <w:sz w:val="22"/>
        </w:rPr>
        <w:t>Section 3.2-</w:t>
      </w:r>
      <w:r>
        <w:rPr>
          <w:color w:val="000000"/>
        </w:rPr>
        <w:t xml:space="preserve"> </w:t>
      </w:r>
      <w:r>
        <w:rPr>
          <w:rFonts w:ascii="Times New Roman;sans-serif" w:hAnsi="Times New Roman;sans-serif"/>
          <w:b/>
          <w:color w:val="000000"/>
          <w:sz w:val="24"/>
          <w:u w:val="single"/>
        </w:rPr>
        <w:t>Consent</w:t>
      </w:r>
      <w:r>
        <w:rPr>
          <w:color w:val="000000"/>
        </w:rPr>
        <w:t xml:space="preserve"> – </w:t>
      </w:r>
      <w:r>
        <w:rPr>
          <w:rFonts w:ascii="Times New Roman;sans-serif" w:hAnsi="Times New Roman;sans-serif"/>
          <w:b w:val="false"/>
          <w:color w:val="000000"/>
          <w:sz w:val="24"/>
        </w:rPr>
        <w:t>Notwithstanding anything to the contrary herein, the Required Lenders (as such term is defined prior to the effectiveness of this Amendment), by their signature hereto, hereby consent in accordance with the terms of the Credit Agreement to the amendment of the definition of “Indebtedness” in the form attached hereto as Exhibit A effective as of October 27, 2023. The consent herein is limited to the express terms hereof, and nothing herein shall be deemed a consent by the Required Lenders with respect to any other term, condition, representation or covenant applicable to the Borrower under the Credit Agreement or any of the other Loan Documents executed and delivered in connection therewith, or of the covenants described therein. The consent set forth herein shall not be deemed to be a course of dealing upon which the Borrower may rely in the future.</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4. </w:t>
      </w:r>
      <w:r>
        <w:rPr>
          <w:rFonts w:ascii="Times New Roman;sans-serif" w:hAnsi="Times New Roman;sans-serif"/>
          <w:b/>
          <w:color w:val="000000"/>
          <w:sz w:val="24"/>
          <w:u w:val="single"/>
        </w:rPr>
        <w:t>Effectiveness of Amendments</w:t>
      </w:r>
      <w:r>
        <w:rPr>
          <w:rFonts w:ascii="Times New Roman;sans-serif" w:hAnsi="Times New Roman;sans-serif"/>
          <w:b w:val="false"/>
          <w:color w:val="000000"/>
          <w:sz w:val="24"/>
        </w:rPr>
        <w:t>. The amendments contained in this Amendment shall become effective upon delivery by the Borrower of, and compliance by the Borrower with, the following:</w:t>
      </w:r>
    </w:p>
    <w:p>
      <w:pPr>
        <w:pStyle w:val="TextBody"/>
        <w:bidi w:val="0"/>
        <w:spacing w:lineRule="auto" w:line="288" w:before="180" w:after="283"/>
        <w:jc w:val="left"/>
        <w:rPr/>
      </w:pPr>
      <w:r>
        <w:rPr>
          <w:rFonts w:ascii="Times New Roman;sans-serif" w:hAnsi="Times New Roman;sans-serif"/>
          <w:b/>
          <w:color w:val="000000"/>
          <w:sz w:val="22"/>
        </w:rPr>
        <w:t>Section 4.1-</w:t>
      </w:r>
      <w:r>
        <w:rPr>
          <w:color w:val="000000"/>
        </w:rPr>
        <w:t xml:space="preserve"> </w:t>
      </w:r>
      <w:r>
        <w:rPr>
          <w:rFonts w:ascii="Times New Roman;sans-serif" w:hAnsi="Times New Roman;sans-serif"/>
          <w:b w:val="false"/>
          <w:color w:val="000000"/>
          <w:sz w:val="24"/>
        </w:rPr>
        <w:t>This Amendment duly executed by the Borrower.</w:t>
      </w:r>
    </w:p>
    <w:p>
      <w:pPr>
        <w:pStyle w:val="TextBody"/>
        <w:bidi w:val="0"/>
        <w:spacing w:lineRule="auto" w:line="288" w:before="180" w:after="283"/>
        <w:ind w:left="0" w:right="0" w:firstLine="727"/>
        <w:jc w:val="both"/>
        <w:rPr/>
      </w:pPr>
      <w:r>
        <w:rPr>
          <w:rFonts w:ascii="Times New Roman;sans-serif" w:hAnsi="Times New Roman;sans-serif"/>
          <w:b/>
          <w:color w:val="000000"/>
          <w:sz w:val="22"/>
        </w:rPr>
        <w:t>Section 4.2-</w:t>
      </w:r>
      <w:r>
        <w:rPr>
          <w:color w:val="000000"/>
        </w:rPr>
        <w:t xml:space="preserve"> </w:t>
      </w:r>
      <w:r>
        <w:rPr>
          <w:rFonts w:ascii="Times New Roman;sans-serif" w:hAnsi="Times New Roman;sans-serif"/>
          <w:b w:val="false"/>
          <w:color w:val="000000"/>
          <w:sz w:val="24"/>
        </w:rPr>
        <w:t>Duly executed Notes drawn to each Lender that has requested a Note, executed by the Borrower and dated the Second Amendment Effective Date.</w:t>
      </w:r>
    </w:p>
    <w:p>
      <w:pPr>
        <w:pStyle w:val="TextBody"/>
        <w:bidi w:val="0"/>
        <w:spacing w:lineRule="auto" w:line="288" w:before="180" w:after="283"/>
        <w:jc w:val="left"/>
        <w:rPr/>
      </w:pPr>
      <w:r>
        <w:rPr>
          <w:rFonts w:ascii="Times New Roman;sans-serif" w:hAnsi="Times New Roman;sans-serif"/>
          <w:b/>
          <w:color w:val="000000"/>
          <w:sz w:val="22"/>
        </w:rPr>
        <w:t>Section 4.3-</w:t>
      </w:r>
      <w:r>
        <w:rPr>
          <w:color w:val="000000"/>
        </w:rPr>
        <w:t xml:space="preserve"> </w:t>
      </w:r>
      <w:r>
        <w:rPr>
          <w:rFonts w:ascii="Times New Roman;sans-serif" w:hAnsi="Times New Roman;sans-serif"/>
          <w:b w:val="false"/>
          <w:color w:val="000000"/>
          <w:sz w:val="24"/>
        </w:rPr>
        <w:t>A Joinder and Reaffirmation of Loan Documents, duly executed by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each Loan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5975"/>
                <wp:effectExtent l="0" t="0" r="0" b="0"/>
                <wp:wrapNone/>
                <wp:docPr id="6" name="Frame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firstLine="727"/>
        <w:jc w:val="left"/>
        <w:rPr/>
      </w:pPr>
      <w:r>
        <w:rPr>
          <w:rFonts w:ascii="Times New Roman;sans-serif" w:hAnsi="Times New Roman;sans-serif"/>
          <w:b/>
          <w:color w:val="000000"/>
          <w:sz w:val="24"/>
        </w:rPr>
        <w:t>Section 4.4</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4"/>
        </w:rPr>
        <w:t>A certificate of the Secretary of each of the Borrower, Newco, and Water Solutions Unlimited, Inc. certifying (i) as to the resolutions of the Board of Directors of such Person authorizing the execution, delivery and performance of this Amendment, (ii) as to the Articles of Incorporation of such Person; (iii) as to the bylaws of such Person; and (iv) as to the identity, office and signatures of each officer of such Person authorized to execute this Amendment and any other instrument or agreement executed by such Person in connection with this Amendment (collectively, the “</w:t>
      </w:r>
      <w:r>
        <w:rPr>
          <w:rFonts w:ascii="Times New Roman;sans-serif" w:hAnsi="Times New Roman;sans-serif"/>
          <w:b/>
          <w:color w:val="000000"/>
          <w:sz w:val="24"/>
        </w:rPr>
        <w:t>Amendment Documents</w:t>
      </w:r>
      <w:r>
        <w:rPr>
          <w:color w:val="000000"/>
        </w:rPr>
        <w:t>”</w:t>
      </w:r>
      <w:r>
        <w:rPr>
          <w:rFonts w:ascii="Times New Roman;sans-serif" w:hAnsi="Times New Roman;sans-serif"/>
          <w:b w:val="false"/>
          <w:color w:val="000000"/>
          <w:sz w:val="24"/>
        </w:rPr>
        <w:t>).</w:t>
      </w:r>
    </w:p>
    <w:p>
      <w:pPr>
        <w:pStyle w:val="TextBody"/>
        <w:bidi w:val="0"/>
        <w:spacing w:lineRule="auto" w:line="288" w:before="241" w:after="283"/>
        <w:ind w:left="0" w:right="0" w:firstLine="727"/>
        <w:jc w:val="both"/>
        <w:rPr/>
      </w:pPr>
      <w:r>
        <w:rPr>
          <w:rFonts w:ascii="Times New Roman;sans-serif" w:hAnsi="Times New Roman;sans-serif"/>
          <w:b/>
          <w:color w:val="000000"/>
          <w:sz w:val="24"/>
        </w:rPr>
        <w:t>Section 4.5</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4"/>
        </w:rPr>
        <w:t>Certificates of current status or good standing for each Loan Party, Newco, and Water Solutions Unlimited, Inc. in its respective jurisdiction of organization as of a date reasonably acceptable to the Administrative Agent.</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4.6-</w:t>
      </w:r>
      <w:r>
        <w:rPr>
          <w:color w:val="000000"/>
        </w:rPr>
        <w:t xml:space="preserve"> </w:t>
      </w:r>
      <w:r>
        <w:rPr>
          <w:rFonts w:ascii="Times New Roman;sans-serif" w:hAnsi="Times New Roman;sans-serif"/>
          <w:b w:val="false"/>
          <w:color w:val="000000"/>
          <w:sz w:val="24"/>
        </w:rPr>
        <w:t>A solvency certificate for the Borrower and its Subsidiaries on a consolidated basis in form and substance reasonably acceptable to the Administrative Agent, from the chief financial officer of the Borrower.</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4.7</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4"/>
        </w:rPr>
        <w:t>Completed UCC lien search results in each jurisdiction where each Loan Party and Seller is organized as well as from the United States Patent and Trademark Office and U.S. Copyright Office, tax lien searches and judgment searches for Seller and if applicable, any other holder of Assets (as defined in the Acquisition Agreement (WaterSurplus), in each case, reasonably satisfactory to the Administrative Agent.</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4.8</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4"/>
        </w:rPr>
        <w:t>Customary payoff letters and UCC-3 termination statements from all existing lenders to any Seller and holders of Liens on assets or Property of any Seller.</w:t>
      </w:r>
    </w:p>
    <w:p>
      <w:pPr>
        <w:pStyle w:val="TextBody"/>
        <w:bidi w:val="0"/>
        <w:spacing w:lineRule="auto" w:line="288" w:before="240" w:after="283"/>
        <w:ind w:left="0" w:right="0" w:firstLine="720"/>
        <w:jc w:val="left"/>
        <w:rPr/>
      </w:pPr>
      <w:r>
        <w:rPr>
          <w:rFonts w:ascii="Times New Roman;sans-serif" w:hAnsi="Times New Roman;sans-serif"/>
          <w:b/>
          <w:color w:val="000000"/>
          <w:sz w:val="24"/>
        </w:rPr>
        <w:t>Section 4.9</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4"/>
        </w:rPr>
        <w:t>A certificate of any officer of the Borrower certifying to:</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 true and accurate copy of the Acquisition Agreement (WaterSurplus) has been duly executed and attached thereto and remains in full force and effect, without modification or amendment;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satisfaction or waiver of all conditions to the closing of the Acquisition (WaterSurplus);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c.Pro forma compliance with Section 6.31 as of the Fiscal Quarter most recently ended for which financial statements are available, with calculations in reasonable detail as if the Acquisition (WaterSurplus), including the aggregate consideration therefore (including the maximum amount of any potential earnouts or other deferred purchase price calculated as if such amounts were fully earned and paid on the date of the Acquisition (WaterSurplus) is consummated), had been consummated on the first day of such testing period;</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d.Each of the matters described in clauses (a) through (f) of the definition of “Permitted Acquisition” of the Credit Agreement are true and correct with respect to the Acquisition (WaterSurplus); and</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e.Each of the matters set forth in Section 4.2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15975"/>
                <wp:effectExtent l="0" t="0" r="0" b="0"/>
                <wp:wrapNone/>
                <wp:docPr id="7" name="Frame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firstLine="727"/>
        <w:jc w:val="both"/>
        <w:rPr/>
      </w:pPr>
      <w:r>
        <w:rPr>
          <w:rFonts w:ascii="Times New Roman;sans-serif" w:hAnsi="Times New Roman;sans-serif"/>
          <w:b/>
          <w:color w:val="000000"/>
          <w:sz w:val="24"/>
        </w:rPr>
        <w:t>Section 4.10-</w:t>
      </w:r>
      <w:r>
        <w:rPr>
          <w:color w:val="000000"/>
        </w:rPr>
        <w:t xml:space="preserve"> </w:t>
      </w:r>
      <w:r>
        <w:rPr>
          <w:rFonts w:ascii="Times New Roman;sans-serif" w:hAnsi="Times New Roman;sans-serif"/>
          <w:b w:val="false"/>
          <w:color w:val="000000"/>
          <w:sz w:val="24"/>
        </w:rPr>
        <w:t>An opinion of legal counsel to the Borrower with respect to the Joinder of Water Solutions Unlimited, Inc. and Newco, in form and substance satisfactory to the Administrative Agent, addressed to the Lenders.</w:t>
      </w:r>
    </w:p>
    <w:p>
      <w:pPr>
        <w:pStyle w:val="TextBody"/>
        <w:bidi w:val="0"/>
        <w:spacing w:lineRule="auto" w:line="288" w:before="241" w:after="283"/>
        <w:ind w:left="0" w:right="0" w:firstLine="727"/>
        <w:jc w:val="both"/>
        <w:rPr/>
      </w:pPr>
      <w:r>
        <w:rPr>
          <w:rFonts w:ascii="Times New Roman;sans-serif" w:hAnsi="Times New Roman;sans-serif"/>
          <w:b/>
          <w:color w:val="000000"/>
          <w:sz w:val="24"/>
        </w:rPr>
        <w:t>Section 4.11-</w:t>
      </w:r>
      <w:r>
        <w:rPr>
          <w:color w:val="000000"/>
        </w:rPr>
        <w:t xml:space="preserve"> </w:t>
      </w:r>
      <w:r>
        <w:rPr>
          <w:rFonts w:ascii="Times New Roman;sans-serif" w:hAnsi="Times New Roman;sans-serif"/>
          <w:b w:val="false"/>
          <w:color w:val="000000"/>
          <w:sz w:val="24"/>
        </w:rPr>
        <w:t>The Administrative Agent shall have received evidence, in form, scope and substance satisfactory to the Administrative Agent, of current insurance coverage with respect to Newco, together with all required endorsements, which may be delivered following the closing of this Amendment.</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4.12-</w:t>
      </w:r>
      <w:r>
        <w:rPr>
          <w:color w:val="000000"/>
        </w:rPr>
        <w:t xml:space="preserve"> </w:t>
      </w:r>
      <w:r>
        <w:rPr>
          <w:rFonts w:ascii="Times New Roman;sans-serif" w:hAnsi="Times New Roman;sans-serif"/>
          <w:b w:val="false"/>
          <w:color w:val="000000"/>
          <w:sz w:val="24"/>
        </w:rPr>
        <w:t>The Administrative Agent shall have received an executed copy of the U.S. Bank Fee Letter and shall have received for itself and for the account of the Lenders all reasonably documented fees and other amounts due and payable by the Borrower on or prior to the Second Amendment Effective Date, including pursuant to the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U.S. Bank Fee Letter, and the reasonable fees and expenses of counsel to the Administrative Agent payable pursuant to Section 9.6 of the Credit Agreement.</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4.13-</w:t>
      </w:r>
      <w:r>
        <w:rPr>
          <w:color w:val="000000"/>
        </w:rPr>
        <w:t xml:space="preserve"> </w:t>
      </w:r>
      <w:r>
        <w:rPr>
          <w:rFonts w:ascii="Times New Roman;sans-serif" w:hAnsi="Times New Roman;sans-serif"/>
          <w:b w:val="false"/>
          <w:color w:val="000000"/>
          <w:sz w:val="24"/>
        </w:rPr>
        <w:t>An executed Augmenting Lender Acknowledgment, in the form attached to the Credit Agreement, for each Joining Lender.</w:t>
      </w:r>
    </w:p>
    <w:p>
      <w:pPr>
        <w:pStyle w:val="TextBody"/>
        <w:bidi w:val="0"/>
        <w:spacing w:lineRule="auto" w:line="288" w:before="240" w:after="283"/>
        <w:jc w:val="center"/>
        <w:rPr/>
      </w:pPr>
      <w:r>
        <w:rPr>
          <w:rFonts w:ascii="Times New Roman;sans-serif" w:hAnsi="Times New Roman;sans-serif"/>
          <w:b w:val="false"/>
          <w:color w:val="000000"/>
          <w:sz w:val="24"/>
        </w:rPr>
        <w:t xml:space="preserve">SECTION 5. </w:t>
      </w:r>
      <w:r>
        <w:rPr>
          <w:rFonts w:ascii="Times New Roman;sans-serif" w:hAnsi="Times New Roman;sans-serif"/>
          <w:b/>
          <w:color w:val="000000"/>
          <w:sz w:val="24"/>
          <w:u w:val="single"/>
        </w:rPr>
        <w:t>Representations, Warranties, Authority, No Adverse Claim</w:t>
      </w:r>
      <w:r>
        <w:rPr>
          <w:rFonts w:ascii="Times New Roman;sans-serif" w:hAnsi="Times New Roman;sans-serif"/>
          <w:b w:val="false"/>
          <w:color w:val="000000"/>
          <w:sz w:val="24"/>
        </w:rPr>
        <w:t>.</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5.1-</w:t>
      </w:r>
      <w:r>
        <w:rPr>
          <w:color w:val="000000"/>
        </w:rPr>
        <w:t xml:space="preserve"> </w:t>
      </w:r>
      <w:r>
        <w:rPr>
          <w:rFonts w:ascii="Times New Roman;sans-serif" w:hAnsi="Times New Roman;sans-serif"/>
          <w:b/>
          <w:color w:val="000000"/>
          <w:sz w:val="24"/>
          <w:u w:val="single"/>
        </w:rPr>
        <w:t>Reassertion of Representations and Warranties, No Default</w:t>
      </w:r>
      <w:r>
        <w:rPr>
          <w:rFonts w:ascii="Times New Roman;sans-serif" w:hAnsi="Times New Roman;sans-serif"/>
          <w:b w:val="false"/>
          <w:color w:val="000000"/>
          <w:sz w:val="24"/>
        </w:rPr>
        <w:t>. The Borrower hereby represents that on and as of the date hereof and after giving effect to this Amendment (a) all of the representations and warranties contained in the Credit Agreement are true, correct and complete in all respects as of the date hereof as though made on and as of such date, except to the extent any such representation or warranty is stated to relate solely to an earlier date, in which case such representation or warranty shall have been true and correct on and as of such earlier date, and (b) there will exist no Default or Event of Default under the Credit Agreement as amended by this Amendment on such date which has not been waived by the Required Lenders.</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5.2-</w:t>
      </w:r>
      <w:r>
        <w:rPr>
          <w:color w:val="000000"/>
        </w:rPr>
        <w:t xml:space="preserve"> </w:t>
      </w:r>
      <w:r>
        <w:rPr>
          <w:rFonts w:ascii="Times New Roman;sans-serif" w:hAnsi="Times New Roman;sans-serif"/>
          <w:b/>
          <w:color w:val="000000"/>
          <w:sz w:val="24"/>
          <w:u w:val="single"/>
        </w:rPr>
        <w:t>Authority, No Conflict, No Consent Required, Enforceability</w:t>
      </w:r>
      <w:r>
        <w:rPr>
          <w:rFonts w:ascii="Times New Roman;sans-serif" w:hAnsi="Times New Roman;sans-serif"/>
          <w:b w:val="false"/>
          <w:color w:val="000000"/>
          <w:sz w:val="24"/>
        </w:rPr>
        <w:t>. Borrower represents and warrants that the Borrower has the power and legal right and authority to enter into the Amendment Documents and has duly authorized as appropriate the execution and delivery of the Amendment Documents and other agreements and documents executed and delivered by the Borrower in connection herewith or therewith by proper corporate action, and none of the Amendment Documents nor the agreements contained herein or therein contravenes or constitutes a default under any agreement, instrument or indenture to which the Borrower is a party or a signatory or a provision of the Borrower’s Articles of Incorporation, Bylaws, or any other agreement or requirement of law, or result in the imposition of any Lien on any of its property under any agreement binding on or applicable to the Borrower or any of its property except, if any, in favor of the Administrative Agent and the Lenders. The Borrower represents and warrants that no consent, approval or authorization of or registration or declaration with any Person, including but not limited to any governmental authority, is required in connection with the execution and delivery by the Borrower of the Amendment Documents or other agreements and documents executed and delivered by the Borrower in connection therewith or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15975"/>
                <wp:effectExtent l="0" t="0" r="0" b="0"/>
                <wp:wrapNone/>
                <wp:docPr id="8" name="Frame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of obligations of the Borrower therein described, except for those which the Borrower has obtained or provided and as to which the Borrower has delivered certified copies of documents evidencing each such action to the Administrative Agent. The Borrower represents and warrants that the Amendment Documents constitute the legal, valid and binding obligations of the Borrower, enforceable against the Borrower in accordance with their respective terms, subject to limitations as to enforceability which might result from bankruptcy, insolvency, moratorium and other similar laws affecting creditors’ rights generally and subject to limitations on the availability of equitable remedies.</w:t>
      </w:r>
    </w:p>
    <w:p>
      <w:pPr>
        <w:pStyle w:val="TextBody"/>
        <w:bidi w:val="0"/>
        <w:spacing w:lineRule="auto" w:line="288" w:before="240" w:after="283"/>
        <w:ind w:left="0" w:right="0" w:firstLine="727"/>
        <w:jc w:val="both"/>
        <w:rPr/>
      </w:pPr>
      <w:r>
        <w:rPr>
          <w:rFonts w:ascii="Times New Roman;sans-serif" w:hAnsi="Times New Roman;sans-serif"/>
          <w:b/>
          <w:color w:val="000000"/>
          <w:sz w:val="24"/>
        </w:rPr>
        <w:t>Section 5.3-</w:t>
      </w:r>
      <w:r>
        <w:rPr>
          <w:color w:val="000000"/>
        </w:rPr>
        <w:t xml:space="preserve"> </w:t>
      </w:r>
      <w:r>
        <w:rPr>
          <w:rFonts w:ascii="Times New Roman;sans-serif" w:hAnsi="Times New Roman;sans-serif"/>
          <w:b/>
          <w:color w:val="000000"/>
          <w:sz w:val="24"/>
          <w:u w:val="single"/>
        </w:rPr>
        <w:t>No Adverse Claim</w:t>
      </w:r>
      <w:r>
        <w:rPr>
          <w:rFonts w:ascii="Times New Roman;sans-serif" w:hAnsi="Times New Roman;sans-serif"/>
          <w:b w:val="false"/>
          <w:color w:val="000000"/>
          <w:sz w:val="24"/>
        </w:rPr>
        <w:t>. The Borrower warrants, acknowledges and agrees that no events have taken place and no circumstances exist at the date hereof which would give the Borrower a basis to assert a defense, offset or counterclaim to any claim of the Administrative Agent or the Lenders with respect to the Borrower’s obligations under the Loan Documents as amended by this Amendment.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 </w:t>
      </w:r>
      <w:r>
        <w:rPr>
          <w:rFonts w:ascii="Times New Roman;sans-serif" w:hAnsi="Times New Roman;sans-serif"/>
          <w:b/>
          <w:color w:val="000000"/>
          <w:sz w:val="24"/>
          <w:u w:val="single"/>
        </w:rPr>
        <w:t>Affirmation of Credit Agreement, Further References</w:t>
      </w:r>
      <w:r>
        <w:rPr>
          <w:rFonts w:ascii="Times New Roman;sans-serif" w:hAnsi="Times New Roman;sans-serif"/>
          <w:b w:val="false"/>
          <w:color w:val="000000"/>
          <w:sz w:val="24"/>
        </w:rPr>
        <w:t>. The Borrower acknowledges and affirms that the Credit Agreement and all of the terms, conditions, provisions, agreements, requirements, promises, obligations, duties, covenants and representations of the Borrower under the Credit Agreement and the other Loan Documents and any and all other documents and agreements entered into with respect to the obligations under the Credit Agreement and the other Loan Documents are hereby ratified and affirmed in all respects by the Borrower. All references in any document or instrument to the Credit Agreement are hereby amended and shall refer to the Credit Agreement as amended by this Amendment.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7. </w:t>
      </w:r>
      <w:r>
        <w:rPr>
          <w:rFonts w:ascii="Times New Roman;sans-serif" w:hAnsi="Times New Roman;sans-serif"/>
          <w:b/>
          <w:color w:val="000000"/>
          <w:sz w:val="24"/>
          <w:u w:val="single"/>
        </w:rPr>
        <w:t>Successors</w:t>
      </w:r>
      <w:r>
        <w:rPr>
          <w:rFonts w:ascii="Times New Roman;sans-serif" w:hAnsi="Times New Roman;sans-serif"/>
          <w:b w:val="false"/>
          <w:color w:val="000000"/>
          <w:sz w:val="24"/>
        </w:rPr>
        <w:t>. The Amendment Documents shall be binding upon the Borrower, the Administrative Agent and the Lenders and their respective successors and assigns, and shall inure to the benefit of the Borrower, the Administrative Agent and the Lenders and their respective successors and assigns.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 </w:t>
      </w:r>
      <w:r>
        <w:rPr>
          <w:rFonts w:ascii="Times New Roman;sans-serif" w:hAnsi="Times New Roman;sans-serif"/>
          <w:b/>
          <w:color w:val="000000"/>
          <w:sz w:val="24"/>
          <w:u w:val="single"/>
        </w:rPr>
        <w:t>Legal Expenses</w:t>
      </w:r>
      <w:r>
        <w:rPr>
          <w:rFonts w:ascii="Times New Roman;sans-serif" w:hAnsi="Times New Roman;sans-serif"/>
          <w:b w:val="false"/>
          <w:color w:val="000000"/>
          <w:sz w:val="24"/>
        </w:rPr>
        <w:t>. The Borrower agrees to reimburse the Administrative Agent, upon execution of this Amendment, for all reasonable out-of-pocket expenses (including attorneys' fees and legal expenses of Dorsey &amp; Whitney LLP, counsel for the Administrative Agent) incurred in connection with the Credit Agreement, including in connection with the negotiation, preparation and execution of the Amendment Documents and all other documents negotiated, prepared and executed in connection with the Amendment Documents, and in enforcing the obligations of the Borrower under the Amendment Documents, and to pay and save the Administrative Agent and the Lenders harmless from all liability for, any stamp or other taxes which may be payable with respect to the execution or delivery of the Amendment Documents, which obligations of the Borrower shall survive any termination of the Credit Agreement.</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9. </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The Amendment Documents may be executed in several counterparts as deemed necessary or convenient, each of which, when so executed, shall be deemed an original, provided that all such counterparts shall be regarded as one and the same document, and either party to the Amendment Documents may execute any such agreement by executing a counterpart of such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15975"/>
                <wp:effectExtent l="0" t="0" r="0" b="0"/>
                <wp:wrapNone/>
                <wp:docPr id="9" name="Frame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ind w:left="0" w:right="0" w:firstLine="720"/>
        <w:jc w:val="both"/>
        <w:rPr/>
      </w:pPr>
      <w:r>
        <w:rPr>
          <w:rFonts w:ascii="Times New Roman;sans-serif" w:hAnsi="Times New Roman;sans-serif"/>
          <w:b w:val="false"/>
          <w:color w:val="000000"/>
          <w:sz w:val="24"/>
        </w:rPr>
        <w:t xml:space="preserve">SECTION 10. </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THE AMENDMENT DOCUMENTS (OTHER THAN THOSE CONTAINING A CONTRARY EXPRESS CHOICE OF LAW PROVISION) SHALL BE CONSTRUED IN ACCORDANCE WITH THE INTERNAL LAWS OF THE STATE OF NEW YORK, WITHOUT REGARD TO THE CONFLICT OF LAWS PROVISIONS THEREOF (OTHER THAN THE PROVISIONS OF SECTIONS 5-1401 OF THE GENERAL OBLIGATIONS LAW OF THE STATE OF NEW YORK) BUT GIVING EFFECT TO FEDERAL LAWS APPLICABLE TO NATIONAL BANKS.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11. </w:t>
      </w:r>
      <w:r>
        <w:rPr>
          <w:rFonts w:ascii="Times New Roman;sans-serif" w:hAnsi="Times New Roman;sans-serif"/>
          <w:b/>
          <w:color w:val="000000"/>
          <w:sz w:val="24"/>
          <w:u w:val="single"/>
        </w:rPr>
        <w:t>Acknowledgement and Release</w:t>
      </w:r>
      <w:r>
        <w:rPr>
          <w:rFonts w:ascii="Times New Roman;sans-serif" w:hAnsi="Times New Roman;sans-serif"/>
          <w:b w:val="false"/>
          <w:color w:val="000000"/>
          <w:sz w:val="24"/>
        </w:rPr>
        <w:t>. IN ORDER TO INDUCE THE ADMINISTRATIVE AGENT AND THE LENDERS TO ENTER INTO THIS AMENDMENT, THE BORROWER: (A) REPRESENTS AND WARRANTS TO THE ADMINISTRATIVE AGENT AND THE LENDERS THAT NO EVENTS HAVE TAKEN PLACE AND NO CIRCUMSTANCES EXIST AT THE DATE HEREOF WHICH WOULD GIVE THE BORROWER THE RIGHT TO ASSERT A DEFENSE, OFFSET OR COUNTERCLAIM TO ANY CLAIM BY THE ADMINISTRATIVE AGENT OR ANY LENDER FOR PAYMENT OF THE OBLIGATIONS; AND (B) HEREBY RELEASE AND FOREVER DISCHARGE THE ADMINISTRATIVE AGENT AND THE LENDERS AND THEIR SUCCESSORS, ASSIGNS, DIRECTORS, OFFICERS, AGENTS, EMPLOYEES AND PARTICIPANTS FROM ANY AND ALL ACTIONS, CAUSES OF ACTION, SUITS, PROCEEDINGS, DEBTS, SUMS OF MONEY, COVENANTS, CONTRACTS, CONTROVERSIES, CLAIMS AND DEMANDS, AT LAW OR IN EQUITY, WHICH THE BORROWER EVER HAD OR NOW HAVE AGAINST THE ADMINISTRATIVE AGENT OR ANY LENDER OR ANY OF THEIR SUCCESSORS, ASSIGNS, DIRECTORS, OFFICERS, AGENTS, EMPLOYEES OR PARTICIPANTS BY VIRTUE OF THEIR RELATIONSHIP TO THE BORROWER IN CONNECTION WITH THIS AMENDMENT, THE CREDIT AGREEMENT, THE LOAN DOCUMENTS AND TRANSACTIONS RELATED THERETO.</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15975"/>
                <wp:effectExtent l="0" t="0" r="0" b="0"/>
                <wp:wrapNone/>
                <wp:docPr id="10" name="Frame1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69" w:after="283"/>
        <w:ind w:left="0" w:right="0" w:firstLine="705"/>
        <w:jc w:val="left"/>
        <w:rPr/>
      </w:pPr>
      <w:r>
        <w:rPr>
          <w:rFonts w:ascii="Times New Roman;sans-serif" w:hAnsi="Times New Roman;sans-serif"/>
          <w:b/>
          <w:color w:val="333333"/>
          <w:sz w:val="23"/>
        </w:rPr>
        <w:t xml:space="preserve">IN WITNESS WHEREOF, </w:t>
      </w:r>
      <w:r>
        <w:rPr>
          <w:rFonts w:ascii="Times New Roman;sans-serif" w:hAnsi="Times New Roman;sans-serif"/>
          <w:b w:val="false"/>
          <w:color w:val="333333"/>
          <w:sz w:val="23"/>
        </w:rPr>
        <w:t>the parties hereto have caused this Amendment to be executed as of the date and year first above written.</w:t>
      </w:r>
    </w:p>
    <w:p>
      <w:pPr>
        <w:pStyle w:val="TextBody"/>
        <w:bidi w:val="0"/>
        <w:spacing w:before="224" w:after="283"/>
        <w:jc w:val="left"/>
        <w:rPr/>
      </w:pPr>
      <w:r>
        <w:rPr/>
      </w:r>
    </w:p>
    <w:p>
      <w:pPr>
        <w:pStyle w:val="TextBody"/>
        <w:bidi w:val="0"/>
        <w:spacing w:lineRule="auto" w:line="288" w:before="0" w:after="0"/>
        <w:jc w:val="left"/>
        <w:rPr>
          <w:rFonts w:ascii="Times New Roman;sans-serif" w:hAnsi="Times New Roman;sans-serif"/>
          <w:b w:val="false"/>
          <w:color w:val="333333"/>
          <w:sz w:val="23"/>
          <w:u w:val="single"/>
        </w:rPr>
      </w:pPr>
      <w:r>
        <w:rPr>
          <w:rFonts w:ascii="Times New Roman;sans-serif" w:hAnsi="Times New Roman;sans-serif"/>
          <w:b w:val="false"/>
          <w:color w:val="333333"/>
          <w:sz w:val="23"/>
          <w:u w:val="single"/>
        </w:rPr>
        <w:t>BORROWER:</w:t>
      </w:r>
    </w:p>
    <w:p>
      <w:pPr>
        <w:pStyle w:val="TextBody"/>
        <w:bidi w:val="0"/>
        <w:spacing w:before="4" w:after="283"/>
        <w:jc w:val="left"/>
        <w:rPr/>
      </w:pPr>
      <w:r>
        <w:rPr/>
      </w:r>
    </w:p>
    <w:p>
      <w:pPr>
        <w:pStyle w:val="TextBody"/>
        <w:bidi w:val="0"/>
        <w:spacing w:lineRule="auto" w:line="288" w:before="1" w:after="283"/>
        <w:jc w:val="left"/>
        <w:rPr>
          <w:rFonts w:ascii="Times New Roman;sans-serif" w:hAnsi="Times New Roman;sans-serif"/>
          <w:b w:val="false"/>
          <w:color w:val="333333"/>
          <w:sz w:val="23"/>
        </w:rPr>
      </w:pPr>
      <w:r>
        <w:rPr>
          <w:rFonts w:ascii="Times New Roman;sans-serif" w:hAnsi="Times New Roman;sans-serif"/>
          <w:b w:val="false"/>
          <w:color w:val="333333"/>
          <w:sz w:val="23"/>
        </w:rPr>
        <w:t>HAWKINS, INC.</w:t>
      </w:r>
    </w:p>
    <w:p>
      <w:pPr>
        <w:pStyle w:val="TextBody"/>
        <w:bidi w:val="0"/>
        <w:spacing w:before="0" w:after="0"/>
        <w:jc w:val="left"/>
        <w:rPr/>
      </w:pPr>
      <w:r>
        <w:rPr/>
      </w:r>
    </w:p>
    <w:p>
      <w:pPr>
        <w:pStyle w:val="TextBody"/>
        <w:bidi w:val="0"/>
        <w:spacing w:before="98"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Jeffrey P. Oldenkamp    </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P. Oldenkamp </w:t>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Title:</w:t>
      </w:r>
      <w:r>
        <w:rPr>
          <w:color w:val="000000"/>
        </w:rPr>
        <w:t xml:space="preserve"> </w:t>
      </w:r>
      <w:r>
        <w:rPr>
          <w:rFonts w:ascii="Times New Roman;sans-serif" w:hAnsi="Times New Roman;sans-serif"/>
          <w:b w:val="false"/>
          <w:color w:val="000000"/>
          <w:sz w:val="22"/>
        </w:rPr>
        <w:t xml:space="preserve">Executive Vice President and Chief </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01370"/>
                <wp:effectExtent l="0" t="0" r="0" b="0"/>
                <wp:wrapNone/>
                <wp:docPr id="11" name="Frame11"/>
                <a:graphic xmlns:a="http://schemas.openxmlformats.org/drawingml/2006/main">
                  <a:graphicData uri="http://schemas.microsoft.com/office/word/2010/wordprocessingShape">
                    <wps:wsp>
                      <wps:cNvSpPr txBox="1"/>
                      <wps:spPr>
                        <a:xfrm>
                          <a:off x="0" y="0"/>
                          <a:ext cx="6480175" cy="801370"/>
                        </a:xfrm>
                        <a:prstGeom prst="rect"/>
                        <a:solidFill>
                          <a:srgbClr val="FFFFFF"/>
                        </a:solidFill>
                      </wps:spPr>
                      <wps:txbx>
                        <w:txbxContent>
                          <w:tbl>
                            <w:tblPr>
                              <w:tblW w:w="10200" w:type="dxa"/>
                              <w:jc w:val="left"/>
                              <w:tblInd w:w="0" w:type="dxa"/>
                              <w:tblLayout w:type="fixed"/>
                              <w:tblCellMar>
                                <w:top w:w="28" w:type="dxa"/>
                                <w:left w:w="28" w:type="dxa"/>
                                <w:bottom w:w="28" w:type="dxa"/>
                                <w:right w:w="28" w:type="dxa"/>
                              </w:tblCellMar>
                            </w:tblPr>
                            <w:tblGrid>
                              <w:gridCol w:w="3268"/>
                              <w:gridCol w:w="2873"/>
                              <w:gridCol w:w="4059"/>
                            </w:tblGrid>
                            <w:tr>
                              <w:trPr/>
                              <w:tc>
                                <w:tcPr>
                                  <w:tcW w:w="3268" w:type="dxa"/>
                                  <w:tcBorders/>
                                  <w:vAlign w:val="center"/>
                                </w:tcPr>
                                <w:p>
                                  <w:pPr>
                                    <w:pStyle w:val="TableContents"/>
                                    <w:bidi w:val="0"/>
                                    <w:spacing w:before="0" w:after="283"/>
                                    <w:jc w:val="left"/>
                                    <w:rPr>
                                      <w:sz w:val="4"/>
                                      <w:szCs w:val="4"/>
                                    </w:rPr>
                                  </w:pPr>
                                  <w:r>
                                    <w:rPr>
                                      <w:sz w:val="4"/>
                                      <w:szCs w:val="4"/>
                                    </w:rPr>
                                  </w:r>
                                  <w:r>
                                    <w:br w:type="page"/>
                                  </w:r>
                                </w:p>
                              </w:tc>
                              <w:tc>
                                <w:tcPr>
                                  <w:tcW w:w="2873"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0200" w:type="dxa"/>
                                  <w:gridSpan w:val="3"/>
                                  <w:tcBorders/>
                                  <w:tcMar>
                                    <w:top w:w="0" w:type="dxa"/>
                                    <w:left w:w="0" w:type="dxa"/>
                                    <w:bottom w:w="0" w:type="dxa"/>
                                    <w:right w:w="0" w:type="dxa"/>
                                  </w:tcMar>
                                  <w:vAlign w:val="center"/>
                                </w:tcPr>
                                <w:p>
                                  <w:pPr>
                                    <w:pStyle w:val="TableContents"/>
                                    <w:bidi w:val="0"/>
                                    <w:spacing w:lineRule="auto" w:line="314" w:before="3" w:after="283"/>
                                    <w:ind w:left="0" w:right="0" w:hanging="3527"/>
                                    <w:jc w:val="left"/>
                                    <w:rPr/>
                                  </w:pPr>
                                  <w:r>
                                    <w:rPr>
                                      <w:rFonts w:ascii="Arial;sans-serif" w:hAnsi="Arial;sans-serif"/>
                                      <w:b w:val="false"/>
                                      <w:color w:val="262626"/>
                                      <w:sz w:val="20"/>
                                    </w:rPr>
                                    <w:t xml:space="preserve">[Signature </w:t>
                                  </w:r>
                                  <w:r>
                                    <w:rPr>
                                      <w:rFonts w:ascii="Arial;sans-serif" w:hAnsi="Arial;sans-serif"/>
                                      <w:b w:val="false"/>
                                      <w:color w:val="383838"/>
                                      <w:sz w:val="20"/>
                                    </w:rPr>
                                    <w:t xml:space="preserve">Page </w:t>
                                  </w:r>
                                  <w:r>
                                    <w:rPr>
                                      <w:rFonts w:ascii="Arial;sans-serif" w:hAnsi="Arial;sans-serif"/>
                                      <w:b w:val="false"/>
                                      <w:color w:val="262626"/>
                                      <w:sz w:val="20"/>
                                    </w:rPr>
                                    <w:t xml:space="preserve">to </w:t>
                                  </w:r>
                                  <w:r>
                                    <w:rPr>
                                      <w:rFonts w:ascii="Arial;sans-serif" w:hAnsi="Arial;sans-serif"/>
                                      <w:b w:val="false"/>
                                      <w:color w:val="383838"/>
                                      <w:sz w:val="20"/>
                                    </w:rPr>
                                    <w:t xml:space="preserve">Joinder, </w:t>
                                  </w:r>
                                  <w:r>
                                    <w:rPr>
                                      <w:rFonts w:ascii="Arial;sans-serif" w:hAnsi="Arial;sans-serif"/>
                                      <w:b w:val="false"/>
                                      <w:color w:val="4B4B4B"/>
                                      <w:sz w:val="20"/>
                                    </w:rPr>
                                    <w:t xml:space="preserve">Consent and Second Amendment </w:t>
                                  </w:r>
                                  <w:r>
                                    <w:rPr>
                                      <w:rFonts w:ascii="Arial;sans-serif" w:hAnsi="Arial;sans-serif"/>
                                      <w:b w:val="false"/>
                                      <w:color w:val="383838"/>
                                      <w:sz w:val="20"/>
                                    </w:rPr>
                                    <w:t xml:space="preserve">to </w:t>
                                  </w:r>
                                  <w:r>
                                    <w:rPr>
                                      <w:rFonts w:ascii="Arial;sans-serif" w:hAnsi="Arial;sans-serif"/>
                                      <w:b w:val="false"/>
                                      <w:color w:val="4B4B4B"/>
                                      <w:sz w:val="20"/>
                                    </w:rPr>
                                    <w:t xml:space="preserve">Second </w:t>
                                  </w:r>
                                  <w:r>
                                    <w:rPr>
                                      <w:rFonts w:ascii="Arial;sans-serif" w:hAnsi="Arial;sans-serif"/>
                                      <w:b w:val="false"/>
                                      <w:color w:val="383838"/>
                                      <w:sz w:val="20"/>
                                    </w:rPr>
                                    <w:t xml:space="preserve">Amended </w:t>
                                  </w:r>
                                  <w:r>
                                    <w:rPr>
                                      <w:rFonts w:ascii="Arial;sans-serif" w:hAnsi="Arial;sans-serif"/>
                                      <w:b w:val="false"/>
                                      <w:color w:val="4B4B4B"/>
                                      <w:sz w:val="20"/>
                                    </w:rPr>
                                    <w:t xml:space="preserve">and </w:t>
                                  </w:r>
                                  <w:r>
                                    <w:rPr>
                                      <w:rFonts w:ascii="Arial;sans-serif" w:hAnsi="Arial;sans-serif"/>
                                      <w:b w:val="false"/>
                                      <w:color w:val="383838"/>
                                      <w:sz w:val="20"/>
                                    </w:rPr>
                                    <w:t xml:space="preserve">Restated </w:t>
                                  </w:r>
                                  <w:r>
                                    <w:rPr>
                                      <w:rFonts w:ascii="Arial;sans-serif" w:hAnsi="Arial;sans-serif"/>
                                      <w:b w:val="false"/>
                                      <w:color w:val="4B4B4B"/>
                                      <w:sz w:val="20"/>
                                    </w:rPr>
                                    <w:t>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1pt;mso-wrap-distance-left:0pt;mso-wrap-distance-right:0pt;mso-wrap-distance-top:0pt;mso-wrap-distance-bottom:0pt;margin-top:0pt;mso-position-vertical:top;mso-position-vertical-relative:text;margin-left:0pt;mso-position-horizontal:left;mso-position-horizontal-relative:text">
                <v:textbox>
                  <w:txbxContent>
                    <w:tbl>
                      <w:tblPr>
                        <w:tblW w:w="10200" w:type="dxa"/>
                        <w:jc w:val="left"/>
                        <w:tblInd w:w="0" w:type="dxa"/>
                        <w:tblLayout w:type="fixed"/>
                        <w:tblCellMar>
                          <w:top w:w="28" w:type="dxa"/>
                          <w:left w:w="28" w:type="dxa"/>
                          <w:bottom w:w="28" w:type="dxa"/>
                          <w:right w:w="28" w:type="dxa"/>
                        </w:tblCellMar>
                      </w:tblPr>
                      <w:tblGrid>
                        <w:gridCol w:w="3268"/>
                        <w:gridCol w:w="2873"/>
                        <w:gridCol w:w="4059"/>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0200" w:type="dxa"/>
                            <w:gridSpan w:val="3"/>
                            <w:tcBorders/>
                            <w:tcMar>
                              <w:top w:w="0" w:type="dxa"/>
                              <w:left w:w="0" w:type="dxa"/>
                              <w:bottom w:w="0" w:type="dxa"/>
                              <w:right w:w="0" w:type="dxa"/>
                            </w:tcMar>
                            <w:vAlign w:val="center"/>
                          </w:tcPr>
                          <w:p>
                            <w:pPr>
                              <w:pStyle w:val="TableContents"/>
                              <w:bidi w:val="0"/>
                              <w:spacing w:lineRule="auto" w:line="314" w:before="3" w:after="283"/>
                              <w:ind w:left="0" w:right="0" w:hanging="3527"/>
                              <w:jc w:val="left"/>
                              <w:rPr/>
                            </w:pPr>
                            <w:r>
                              <w:rPr>
                                <w:rFonts w:ascii="Arial;sans-serif" w:hAnsi="Arial;sans-serif"/>
                                <w:b w:val="false"/>
                                <w:color w:val="262626"/>
                                <w:sz w:val="20"/>
                              </w:rPr>
                              <w:t xml:space="preserve">[Signature </w:t>
                            </w:r>
                            <w:r>
                              <w:rPr>
                                <w:rFonts w:ascii="Arial;sans-serif" w:hAnsi="Arial;sans-serif"/>
                                <w:b w:val="false"/>
                                <w:color w:val="383838"/>
                                <w:sz w:val="20"/>
                              </w:rPr>
                              <w:t xml:space="preserve">Page </w:t>
                            </w:r>
                            <w:r>
                              <w:rPr>
                                <w:rFonts w:ascii="Arial;sans-serif" w:hAnsi="Arial;sans-serif"/>
                                <w:b w:val="false"/>
                                <w:color w:val="262626"/>
                                <w:sz w:val="20"/>
                              </w:rPr>
                              <w:t xml:space="preserve">to </w:t>
                            </w:r>
                            <w:r>
                              <w:rPr>
                                <w:rFonts w:ascii="Arial;sans-serif" w:hAnsi="Arial;sans-serif"/>
                                <w:b w:val="false"/>
                                <w:color w:val="383838"/>
                                <w:sz w:val="20"/>
                              </w:rPr>
                              <w:t xml:space="preserve">Joinder, </w:t>
                            </w:r>
                            <w:r>
                              <w:rPr>
                                <w:rFonts w:ascii="Arial;sans-serif" w:hAnsi="Arial;sans-serif"/>
                                <w:b w:val="false"/>
                                <w:color w:val="4B4B4B"/>
                                <w:sz w:val="20"/>
                              </w:rPr>
                              <w:t xml:space="preserve">Consent and Second Amendment </w:t>
                            </w:r>
                            <w:r>
                              <w:rPr>
                                <w:rFonts w:ascii="Arial;sans-serif" w:hAnsi="Arial;sans-serif"/>
                                <w:b w:val="false"/>
                                <w:color w:val="383838"/>
                                <w:sz w:val="20"/>
                              </w:rPr>
                              <w:t xml:space="preserve">to </w:t>
                            </w:r>
                            <w:r>
                              <w:rPr>
                                <w:rFonts w:ascii="Arial;sans-serif" w:hAnsi="Arial;sans-serif"/>
                                <w:b w:val="false"/>
                                <w:color w:val="4B4B4B"/>
                                <w:sz w:val="20"/>
                              </w:rPr>
                              <w:t xml:space="preserve">Second </w:t>
                            </w:r>
                            <w:r>
                              <w:rPr>
                                <w:rFonts w:ascii="Arial;sans-serif" w:hAnsi="Arial;sans-serif"/>
                                <w:b w:val="false"/>
                                <w:color w:val="383838"/>
                                <w:sz w:val="20"/>
                              </w:rPr>
                              <w:t xml:space="preserve">Amended </w:t>
                            </w:r>
                            <w:r>
                              <w:rPr>
                                <w:rFonts w:ascii="Arial;sans-serif" w:hAnsi="Arial;sans-serif"/>
                                <w:b w:val="false"/>
                                <w:color w:val="4B4B4B"/>
                                <w:sz w:val="20"/>
                              </w:rPr>
                              <w:t xml:space="preserve">and </w:t>
                            </w:r>
                            <w:r>
                              <w:rPr>
                                <w:rFonts w:ascii="Arial;sans-serif" w:hAnsi="Arial;sans-serif"/>
                                <w:b w:val="false"/>
                                <w:color w:val="383838"/>
                                <w:sz w:val="20"/>
                              </w:rPr>
                              <w:t xml:space="preserve">Restated </w:t>
                            </w:r>
                            <w:r>
                              <w:rPr>
                                <w:rFonts w:ascii="Arial;sans-serif" w:hAnsi="Arial;sans-serif"/>
                                <w:b w:val="false"/>
                                <w:color w:val="4B4B4B"/>
                                <w:sz w:val="20"/>
                              </w:rPr>
                              <w:t>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4" w:after="283"/>
        <w:jc w:val="left"/>
        <w:rPr/>
      </w:pPr>
      <w:r>
        <w:rPr>
          <w:rFonts w:ascii="Times New Roman;sans-serif" w:hAnsi="Times New Roman;sans-serif"/>
          <w:b w:val="false"/>
          <w:color w:val="000000"/>
          <w:sz w:val="24"/>
        </w:rPr>
        <w:t>U.S. BANK NATIONAL ASSOCIATION</w:t>
      </w:r>
      <w:r>
        <w:rPr>
          <w:rFonts w:ascii="Times New Roman;sans-serif" w:hAnsi="Times New Roman;sans-serif"/>
          <w:b w:val="false"/>
          <w:color w:val="282828"/>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 as LC Issuer and as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w:t>
      </w:r>
    </w:p>
    <w:p>
      <w:pPr>
        <w:pStyle w:val="TextBody"/>
        <w:bidi w:val="0"/>
        <w:spacing w:before="21" w:after="283"/>
        <w:ind w:left="0" w:right="0" w:hanging="3"/>
        <w:jc w:val="left"/>
        <w:rPr/>
      </w:pPr>
      <w:r>
        <w:rPr/>
      </w:r>
    </w:p>
    <w:p>
      <w:pPr>
        <w:pStyle w:val="TextBody"/>
        <w:bidi w:val="0"/>
        <w:spacing w:before="21" w:after="283"/>
        <w:ind w:left="0" w:right="0" w:hanging="3"/>
        <w:jc w:val="left"/>
        <w:rPr/>
      </w:pPr>
      <w:r>
        <w:rPr/>
      </w:r>
    </w:p>
    <w:p>
      <w:pPr>
        <w:pStyle w:val="TextBody"/>
        <w:bidi w:val="0"/>
        <w:spacing w:lineRule="auto" w:line="288" w:before="0" w:after="0"/>
        <w:jc w:val="both"/>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Stephen Heinen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Stephen J. Heinen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01370"/>
                <wp:effectExtent l="0" t="0" r="0" b="0"/>
                <wp:wrapNone/>
                <wp:docPr id="12" name="Frame12"/>
                <a:graphic xmlns:a="http://schemas.openxmlformats.org/drawingml/2006/main">
                  <a:graphicData uri="http://schemas.microsoft.com/office/word/2010/wordprocessingShape">
                    <wps:wsp>
                      <wps:cNvSpPr txBox="1"/>
                      <wps:spPr>
                        <a:xfrm>
                          <a:off x="0" y="0"/>
                          <a:ext cx="6480175" cy="801370"/>
                        </a:xfrm>
                        <a:prstGeom prst="rect"/>
                        <a:solidFill>
                          <a:srgbClr val="FFFFFF"/>
                        </a:solidFill>
                      </wps:spPr>
                      <wps:txbx>
                        <w:txbxContent>
                          <w:tbl>
                            <w:tblPr>
                              <w:tblW w:w="10200" w:type="dxa"/>
                              <w:jc w:val="left"/>
                              <w:tblInd w:w="0" w:type="dxa"/>
                              <w:tblLayout w:type="fixed"/>
                              <w:tblCellMar>
                                <w:top w:w="28" w:type="dxa"/>
                                <w:left w:w="28" w:type="dxa"/>
                                <w:bottom w:w="28" w:type="dxa"/>
                                <w:right w:w="28" w:type="dxa"/>
                              </w:tblCellMar>
                            </w:tblPr>
                            <w:tblGrid>
                              <w:gridCol w:w="3268"/>
                              <w:gridCol w:w="2873"/>
                              <w:gridCol w:w="4059"/>
                            </w:tblGrid>
                            <w:tr>
                              <w:trPr/>
                              <w:tc>
                                <w:tcPr>
                                  <w:tcW w:w="3268" w:type="dxa"/>
                                  <w:tcBorders/>
                                  <w:vAlign w:val="center"/>
                                </w:tcPr>
                                <w:p>
                                  <w:pPr>
                                    <w:pStyle w:val="TableContents"/>
                                    <w:bidi w:val="0"/>
                                    <w:spacing w:before="0" w:after="283"/>
                                    <w:jc w:val="left"/>
                                    <w:rPr>
                                      <w:sz w:val="4"/>
                                      <w:szCs w:val="4"/>
                                    </w:rPr>
                                  </w:pPr>
                                  <w:r>
                                    <w:rPr>
                                      <w:sz w:val="4"/>
                                      <w:szCs w:val="4"/>
                                    </w:rPr>
                                  </w:r>
                                  <w:r>
                                    <w:br w:type="page"/>
                                  </w:r>
                                </w:p>
                              </w:tc>
                              <w:tc>
                                <w:tcPr>
                                  <w:tcW w:w="2873"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0200" w:type="dxa"/>
                                  <w:gridSpan w:val="3"/>
                                  <w:tcBorders/>
                                  <w:tcMar>
                                    <w:top w:w="0" w:type="dxa"/>
                                    <w:left w:w="0" w:type="dxa"/>
                                    <w:bottom w:w="0" w:type="dxa"/>
                                    <w:right w:w="0" w:type="dxa"/>
                                  </w:tcMar>
                                  <w:vAlign w:val="center"/>
                                </w:tcPr>
                                <w:p>
                                  <w:pPr>
                                    <w:pStyle w:val="TableContents"/>
                                    <w:bidi w:val="0"/>
                                    <w:spacing w:lineRule="auto" w:line="314" w:before="3" w:after="283"/>
                                    <w:ind w:left="0" w:right="0" w:hanging="3527"/>
                                    <w:jc w:val="left"/>
                                    <w:rPr/>
                                  </w:pPr>
                                  <w:r>
                                    <w:rPr>
                                      <w:rFonts w:ascii="Arial;sans-serif" w:hAnsi="Arial;sans-serif"/>
                                      <w:b w:val="false"/>
                                      <w:color w:val="262626"/>
                                      <w:sz w:val="20"/>
                                    </w:rPr>
                                    <w:t xml:space="preserve">[Signature </w:t>
                                  </w:r>
                                  <w:r>
                                    <w:rPr>
                                      <w:rFonts w:ascii="Arial;sans-serif" w:hAnsi="Arial;sans-serif"/>
                                      <w:b w:val="false"/>
                                      <w:color w:val="383838"/>
                                      <w:sz w:val="20"/>
                                    </w:rPr>
                                    <w:t xml:space="preserve">Page </w:t>
                                  </w:r>
                                  <w:r>
                                    <w:rPr>
                                      <w:rFonts w:ascii="Arial;sans-serif" w:hAnsi="Arial;sans-serif"/>
                                      <w:b w:val="false"/>
                                      <w:color w:val="262626"/>
                                      <w:sz w:val="20"/>
                                    </w:rPr>
                                    <w:t xml:space="preserve">to </w:t>
                                  </w:r>
                                  <w:r>
                                    <w:rPr>
                                      <w:rFonts w:ascii="Arial;sans-serif" w:hAnsi="Arial;sans-serif"/>
                                      <w:b w:val="false"/>
                                      <w:color w:val="383838"/>
                                      <w:sz w:val="20"/>
                                    </w:rPr>
                                    <w:t xml:space="preserve">Joinder, </w:t>
                                  </w:r>
                                  <w:r>
                                    <w:rPr>
                                      <w:rFonts w:ascii="Arial;sans-serif" w:hAnsi="Arial;sans-serif"/>
                                      <w:b w:val="false"/>
                                      <w:color w:val="4B4B4B"/>
                                      <w:sz w:val="20"/>
                                    </w:rPr>
                                    <w:t xml:space="preserve">Consent and Second Amendment </w:t>
                                  </w:r>
                                  <w:r>
                                    <w:rPr>
                                      <w:rFonts w:ascii="Arial;sans-serif" w:hAnsi="Arial;sans-serif"/>
                                      <w:b w:val="false"/>
                                      <w:color w:val="383838"/>
                                      <w:sz w:val="20"/>
                                    </w:rPr>
                                    <w:t xml:space="preserve">to </w:t>
                                  </w:r>
                                  <w:r>
                                    <w:rPr>
                                      <w:rFonts w:ascii="Arial;sans-serif" w:hAnsi="Arial;sans-serif"/>
                                      <w:b w:val="false"/>
                                      <w:color w:val="4B4B4B"/>
                                      <w:sz w:val="20"/>
                                    </w:rPr>
                                    <w:t xml:space="preserve">Second </w:t>
                                  </w:r>
                                  <w:r>
                                    <w:rPr>
                                      <w:rFonts w:ascii="Arial;sans-serif" w:hAnsi="Arial;sans-serif"/>
                                      <w:b w:val="false"/>
                                      <w:color w:val="383838"/>
                                      <w:sz w:val="20"/>
                                    </w:rPr>
                                    <w:t xml:space="preserve">Amended </w:t>
                                  </w:r>
                                  <w:r>
                                    <w:rPr>
                                      <w:rFonts w:ascii="Arial;sans-serif" w:hAnsi="Arial;sans-serif"/>
                                      <w:b w:val="false"/>
                                      <w:color w:val="4B4B4B"/>
                                      <w:sz w:val="20"/>
                                    </w:rPr>
                                    <w:t xml:space="preserve">and </w:t>
                                  </w:r>
                                  <w:r>
                                    <w:rPr>
                                      <w:rFonts w:ascii="Arial;sans-serif" w:hAnsi="Arial;sans-serif"/>
                                      <w:b w:val="false"/>
                                      <w:color w:val="383838"/>
                                      <w:sz w:val="20"/>
                                    </w:rPr>
                                    <w:t xml:space="preserve">Restated </w:t>
                                  </w:r>
                                  <w:r>
                                    <w:rPr>
                                      <w:rFonts w:ascii="Arial;sans-serif" w:hAnsi="Arial;sans-serif"/>
                                      <w:b w:val="false"/>
                                      <w:color w:val="4B4B4B"/>
                                      <w:sz w:val="20"/>
                                    </w:rPr>
                                    <w:t>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1pt;mso-wrap-distance-left:0pt;mso-wrap-distance-right:0pt;mso-wrap-distance-top:0pt;mso-wrap-distance-bottom:0pt;margin-top:0pt;mso-position-vertical:top;mso-position-vertical-relative:text;margin-left:0pt;mso-position-horizontal:left;mso-position-horizontal-relative:text">
                <v:textbox>
                  <w:txbxContent>
                    <w:tbl>
                      <w:tblPr>
                        <w:tblW w:w="10200" w:type="dxa"/>
                        <w:jc w:val="left"/>
                        <w:tblInd w:w="0" w:type="dxa"/>
                        <w:tblLayout w:type="fixed"/>
                        <w:tblCellMar>
                          <w:top w:w="28" w:type="dxa"/>
                          <w:left w:w="28" w:type="dxa"/>
                          <w:bottom w:w="28" w:type="dxa"/>
                          <w:right w:w="28" w:type="dxa"/>
                        </w:tblCellMar>
                      </w:tblPr>
                      <w:tblGrid>
                        <w:gridCol w:w="3268"/>
                        <w:gridCol w:w="2873"/>
                        <w:gridCol w:w="4059"/>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0200" w:type="dxa"/>
                            <w:gridSpan w:val="3"/>
                            <w:tcBorders/>
                            <w:tcMar>
                              <w:top w:w="0" w:type="dxa"/>
                              <w:left w:w="0" w:type="dxa"/>
                              <w:bottom w:w="0" w:type="dxa"/>
                              <w:right w:w="0" w:type="dxa"/>
                            </w:tcMar>
                            <w:vAlign w:val="center"/>
                          </w:tcPr>
                          <w:p>
                            <w:pPr>
                              <w:pStyle w:val="TableContents"/>
                              <w:bidi w:val="0"/>
                              <w:spacing w:lineRule="auto" w:line="314" w:before="3" w:after="283"/>
                              <w:ind w:left="0" w:right="0" w:hanging="3527"/>
                              <w:jc w:val="left"/>
                              <w:rPr/>
                            </w:pPr>
                            <w:r>
                              <w:rPr>
                                <w:rFonts w:ascii="Arial;sans-serif" w:hAnsi="Arial;sans-serif"/>
                                <w:b w:val="false"/>
                                <w:color w:val="262626"/>
                                <w:sz w:val="20"/>
                              </w:rPr>
                              <w:t xml:space="preserve">[Signature </w:t>
                            </w:r>
                            <w:r>
                              <w:rPr>
                                <w:rFonts w:ascii="Arial;sans-serif" w:hAnsi="Arial;sans-serif"/>
                                <w:b w:val="false"/>
                                <w:color w:val="383838"/>
                                <w:sz w:val="20"/>
                              </w:rPr>
                              <w:t xml:space="preserve">Page </w:t>
                            </w:r>
                            <w:r>
                              <w:rPr>
                                <w:rFonts w:ascii="Arial;sans-serif" w:hAnsi="Arial;sans-serif"/>
                                <w:b w:val="false"/>
                                <w:color w:val="262626"/>
                                <w:sz w:val="20"/>
                              </w:rPr>
                              <w:t xml:space="preserve">to </w:t>
                            </w:r>
                            <w:r>
                              <w:rPr>
                                <w:rFonts w:ascii="Arial;sans-serif" w:hAnsi="Arial;sans-serif"/>
                                <w:b w:val="false"/>
                                <w:color w:val="383838"/>
                                <w:sz w:val="20"/>
                              </w:rPr>
                              <w:t xml:space="preserve">Joinder, </w:t>
                            </w:r>
                            <w:r>
                              <w:rPr>
                                <w:rFonts w:ascii="Arial;sans-serif" w:hAnsi="Arial;sans-serif"/>
                                <w:b w:val="false"/>
                                <w:color w:val="4B4B4B"/>
                                <w:sz w:val="20"/>
                              </w:rPr>
                              <w:t xml:space="preserve">Consent and Second Amendment </w:t>
                            </w:r>
                            <w:r>
                              <w:rPr>
                                <w:rFonts w:ascii="Arial;sans-serif" w:hAnsi="Arial;sans-serif"/>
                                <w:b w:val="false"/>
                                <w:color w:val="383838"/>
                                <w:sz w:val="20"/>
                              </w:rPr>
                              <w:t xml:space="preserve">to </w:t>
                            </w:r>
                            <w:r>
                              <w:rPr>
                                <w:rFonts w:ascii="Arial;sans-serif" w:hAnsi="Arial;sans-serif"/>
                                <w:b w:val="false"/>
                                <w:color w:val="4B4B4B"/>
                                <w:sz w:val="20"/>
                              </w:rPr>
                              <w:t xml:space="preserve">Second </w:t>
                            </w:r>
                            <w:r>
                              <w:rPr>
                                <w:rFonts w:ascii="Arial;sans-serif" w:hAnsi="Arial;sans-serif"/>
                                <w:b w:val="false"/>
                                <w:color w:val="383838"/>
                                <w:sz w:val="20"/>
                              </w:rPr>
                              <w:t xml:space="preserve">Amended </w:t>
                            </w:r>
                            <w:r>
                              <w:rPr>
                                <w:rFonts w:ascii="Arial;sans-serif" w:hAnsi="Arial;sans-serif"/>
                                <w:b w:val="false"/>
                                <w:color w:val="4B4B4B"/>
                                <w:sz w:val="20"/>
                              </w:rPr>
                              <w:t xml:space="preserve">and </w:t>
                            </w:r>
                            <w:r>
                              <w:rPr>
                                <w:rFonts w:ascii="Arial;sans-serif" w:hAnsi="Arial;sans-serif"/>
                                <w:b w:val="false"/>
                                <w:color w:val="383838"/>
                                <w:sz w:val="20"/>
                              </w:rPr>
                              <w:t xml:space="preserve">Restated </w:t>
                            </w:r>
                            <w:r>
                              <w:rPr>
                                <w:rFonts w:ascii="Arial;sans-serif" w:hAnsi="Arial;sans-serif"/>
                                <w:b w:val="false"/>
                                <w:color w:val="4B4B4B"/>
                                <w:sz w:val="20"/>
                              </w:rPr>
                              <w:t>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Lender, an LC Issuer, Joint Lead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Arranger, Joint Bookrunner and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Documentation Agent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Mike Myers            </w:t>
      </w:r>
    </w:p>
    <w:p>
      <w:pPr>
        <w:pStyle w:val="TextBody"/>
        <w:bidi w:val="0"/>
        <w:spacing w:lineRule="auto" w:line="280" w:before="0" w:after="0"/>
        <w:jc w:val="left"/>
        <w:rPr/>
      </w:pPr>
      <w:r>
        <w:rPr>
          <w:rFonts w:ascii="Times New Roman;sans-serif" w:hAnsi="Times New Roman;sans-serif"/>
          <w:b w:val="false"/>
          <w:color w:val="000000"/>
          <w:sz w:val="24"/>
        </w:rPr>
        <w:t>Name:    Mike Myers</w:t>
      </w:r>
      <w:r>
        <w:rPr>
          <w:rFonts w:ascii="Times New Roman;sans-serif" w:hAnsi="Times New Roman;sans-serif"/>
          <w:b w:val="false"/>
          <w:color w:val="000000"/>
          <w:sz w:val="22"/>
        </w:rPr>
        <w:br/>
      </w:r>
      <w:r>
        <w:rPr>
          <w:rFonts w:ascii="Times New Roman;sans-serif" w:hAnsi="Times New Roman;sans-serif"/>
          <w:b w:val="false"/>
          <w:color w:val="000000"/>
          <w:sz w:val="24"/>
        </w:rPr>
        <w:t>Title:     Authorized Signer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02005"/>
                <wp:effectExtent l="0" t="0" r="0" b="0"/>
                <wp:wrapNone/>
                <wp:docPr id="13" name="Frame13"/>
                <a:graphic xmlns:a="http://schemas.openxmlformats.org/drawingml/2006/main">
                  <a:graphicData uri="http://schemas.microsoft.com/office/word/2010/wordprocessingShape">
                    <wps:wsp>
                      <wps:cNvSpPr txBox="1"/>
                      <wps:spPr>
                        <a:xfrm>
                          <a:off x="0" y="0"/>
                          <a:ext cx="6480175" cy="80200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270"/>
                              <w:gridCol w:w="2874"/>
                              <w:gridCol w:w="4061"/>
                            </w:tblGrid>
                            <w:tr>
                              <w:trPr/>
                              <w:tc>
                                <w:tcPr>
                                  <w:tcW w:w="3270" w:type="dxa"/>
                                  <w:tcBorders/>
                                  <w:vAlign w:val="center"/>
                                </w:tcPr>
                                <w:p>
                                  <w:pPr>
                                    <w:pStyle w:val="TableContents"/>
                                    <w:bidi w:val="0"/>
                                    <w:spacing w:before="0" w:after="283"/>
                                    <w:jc w:val="left"/>
                                    <w:rPr>
                                      <w:sz w:val="4"/>
                                      <w:szCs w:val="4"/>
                                    </w:rPr>
                                  </w:pPr>
                                  <w:r>
                                    <w:rPr>
                                      <w:sz w:val="4"/>
                                      <w:szCs w:val="4"/>
                                    </w:rPr>
                                  </w:r>
                                  <w:r>
                                    <w:br w:type="page"/>
                                  </w:r>
                                </w:p>
                              </w:tc>
                              <w:tc>
                                <w:tcPr>
                                  <w:tcW w:w="2874"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0" w:before="10" w:after="283"/>
                                    <w:ind w:left="0" w:right="0" w:hanging="3540"/>
                                    <w:jc w:val="left"/>
                                    <w:rPr>
                                      <w:rFonts w:ascii="Times New Roman;sans-serif" w:hAnsi="Times New Roman;sans-serif"/>
                                      <w:b w:val="false"/>
                                      <w:color w:val="000000"/>
                                      <w:sz w:val="23"/>
                                    </w:rPr>
                                  </w:pPr>
                                  <w:r>
                                    <w:rPr>
                                      <w:rFonts w:ascii="Times New Roman;sans-serif" w:hAnsi="Times New Roman;sans-serif"/>
                                      <w:b w:val="false"/>
                                      <w:color w:val="000000"/>
                                      <w:sz w:val="23"/>
                                    </w:rPr>
                                    <w:t>[Signature Page to Joinder, Consent and Second Amendment to Second Amended and Restated 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1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3270"/>
                        <w:gridCol w:w="2874"/>
                        <w:gridCol w:w="4061"/>
                      </w:tblGrid>
                      <w:tr>
                        <w:trPr/>
                        <w:tc>
                          <w:tcPr>
                            <w:tcW w:w="3270"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0" w:before="10" w:after="283"/>
                              <w:ind w:left="0" w:right="0" w:hanging="3540"/>
                              <w:jc w:val="left"/>
                              <w:rPr>
                                <w:rFonts w:ascii="Times New Roman;sans-serif" w:hAnsi="Times New Roman;sans-serif"/>
                                <w:b w:val="false"/>
                                <w:color w:val="000000"/>
                                <w:sz w:val="23"/>
                              </w:rPr>
                            </w:pPr>
                            <w:r>
                              <w:rPr>
                                <w:rFonts w:ascii="Times New Roman;sans-serif" w:hAnsi="Times New Roman;sans-serif"/>
                                <w:b w:val="false"/>
                                <w:color w:val="000000"/>
                                <w:sz w:val="23"/>
                              </w:rPr>
                              <w:t>[Signature Page to Joinder, Consent and Second Amendment to Second Amended and Restated 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Lender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Zachary Shimota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Zachary Shimota</w:t>
        <w:br/>
        <w:t>Title:    Executive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02005"/>
                <wp:effectExtent l="0" t="0" r="0" b="0"/>
                <wp:wrapNone/>
                <wp:docPr id="14" name="Frame14"/>
                <a:graphic xmlns:a="http://schemas.openxmlformats.org/drawingml/2006/main">
                  <a:graphicData uri="http://schemas.microsoft.com/office/word/2010/wordprocessingShape">
                    <wps:wsp>
                      <wps:cNvSpPr txBox="1"/>
                      <wps:spPr>
                        <a:xfrm>
                          <a:off x="0" y="0"/>
                          <a:ext cx="6480175" cy="80200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270"/>
                              <w:gridCol w:w="2874"/>
                              <w:gridCol w:w="4061"/>
                            </w:tblGrid>
                            <w:tr>
                              <w:trPr/>
                              <w:tc>
                                <w:tcPr>
                                  <w:tcW w:w="3270" w:type="dxa"/>
                                  <w:tcBorders/>
                                  <w:vAlign w:val="center"/>
                                </w:tcPr>
                                <w:p>
                                  <w:pPr>
                                    <w:pStyle w:val="TableContents"/>
                                    <w:bidi w:val="0"/>
                                    <w:spacing w:before="0" w:after="283"/>
                                    <w:jc w:val="left"/>
                                    <w:rPr>
                                      <w:sz w:val="4"/>
                                      <w:szCs w:val="4"/>
                                    </w:rPr>
                                  </w:pPr>
                                  <w:r>
                                    <w:rPr>
                                      <w:sz w:val="4"/>
                                      <w:szCs w:val="4"/>
                                    </w:rPr>
                                  </w:r>
                                  <w:r>
                                    <w:br w:type="page"/>
                                  </w:r>
                                </w:p>
                              </w:tc>
                              <w:tc>
                                <w:tcPr>
                                  <w:tcW w:w="2874"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0" w:before="10" w:after="283"/>
                                    <w:ind w:left="0" w:right="0" w:hanging="3540"/>
                                    <w:jc w:val="left"/>
                                    <w:rPr>
                                      <w:rFonts w:ascii="Times New Roman;sans-serif" w:hAnsi="Times New Roman;sans-serif"/>
                                      <w:b w:val="false"/>
                                      <w:color w:val="000000"/>
                                      <w:sz w:val="23"/>
                                    </w:rPr>
                                  </w:pPr>
                                  <w:r>
                                    <w:rPr>
                                      <w:rFonts w:ascii="Times New Roman;sans-serif" w:hAnsi="Times New Roman;sans-serif"/>
                                      <w:b w:val="false"/>
                                      <w:color w:val="000000"/>
                                      <w:sz w:val="23"/>
                                    </w:rPr>
                                    <w:t>[Signature Page to Joinder, Consent and Second Amendment to Second Amended and Restated 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1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3270"/>
                        <w:gridCol w:w="2874"/>
                        <w:gridCol w:w="4061"/>
                      </w:tblGrid>
                      <w:tr>
                        <w:trPr/>
                        <w:tc>
                          <w:tcPr>
                            <w:tcW w:w="3270"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0" w:before="10" w:after="283"/>
                              <w:ind w:left="0" w:right="0" w:hanging="3540"/>
                              <w:jc w:val="left"/>
                              <w:rPr>
                                <w:rFonts w:ascii="Times New Roman;sans-serif" w:hAnsi="Times New Roman;sans-serif"/>
                                <w:b w:val="false"/>
                                <w:color w:val="000000"/>
                                <w:sz w:val="23"/>
                              </w:rPr>
                            </w:pPr>
                            <w:r>
                              <w:rPr>
                                <w:rFonts w:ascii="Times New Roman;sans-serif" w:hAnsi="Times New Roman;sans-serif"/>
                                <w:b w:val="false"/>
                                <w:color w:val="000000"/>
                                <w:sz w:val="23"/>
                              </w:rPr>
                              <w:t>[Signature Page to Joinder, Consent and Second Amendment to Second Amended and Restated 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BANK, N.A.</w:t>
      </w:r>
    </w:p>
    <w:p>
      <w:pPr>
        <w:pStyle w:val="TextBody"/>
        <w:bidi w:val="0"/>
        <w:spacing w:lineRule="auto" w:line="288" w:before="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 a Lender</w:t>
      </w:r>
    </w:p>
    <w:p>
      <w:pPr>
        <w:pStyle w:val="TextBody"/>
        <w:bidi w:val="0"/>
        <w:spacing w:before="13" w:after="283"/>
        <w:jc w:val="left"/>
        <w:rPr/>
      </w:pPr>
      <w:r>
        <w:rPr/>
      </w:r>
    </w:p>
    <w:p>
      <w:pPr>
        <w:pStyle w:val="TextBody"/>
        <w:bidi w:val="0"/>
        <w:spacing w:before="13"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Brett Neulib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Brett Neulib</w:t>
        <w:br/>
        <w:t>Title:    SVP</w:t>
      </w:r>
    </w:p>
    <w:p>
      <w:pPr>
        <w:pStyle w:val="TextBody"/>
        <w:bidi w:val="0"/>
        <w:spacing w:before="13" w:after="283"/>
        <w:jc w:val="left"/>
        <w:rPr/>
      </w:pPr>
      <w:r>
        <w:rPr/>
      </w:r>
    </w:p>
    <w:p>
      <w:pPr>
        <w:pStyle w:val="TextBody"/>
        <w:bidi w:val="0"/>
        <w:spacing w:before="9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02005"/>
                <wp:effectExtent l="0" t="0" r="0" b="0"/>
                <wp:wrapNone/>
                <wp:docPr id="15" name="Frame15"/>
                <a:graphic xmlns:a="http://schemas.openxmlformats.org/drawingml/2006/main">
                  <a:graphicData uri="http://schemas.microsoft.com/office/word/2010/wordprocessingShape">
                    <wps:wsp>
                      <wps:cNvSpPr txBox="1"/>
                      <wps:spPr>
                        <a:xfrm>
                          <a:off x="0" y="0"/>
                          <a:ext cx="6480175" cy="80200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270"/>
                              <w:gridCol w:w="2874"/>
                              <w:gridCol w:w="4061"/>
                            </w:tblGrid>
                            <w:tr>
                              <w:trPr/>
                              <w:tc>
                                <w:tcPr>
                                  <w:tcW w:w="3270" w:type="dxa"/>
                                  <w:tcBorders/>
                                  <w:vAlign w:val="center"/>
                                </w:tcPr>
                                <w:p>
                                  <w:pPr>
                                    <w:pStyle w:val="TableContents"/>
                                    <w:bidi w:val="0"/>
                                    <w:spacing w:before="0" w:after="283"/>
                                    <w:jc w:val="left"/>
                                    <w:rPr>
                                      <w:sz w:val="4"/>
                                      <w:szCs w:val="4"/>
                                    </w:rPr>
                                  </w:pPr>
                                  <w:r>
                                    <w:rPr>
                                      <w:sz w:val="4"/>
                                      <w:szCs w:val="4"/>
                                    </w:rPr>
                                  </w:r>
                                  <w:r>
                                    <w:br w:type="page"/>
                                  </w:r>
                                </w:p>
                              </w:tc>
                              <w:tc>
                                <w:tcPr>
                                  <w:tcW w:w="2874"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0" w:before="10" w:after="283"/>
                                    <w:ind w:left="0" w:right="0" w:hanging="3540"/>
                                    <w:jc w:val="left"/>
                                    <w:rPr>
                                      <w:rFonts w:ascii="Times New Roman;sans-serif" w:hAnsi="Times New Roman;sans-serif"/>
                                      <w:b w:val="false"/>
                                      <w:color w:val="000000"/>
                                      <w:sz w:val="23"/>
                                    </w:rPr>
                                  </w:pPr>
                                  <w:r>
                                    <w:rPr>
                                      <w:rFonts w:ascii="Times New Roman;sans-serif" w:hAnsi="Times New Roman;sans-serif"/>
                                      <w:b w:val="false"/>
                                      <w:color w:val="000000"/>
                                      <w:sz w:val="23"/>
                                    </w:rPr>
                                    <w:t>[Signature Page to Joinder, Consent and Second Amendment to Second Amended and Restated 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1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3270"/>
                        <w:gridCol w:w="2874"/>
                        <w:gridCol w:w="4061"/>
                      </w:tblGrid>
                      <w:tr>
                        <w:trPr/>
                        <w:tc>
                          <w:tcPr>
                            <w:tcW w:w="3270"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0" w:before="10" w:after="283"/>
                              <w:ind w:left="0" w:right="0" w:hanging="3540"/>
                              <w:jc w:val="left"/>
                              <w:rPr>
                                <w:rFonts w:ascii="Times New Roman;sans-serif" w:hAnsi="Times New Roman;sans-serif"/>
                                <w:b w:val="false"/>
                                <w:color w:val="000000"/>
                                <w:sz w:val="23"/>
                              </w:rPr>
                            </w:pPr>
                            <w:r>
                              <w:rPr>
                                <w:rFonts w:ascii="Times New Roman;sans-serif" w:hAnsi="Times New Roman;sans-serif"/>
                                <w:b w:val="false"/>
                                <w:color w:val="000000"/>
                                <w:sz w:val="23"/>
                              </w:rPr>
                              <w:t>[Signature Page to Joinder, Consent and Second Amendment to Second Amended and Restated 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center"/>
        <w:rPr>
          <w:rFonts w:ascii="Times New Roman;sans-serif" w:hAnsi="Times New Roman;sans-serif"/>
          <w:b/>
          <w:i/>
          <w:color w:val="0000FF"/>
          <w:sz w:val="22"/>
          <w:u w:val="single"/>
        </w:rPr>
      </w:pPr>
      <w:r>
        <w:rPr>
          <w:rFonts w:ascii="Times New Roman;sans-serif" w:hAnsi="Times New Roman;sans-serif"/>
          <w:b/>
          <w:i/>
          <w:color w:val="0000FF"/>
          <w:sz w:val="22"/>
          <w:u w:val="single"/>
        </w:rPr>
        <w:t>Exhibit A to Joinder and Second Amendment to Second Amended and Restated Credit Agreement</w:t>
      </w:r>
    </w:p>
    <w:p>
      <w:pPr>
        <w:pStyle w:val="TextBody"/>
        <w:bidi w:val="0"/>
        <w:spacing w:lineRule="auto" w:line="288" w:before="239" w:after="283"/>
        <w:jc w:val="left"/>
        <w:rPr>
          <w:rFonts w:ascii="Times New Roman;sans-serif" w:hAnsi="Times New Roman;sans-serif"/>
          <w:b/>
          <w:i/>
          <w:strike/>
          <w:color w:val="FF0000"/>
          <w:sz w:val="22"/>
        </w:rPr>
      </w:pPr>
      <w:r>
        <w:rPr>
          <w:rFonts w:ascii="Times New Roman;sans-serif" w:hAnsi="Times New Roman;sans-serif"/>
          <w:b/>
          <w:i/>
          <w:strike/>
          <w:color w:val="FF0000"/>
          <w:sz w:val="22"/>
        </w:rPr>
        <w:t>Conformed through First Amendment 05/24/2024</w:t>
      </w:r>
    </w:p>
    <w:p>
      <w:pPr>
        <w:pStyle w:val="TextBody"/>
        <w:bidi w:val="0"/>
        <w:spacing w:lineRule="auto" w:line="288" w:before="239" w:after="283"/>
        <w:jc w:val="right"/>
        <w:rPr>
          <w:rFonts w:ascii="Times New Roman;sans-serif" w:hAnsi="Times New Roman;sans-serif"/>
          <w:b w:val="false"/>
          <w:color w:val="000000"/>
          <w:sz w:val="24"/>
        </w:rPr>
      </w:pPr>
      <w:r>
        <w:rPr>
          <w:rFonts w:ascii="Times New Roman;sans-serif" w:hAnsi="Times New Roman;sans-serif"/>
          <w:b w:val="false"/>
          <w:color w:val="000000"/>
          <w:sz w:val="24"/>
        </w:rPr>
        <w:t>Deal CUSIP: #42025RAA1</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Revolving Loan CUSIP: #42025RAB9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5"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556" w:before="0" w:after="0"/>
        <w:jc w:val="center"/>
        <w:rPr>
          <w:rFonts w:ascii="Times New Roman;sans-serif" w:hAnsi="Times New Roman;sans-serif"/>
          <w:b/>
          <w:color w:val="000000"/>
          <w:sz w:val="24"/>
        </w:rPr>
      </w:pPr>
      <w:r>
        <w:rPr>
          <w:rFonts w:ascii="Times New Roman;sans-serif" w:hAnsi="Times New Roman;sans-serif"/>
          <w:b/>
          <w:color w:val="000000"/>
          <w:sz w:val="24"/>
        </w:rPr>
        <w:t>SECOND AMENDED AND RESTATED CREDIT AGREEMENT DATED AS OF MARCH 31, 2022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AMONG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HAWKINS, INC., as the Borrower,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U.S. BANK NATIONAL ASSOCIATION,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Administrative Agent, Swing Line Lender and an LC Issuer,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U.S. BANK NATIONAL ASSOCIATION,</w:t>
      </w:r>
    </w:p>
    <w:p>
      <w:pPr>
        <w:pStyle w:val="TextBody"/>
        <w:bidi w:val="0"/>
        <w:spacing w:lineRule="auto" w:line="288" w:before="0" w:after="0"/>
        <w:jc w:val="center"/>
        <w:rPr/>
      </w:pPr>
      <w:r>
        <w:rPr>
          <w:rFonts w:ascii="Times New Roman;sans-serif" w:hAnsi="Times New Roman;sans-serif"/>
          <w:b/>
          <w:color w:val="000000"/>
          <w:sz w:val="24"/>
        </w:rPr>
        <w:t xml:space="preserve">as </w:t>
      </w:r>
      <w:r>
        <w:rPr>
          <w:rFonts w:ascii="Times New Roman;sans-serif" w:hAnsi="Times New Roman;sans-serif"/>
          <w:b/>
          <w:strike/>
          <w:color w:val="FF0000"/>
          <w:sz w:val="24"/>
        </w:rPr>
        <w:t>Sole</w:t>
      </w:r>
      <w:r>
        <w:rPr>
          <w:rFonts w:ascii="Times New Roman;sans-serif" w:hAnsi="Times New Roman;sans-serif"/>
          <w:b/>
          <w:color w:val="0000FF"/>
          <w:sz w:val="24"/>
          <w:u w:val="single"/>
        </w:rPr>
        <w:t>Joint</w:t>
      </w:r>
      <w:r>
        <w:rPr>
          <w:color w:val="0000FF"/>
        </w:rPr>
        <w:t xml:space="preserve"> </w:t>
      </w:r>
      <w:r>
        <w:rPr>
          <w:rFonts w:ascii="Times New Roman;sans-serif" w:hAnsi="Times New Roman;sans-serif"/>
          <w:b/>
          <w:color w:val="000000"/>
          <w:sz w:val="24"/>
        </w:rPr>
        <w:t xml:space="preserve">Lead Arranger and </w:t>
      </w:r>
      <w:r>
        <w:rPr>
          <w:rFonts w:ascii="Times New Roman;sans-serif" w:hAnsi="Times New Roman;sans-serif"/>
          <w:b/>
          <w:strike/>
          <w:color w:val="FF0000"/>
          <w:sz w:val="24"/>
        </w:rPr>
        <w:t>Sole</w:t>
      </w:r>
      <w:r>
        <w:rPr>
          <w:rFonts w:ascii="Times New Roman;sans-serif" w:hAnsi="Times New Roman;sans-serif"/>
          <w:b/>
          <w:color w:val="0000FF"/>
          <w:sz w:val="24"/>
          <w:u w:val="single"/>
        </w:rPr>
        <w:t>Joint</w:t>
      </w:r>
      <w:r>
        <w:rPr>
          <w:color w:val="0000FF"/>
        </w:rPr>
        <w:t xml:space="preserve"> </w:t>
      </w:r>
      <w:r>
        <w:rPr>
          <w:rFonts w:ascii="Times New Roman;sans-serif" w:hAnsi="Times New Roman;sans-serif"/>
          <w:b/>
          <w:color w:val="000000"/>
          <w:sz w:val="24"/>
        </w:rPr>
        <w:t>Book Runner</w:t>
      </w:r>
    </w:p>
    <w:p>
      <w:pPr>
        <w:pStyle w:val="TextBody"/>
        <w:bidi w:val="0"/>
        <w:spacing w:lineRule="auto" w:line="288" w:before="240" w:after="283"/>
        <w:jc w:val="center"/>
        <w:rPr>
          <w:rFonts w:ascii="Times New Roman;sans-serif" w:hAnsi="Times New Roman;sans-serif"/>
          <w:b/>
          <w:color w:val="0000FF"/>
          <w:sz w:val="24"/>
          <w:u w:val="single"/>
        </w:rPr>
      </w:pPr>
      <w:r>
        <w:rPr>
          <w:rFonts w:ascii="Times New Roman;sans-serif" w:hAnsi="Times New Roman;sans-serif"/>
          <w:b/>
          <w:color w:val="0000FF"/>
          <w:sz w:val="24"/>
          <w:u w:val="single"/>
        </w:rPr>
        <w:t>JPMORGAN CHASE BANK, N.A.,</w:t>
      </w:r>
    </w:p>
    <w:p>
      <w:pPr>
        <w:pStyle w:val="TextBody"/>
        <w:bidi w:val="0"/>
        <w:spacing w:lineRule="auto" w:line="288" w:before="0" w:after="0"/>
        <w:jc w:val="center"/>
        <w:rPr/>
      </w:pPr>
      <w:r>
        <w:rPr>
          <w:rFonts w:ascii="Times New Roman;sans-serif" w:hAnsi="Times New Roman;sans-serif"/>
          <w:b/>
          <w:color w:val="0000FF"/>
          <w:sz w:val="24"/>
          <w:u w:val="single"/>
        </w:rPr>
        <w:t>as a Lender, an LC Issuer, Joint Lead Arranger, Joint Book Runner and Documentation</w:t>
      </w:r>
      <w:r>
        <w:rPr>
          <w:color w:val="0000FF"/>
        </w:rPr>
        <w:t xml:space="preserve"> </w:t>
      </w:r>
      <w:r>
        <w:rPr>
          <w:rFonts w:ascii="Times New Roman;sans-serif" w:hAnsi="Times New Roman;sans-serif"/>
          <w:b/>
          <w:color w:val="0000FF"/>
          <w:sz w:val="24"/>
          <w:u w:val="single"/>
        </w:rPr>
        <w:t>Agent</w:t>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and CERTAIN FINANCIAL INSTITUTIONS,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Lenders</w:t>
      </w:r>
    </w:p>
    <w:p>
      <w:pPr>
        <w:pStyle w:val="TextBody"/>
        <w:bidi w:val="0"/>
        <w:spacing w:before="0" w:after="0"/>
        <w:jc w:val="left"/>
        <w:rPr/>
      </w:pPr>
      <w:r>
        <w:rPr/>
      </w:r>
    </w:p>
    <w:p>
      <w:pPr>
        <w:pStyle w:val="TextBody"/>
        <w:bidi w:val="0"/>
        <w:spacing w:before="81"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16"/>
        </w:rPr>
        <w:t>04</w:t>
      </w:r>
      <w:r>
        <w:rPr>
          <w:rFonts w:ascii="Times New Roman;sans-serif" w:hAnsi="Times New Roman;sans-serif"/>
          <w:b w:val="false"/>
          <w:strike/>
          <w:color w:val="FF0000"/>
          <w:sz w:val="16"/>
        </w:rPr>
        <w:t>881-5331-7310\3</w:t>
      </w:r>
      <w:r>
        <w:rPr>
          <w:rFonts w:ascii="Times New Roman;sans-serif" w:hAnsi="Times New Roman;sans-serif"/>
          <w:b w:val="false"/>
          <w:color w:val="0000FF"/>
          <w:sz w:val="16"/>
          <w:u w:val="single"/>
        </w:rPr>
        <w:t>905-9060-8421\11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center"/>
        <w:rPr/>
      </w:pPr>
      <w:hyperlink w:anchor="i5dd8634c8ac64c06a4fc88b3a6aad29e_46">
        <w:r>
          <w:rPr>
            <w:rStyle w:val="InternetLink"/>
          </w:rPr>
          <w:t>ARTICLE I. DEFINITIONS</w:t>
        </w:r>
      </w:hyperlink>
      <w:hyperlink w:anchor="i5dd8634c8ac64c06a4fc88b3a6aad29e_46">
        <w:r>
          <w:rPr>
            <w:rStyle w:val="InternetLink"/>
          </w:rPr>
          <w:t>    </w:t>
        </w:r>
      </w:hyperlink>
      <w:hyperlink w:anchor="i5dd8634c8ac64c06a4fc88b3a6aad29e_46">
        <w:r>
          <w:rPr>
            <w:rStyle w:val="InternetLink"/>
          </w:rPr>
          <w:t>1</w:t>
        </w:r>
      </w:hyperlink>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1.1.Definitions    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1.2.Loan Classes    30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1.3.Computation of Time Periods    30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1.4.Accounting    30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1.5.Other Definitional Terms    31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1.6.Divisions    31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1.7.Term SOFR Notification    31</w:t>
      </w:r>
    </w:p>
    <w:p>
      <w:pPr>
        <w:pStyle w:val="TextBody"/>
        <w:bidi w:val="0"/>
        <w:spacing w:lineRule="auto" w:line="288" w:before="120" w:after="283"/>
        <w:jc w:val="center"/>
        <w:rPr/>
      </w:pPr>
      <w:hyperlink w:anchor="i5dd8634c8ac64c06a4fc88b3a6aad29e_148">
        <w:r>
          <w:rPr>
            <w:rStyle w:val="InternetLink"/>
          </w:rPr>
          <w:t>ARTICLE II. THE CREDITS</w:t>
        </w:r>
      </w:hyperlink>
      <w:hyperlink w:anchor="i5dd8634c8ac64c06a4fc88b3a6aad29e_148">
        <w:r>
          <w:rPr>
            <w:rStyle w:val="InternetLink"/>
          </w:rPr>
          <w:t>    </w:t>
        </w:r>
      </w:hyperlink>
      <w:hyperlink w:anchor="i5dd8634c8ac64c06a4fc88b3a6aad29e_148">
        <w:r>
          <w:rPr>
            <w:rStyle w:val="InternetLink"/>
          </w:rPr>
          <w:t>32</w:t>
        </w:r>
      </w:hyperlink>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1.1.Commitment    32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1.2.Ratable Loans; Types of Advances    33</w:t>
      </w:r>
    </w:p>
    <w:p>
      <w:pPr>
        <w:pStyle w:val="TextBody"/>
        <w:bidi w:val="0"/>
        <w:spacing w:lineRule="auto" w:line="288"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1.3.Commitment Fee    34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1.4.Minimum Amount of Each Advance    34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1.5.Reductions in Aggregate Commitment; Optional Principal Payments    34</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1.6.Method of Selecting Types and Interest Periods for New Advances    35</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1.7.Conversion and Continuation of Outstanding Advances    35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1.8.Interest Rates    36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1.9.Rates Applicable After Event of Default    36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1.10.Method of Payment    37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1.11.Evidence of Indebtedness    37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1.12.Telephonic Notices    38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1.13.Interest Payment Dates; Interest and Fee Basis    38</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1.14.Notification of Advances, Interest Rates, Prepayments and Commitment Reductions    39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1.15.Lending Installations    39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1.16.Non-Receipt of Funds by the Administrative Agent    39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1.17.Facility LCs    39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1.18.Replacement of Lender    45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1.19.Limitation of Interest    46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1.20.Defaulting Lenders    47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1.21.Swing Line Loans    49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1.22.Increase Option    51</w:t>
      </w:r>
    </w:p>
    <w:p>
      <w:pPr>
        <w:pStyle w:val="TextBody"/>
        <w:bidi w:val="0"/>
        <w:spacing w:lineRule="auto" w:line="288"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 YIELD PROTECTION; TAXES    52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1.1.Yield Protection    52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1.2.Changes in Capital Adequacy Regulations    53</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1.3.Availability of Types of Advances; Adequacy of Interest Rate; Benchmark Replacement    54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1.4.Funding Indemnification    56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1.5.Taxes    56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1.6.Lender Statements; Survival of Indemnity    61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1.7.Illegality    61</w:t>
      </w:r>
    </w:p>
    <w:p>
      <w:pPr>
        <w:pStyle w:val="TextBody"/>
        <w:bidi w:val="0"/>
        <w:spacing w:lineRule="auto" w:line="288" w:before="120" w:after="92"/>
        <w:jc w:val="center"/>
        <w:rPr/>
      </w:pPr>
      <w:hyperlink w:anchor="i5dd8634c8ac64c06a4fc88b3a6aad29e_238">
        <w:r>
          <w:rPr>
            <w:rStyle w:val="InternetLink"/>
          </w:rPr>
          <w:t>ARTICLE IV. CONDITIONS PRECEDENT</w:t>
        </w:r>
      </w:hyperlink>
      <w:hyperlink w:anchor="i5dd8634c8ac64c06a4fc88b3a6aad29e_238">
        <w:r>
          <w:rPr>
            <w:rStyle w:val="InternetLink"/>
          </w:rPr>
          <w:t>    </w:t>
        </w:r>
      </w:hyperlink>
      <w:hyperlink w:anchor="i5dd8634c8ac64c06a4fc88b3a6aad29e_238">
        <w:r>
          <w:rPr>
            <w:rStyle w:val="InternetLink"/>
          </w:rPr>
          <w:t>62</w:t>
        </w:r>
      </w:hyperlink>
    </w:p>
    <w:p>
      <w:pPr>
        <w:pStyle w:val="TextBody"/>
        <w:bidi w:val="0"/>
        <w:spacing w:lineRule="auto" w:line="288" w:before="6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1.1.Credit Extension    62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1.2.Each Credit Extension    64</w:t>
      </w:r>
    </w:p>
    <w:p>
      <w:pPr>
        <w:pStyle w:val="TextBody"/>
        <w:bidi w:val="0"/>
        <w:spacing w:lineRule="auto" w:line="288" w:before="120" w:after="283"/>
        <w:jc w:val="left"/>
        <w:rPr/>
      </w:pPr>
      <w:hyperlink w:anchor="i5dd8634c8ac64c06a4fc88b3a6aad29e_247">
        <w:r>
          <w:rPr>
            <w:rStyle w:val="InternetLink"/>
          </w:rPr>
          <w:t>ARTICLE V. REPRESENTATIONS AND WARRANTIES</w:t>
        </w:r>
      </w:hyperlink>
      <w:hyperlink w:anchor="i5dd8634c8ac64c06a4fc88b3a6aad29e_247">
        <w:r>
          <w:rPr>
            <w:rStyle w:val="InternetLink"/>
          </w:rPr>
          <w:t>    </w:t>
        </w:r>
      </w:hyperlink>
      <w:hyperlink w:anchor="i5dd8634c8ac64c06a4fc88b3a6aad29e_247">
        <w:r>
          <w:rPr>
            <w:rStyle w:val="InternetLink"/>
          </w:rPr>
          <w:t>65</w:t>
        </w:r>
      </w:hyperlink>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1.1.Existence and Standing    65</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15975"/>
                <wp:effectExtent l="0" t="0" r="0" b="0"/>
                <wp:wrapNone/>
                <wp:docPr id="18" name="Frame1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1.2.Authorization and Validity    65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1.3.No Conflict; Government Consent    65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1.4.Financial Statements    66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1.5.Material Adverse Change    66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1.6.Taxes    66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1.7.Litigation and Contingent Obligations    66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1.8.Subsidiaries    66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1.9.ERISA    67</w:t>
      </w:r>
    </w:p>
    <w:p>
      <w:pPr>
        <w:pStyle w:val="TextBody"/>
        <w:bidi w:val="0"/>
        <w:spacing w:lineRule="auto" w:line="288"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1.10.Accuracy of Information    67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1.11.Regulation U    67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1.12.Material Agreements    67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1.13.Compliance With Laws    67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1.14.Ownership of Properties; Perfection of Liens    67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1.15.Plan Assets; Prohibited Transactions    68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1.16.Environmental Matters    68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1.17.Investment Company Act    68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1.18.Insurance    68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1.19.Real Property    69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1.20.Solvency    69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1.21.Intellectual Property    69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1.22.Labor Matters    69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1.23.No Default    69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1.24.Burdensome Restrictions    70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1.25.Anti-Corruption Laws; Sanctions; Anti-Terrorism Laws    70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1.26.Subordinated Indebtedness    70</w:t>
      </w:r>
    </w:p>
    <w:p>
      <w:pPr>
        <w:pStyle w:val="TextBody"/>
        <w:bidi w:val="0"/>
        <w:spacing w:lineRule="auto" w:line="288" w:before="120" w:after="283"/>
        <w:jc w:val="left"/>
        <w:rPr/>
      </w:pPr>
      <w:hyperlink w:anchor="i5dd8634c8ac64c06a4fc88b3a6aad29e_262">
        <w:r>
          <w:rPr>
            <w:rStyle w:val="InternetLink"/>
          </w:rPr>
          <w:t>ARTICLE VI. COVENANTS</w:t>
        </w:r>
      </w:hyperlink>
      <w:hyperlink w:anchor="i5dd8634c8ac64c06a4fc88b3a6aad29e_262">
        <w:r>
          <w:rPr>
            <w:rStyle w:val="InternetLink"/>
          </w:rPr>
          <w:t>    </w:t>
        </w:r>
      </w:hyperlink>
      <w:hyperlink w:anchor="i5dd8634c8ac64c06a4fc88b3a6aad29e_262">
        <w:r>
          <w:rPr>
            <w:rStyle w:val="InternetLink"/>
          </w:rPr>
          <w:t>70</w:t>
        </w:r>
      </w:hyperlink>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1.1.Financial Reporting    70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1.2.Use of Proceeds    72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1.3.Notice of Event of Default; ERISA Matters    72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1.4.Conduct of Business    73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1.5.Formation of Subsidiaries    73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1.6.Taxes    74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1.7.Insurance    74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1.8.Compliance with Laws    74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1.9.Maintenance of Properties    75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1.10.Inspection    75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1.11.Books and Records    75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1.12.Compliance with Material Contracts    75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1.13.ERISA    75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1.14.Environmental Matters; Reporting    76</w:t>
      </w:r>
    </w:p>
    <w:p>
      <w:pPr>
        <w:pStyle w:val="TextBody"/>
        <w:bidi w:val="0"/>
        <w:spacing w:lineRule="auto" w:line="288" w:before="0" w:after="14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1.15.Reaffirmation of Guaranties    76</w:t>
      </w:r>
    </w:p>
    <w:p>
      <w:pPr>
        <w:pStyle w:val="TextBody"/>
        <w:bidi w:val="0"/>
        <w:spacing w:lineRule="auto" w:line="288" w:before="6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1.16.Further Assurances; Cash Management; Good Standing; Landlord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Waivers Control Agreements; Restructuring    76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1.17.Indebtedness    77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1.18.Merger    78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1.19.Sale of Assets    78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1.20.Investments    79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1.21.Acquisitions    79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1.22.Liens    80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1.23.Transactions with Affiliates    81</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15975"/>
                <wp:effectExtent l="0" t="0" r="0" b="0"/>
                <wp:wrapNone/>
                <wp:docPr id="19" name="Frame1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1.24.Subordinated Indebtedness    81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1.25.ERISA Plans    81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1.26.Change in Nature of Business    82</w:t>
      </w:r>
    </w:p>
    <w:p>
      <w:pPr>
        <w:pStyle w:val="TextBody"/>
        <w:bidi w:val="0"/>
        <w:spacing w:lineRule="auto" w:line="288"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1.27.Subsidiaries    82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1.28.Negative Pledges; Subsidiary Restrictions    82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1.29.Restricted Payments    82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1.30.Accounting Changes; Organizational Documents    82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1.31.Financial Covenants    83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1.32.Sale and Leaseback Transactions    83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1.33.Intentionally Omitted    83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1.34.Loan Proceeds    83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1.35.Keepwell    83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1.36.Anti-Money Laundering Compliance    84</w:t>
      </w:r>
    </w:p>
    <w:p>
      <w:pPr>
        <w:pStyle w:val="TextBody"/>
        <w:bidi w:val="0"/>
        <w:spacing w:lineRule="auto" w:line="288" w:before="120" w:after="283"/>
        <w:jc w:val="left"/>
        <w:rPr/>
      </w:pPr>
      <w:hyperlink w:anchor="i5dd8634c8ac64c06a4fc88b3a6aad29e_307">
        <w:r>
          <w:rPr>
            <w:rStyle w:val="InternetLink"/>
          </w:rPr>
          <w:t>ARTICLE VII. DEFAULTS</w:t>
        </w:r>
      </w:hyperlink>
      <w:hyperlink w:anchor="i5dd8634c8ac64c06a4fc88b3a6aad29e_307">
        <w:r>
          <w:rPr>
            <w:rStyle w:val="InternetLink"/>
          </w:rPr>
          <w:t>    </w:t>
        </w:r>
      </w:hyperlink>
      <w:hyperlink w:anchor="i5dd8634c8ac64c06a4fc88b3a6aad29e_307">
        <w:r>
          <w:rPr>
            <w:rStyle w:val="InternetLink"/>
          </w:rPr>
          <w:t>84</w:t>
        </w:r>
      </w:hyperlink>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VIII. ACCELERATION, WAIVERS, AMENDMENTS AND REMEDIES    87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1.1.Acceleration; Remedies    87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1.2.Application of Funds    88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1.3.Amendments    89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1.4.Preservation of Rights    90</w:t>
      </w:r>
    </w:p>
    <w:p>
      <w:pPr>
        <w:pStyle w:val="TextBody"/>
        <w:bidi w:val="0"/>
        <w:spacing w:lineRule="auto" w:line="288" w:before="120" w:after="283"/>
        <w:jc w:val="left"/>
        <w:rPr/>
      </w:pPr>
      <w:hyperlink w:anchor="i5dd8634c8ac64c06a4fc88b3a6aad29e_325">
        <w:r>
          <w:rPr>
            <w:rStyle w:val="InternetLink"/>
          </w:rPr>
          <w:t>ARTICLE IX. GENERAL PROVISIONS</w:t>
        </w:r>
      </w:hyperlink>
      <w:hyperlink w:anchor="i5dd8634c8ac64c06a4fc88b3a6aad29e_325">
        <w:r>
          <w:rPr>
            <w:rStyle w:val="InternetLink"/>
          </w:rPr>
          <w:t>    </w:t>
        </w:r>
      </w:hyperlink>
      <w:hyperlink w:anchor="i5dd8634c8ac64c06a4fc88b3a6aad29e_325">
        <w:r>
          <w:rPr>
            <w:rStyle w:val="InternetLink"/>
          </w:rPr>
          <w:t>90</w:t>
        </w:r>
      </w:hyperlink>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1.1.Survival of Representations    90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1.2.Governmental Regulation    90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1.3.Headings    90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1.4.Entire Agreement    90</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1.5.Several Obligations; Benefits of this Agreement    91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1.6.Expenses; Indemnification    91</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1.7.Numbers of Documents    92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1.8.Accounting    92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1.9.Severability of Provisions    92</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1.10.Nonliability of Lenders    93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1.11.Confidentiality    93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1.12.Nonreliance    93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1.13.Disclosure    94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1.14.PATRIOT ACT NOTIFICATION    94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1.15.Acknowledgement and Consent to Bail-In of Affected Financial</w:t>
      </w:r>
    </w:p>
    <w:p>
      <w:pPr>
        <w:pStyle w:val="TextBody"/>
        <w:bidi w:val="0"/>
        <w:spacing w:lineRule="auto" w:line="288"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Institutions    94</w:t>
      </w:r>
    </w:p>
    <w:p>
      <w:pPr>
        <w:pStyle w:val="TextBody"/>
        <w:bidi w:val="0"/>
        <w:spacing w:lineRule="auto" w:line="288" w:before="6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1.16.Acknowledgement Regarding Any Supported QFCs    94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1.17.Effect of Existing Credit Agreement    95</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X. THE ADMINISTRATIVE AGENT    95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1.1.Appointment; Nature of Relationship    95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1.2.Powers    96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1.3.General Immunity    96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1.4.No Responsibility for Loans, Recitals, etc    96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1.5.Action on Instructions of Lenders    96</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1.6.Employment of Administrative Agents and Counsel    97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1.7.Reliance on Documents; Counsel    97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1.8.Administrative Agent’s Reimbursement and Indemnification    97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1.9.Notice of Event of Default    98</w:t>
      </w:r>
    </w:p>
    <w:p>
      <w:pPr>
        <w:pStyle w:val="TextBody"/>
        <w:bidi w:val="0"/>
        <w:spacing w:lineRule="auto" w:line="288" w:before="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1.10.Rights as a Lender    98</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15975"/>
                <wp:effectExtent l="0" t="0" r="0" b="0"/>
                <wp:wrapNone/>
                <wp:docPr id="20" name="Frame2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1.11.Lender Credit Decision, Legal Representation    98</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1.12.Successor Administrative Agent    99</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1.13.Administrative Agent and Arranger Fees    99</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1.14.Delegation to Affiliates    99</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1.15.Execution of Collateral Documents    100</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1.16.Collateral and Guarantor Releases    100</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1.17.Certain ERISA Matters    100</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1.18.Erroneous Payments    101</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XI. SETOFF; RATABLE PAYMENTS    103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1.1.Setoff    103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1.2.Ratable Payments    103</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XII. BENEFIT OF AGREEMENT; ASSIGNMENTS; PARTICIPATIONS    103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1.1.Successors and Assigns    103</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1.2.Participations    104</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1.3.Assignments    105</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1.4.Dissemination of Information    107</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1.5.Tax Treatment    107</w:t>
      </w:r>
    </w:p>
    <w:p>
      <w:pPr>
        <w:pStyle w:val="TextBody"/>
        <w:bidi w:val="0"/>
        <w:spacing w:lineRule="auto" w:line="288" w:before="120" w:after="283"/>
        <w:jc w:val="left"/>
        <w:rPr/>
      </w:pPr>
      <w:hyperlink w:anchor="i5dd8634c8ac64c06a4fc88b3a6aad29e_382">
        <w:r>
          <w:rPr>
            <w:rStyle w:val="InternetLink"/>
          </w:rPr>
          <w:t>ARTICLE XIII. NOTICES</w:t>
        </w:r>
      </w:hyperlink>
      <w:hyperlink w:anchor="i5dd8634c8ac64c06a4fc88b3a6aad29e_382">
        <w:r>
          <w:rPr>
            <w:rStyle w:val="InternetLink"/>
          </w:rPr>
          <w:t>    </w:t>
        </w:r>
      </w:hyperlink>
      <w:hyperlink w:anchor="i5dd8634c8ac64c06a4fc88b3a6aad29e_382">
        <w:r>
          <w:rPr>
            <w:rStyle w:val="InternetLink"/>
          </w:rPr>
          <w:t>107</w:t>
        </w:r>
      </w:hyperlink>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1.1.Notices; Effectiveness; Electronic Communication    107</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XIV. COUNTERPARTS; INTEGRATION; EFFECTIVENESS;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ELECTRONIC EXECUTION; ELECTRONIC RECORDS    108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1.1.Counterparts; Effectiveness    108</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1.2.Electronic Execution of Assignments    109</w:t>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1.3.Document Imaging; Telecopy and PDF Signatures; Electronic Signatures    109</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XV. CHOICE OF LAW; CONSENT TO JURISDICTION; WAIVER OF</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JURY TRIAL    109</w:t>
      </w:r>
    </w:p>
    <w:p>
      <w:pPr>
        <w:pStyle w:val="TextBody"/>
        <w:bidi w:val="0"/>
        <w:spacing w:lineRule="auto" w:line="288" w:before="0" w:after="0"/>
        <w:ind w:left="0" w:right="0" w:hanging="719"/>
        <w:jc w:val="left"/>
        <w:rPr/>
      </w:pPr>
      <w:r>
        <w:rPr>
          <w:rFonts w:ascii="Times New Roman;sans-serif" w:hAnsi="Times New Roman;sans-serif"/>
          <w:b w:val="false"/>
          <w:color w:val="000000"/>
          <w:sz w:val="24"/>
        </w:rPr>
        <w:t>1.1.</w:t>
      </w:r>
      <w:r>
        <w:rPr>
          <w:rFonts w:ascii="Times New Roman;sans-serif" w:hAnsi="Times New Roman;sans-serif"/>
          <w:b/>
          <w:color w:val="000000"/>
          <w:sz w:val="24"/>
        </w:rPr>
        <w:t>CHOICE OF LAW</w:t>
      </w:r>
      <w:r>
        <w:rPr>
          <w:color w:val="000000"/>
        </w:rPr>
        <w:t>    </w:t>
      </w:r>
      <w:r>
        <w:rPr>
          <w:rFonts w:ascii="Times New Roman;sans-serif" w:hAnsi="Times New Roman;sans-serif"/>
          <w:b w:val="false"/>
          <w:color w:val="000000"/>
          <w:sz w:val="24"/>
        </w:rPr>
        <w:t>109</w:t>
      </w:r>
    </w:p>
    <w:p>
      <w:pPr>
        <w:pStyle w:val="TextBody"/>
        <w:bidi w:val="0"/>
        <w:spacing w:lineRule="auto" w:line="288" w:before="0" w:after="0"/>
        <w:ind w:left="0" w:right="0" w:hanging="719"/>
        <w:jc w:val="left"/>
        <w:rPr/>
      </w:pPr>
      <w:r>
        <w:rPr>
          <w:rFonts w:ascii="Times New Roman;sans-serif" w:hAnsi="Times New Roman;sans-serif"/>
          <w:b w:val="false"/>
          <w:color w:val="000000"/>
          <w:sz w:val="24"/>
        </w:rPr>
        <w:t>1.2.</w:t>
      </w:r>
      <w:r>
        <w:rPr>
          <w:rFonts w:ascii="Times New Roman;sans-serif" w:hAnsi="Times New Roman;sans-serif"/>
          <w:b/>
          <w:color w:val="000000"/>
          <w:sz w:val="24"/>
        </w:rPr>
        <w:t>CONSENT TO JURISDICTION</w:t>
      </w:r>
      <w:r>
        <w:rPr>
          <w:color w:val="000000"/>
        </w:rPr>
        <w:t>    </w:t>
      </w:r>
      <w:r>
        <w:rPr>
          <w:rFonts w:ascii="Times New Roman;sans-serif" w:hAnsi="Times New Roman;sans-serif"/>
          <w:b w:val="false"/>
          <w:color w:val="000000"/>
          <w:sz w:val="24"/>
        </w:rPr>
        <w:t>110</w:t>
      </w:r>
    </w:p>
    <w:p>
      <w:pPr>
        <w:pStyle w:val="TextBody"/>
        <w:bidi w:val="0"/>
        <w:spacing w:lineRule="auto" w:line="288" w:before="0" w:after="0"/>
        <w:ind w:left="0" w:right="0" w:hanging="719"/>
        <w:jc w:val="left"/>
        <w:rPr/>
      </w:pPr>
      <w:r>
        <w:rPr>
          <w:rFonts w:ascii="Times New Roman;sans-serif" w:hAnsi="Times New Roman;sans-serif"/>
          <w:b w:val="false"/>
          <w:color w:val="000000"/>
          <w:sz w:val="24"/>
        </w:rPr>
        <w:t>1.3.</w:t>
      </w:r>
      <w:r>
        <w:rPr>
          <w:rFonts w:ascii="Times New Roman;sans-serif" w:hAnsi="Times New Roman;sans-serif"/>
          <w:b/>
          <w:color w:val="000000"/>
          <w:sz w:val="24"/>
        </w:rPr>
        <w:t>WAIVER OF JURY TRIAL</w:t>
      </w:r>
      <w:r>
        <w:rPr>
          <w:color w:val="000000"/>
        </w:rPr>
        <w:t>    </w:t>
      </w:r>
      <w:r>
        <w:rPr>
          <w:rFonts w:ascii="Times New Roman;sans-serif" w:hAnsi="Times New Roman;sans-serif"/>
          <w:b w:val="false"/>
          <w:color w:val="000000"/>
          <w:sz w:val="24"/>
        </w:rPr>
        <w:t>110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15975"/>
                <wp:effectExtent l="0" t="0" r="0" b="0"/>
                <wp:wrapNone/>
                <wp:docPr id="21" name="Frame2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color w:val="000000"/>
          <w:sz w:val="24"/>
        </w:rPr>
      </w:pPr>
      <w:r>
        <w:rPr>
          <w:rFonts w:ascii="Times New Roman;sans-serif" w:hAnsi="Times New Roman;sans-serif"/>
          <w:b/>
          <w:color w:val="000000"/>
          <w:sz w:val="24"/>
        </w:rPr>
        <w:t>PRICING SCHEDULE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A – Form of Compliance Certificate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B – Form of Assignment and Assumption Agreement EXHIBIT C – Form of Borrowing Notice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D – Form of Revolving Note EXHIBIT E – [Reserved]</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F – Form of Swing Line Note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G – Form of Increasing Lender Supplement EXHIBIT H – Form of Augmenting Lender Supplement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SCHEDULE 1 – Commitments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SCHEDULE 2 – Fiscal Quarters and Fiscal Years SCHEDULE 2.1 – Existing Obligations SCHEDULE 5.7 – Litigation</w:t>
      </w:r>
    </w:p>
    <w:p>
      <w:pPr>
        <w:pStyle w:val="TextBody"/>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SCHEDULE 5.8 – Subsidiaries</w:t>
      </w:r>
    </w:p>
    <w:p>
      <w:pPr>
        <w:pStyle w:val="TextBody"/>
        <w:bidi w:val="0"/>
        <w:spacing w:lineRule="auto" w:line="288" w:before="0" w:after="0"/>
        <w:jc w:val="left"/>
        <w:rPr/>
      </w:pPr>
      <w:r>
        <w:rPr>
          <w:rFonts w:ascii="Times New Roman;sans-serif" w:hAnsi="Times New Roman;sans-serif"/>
          <w:b/>
          <w:color w:val="000000"/>
          <w:sz w:val="24"/>
        </w:rPr>
        <w:t xml:space="preserve">SCHEDULE 5.14 – Ownership of Properties SCHEDULE 5.16 – Environmental Matters SCHEDULE 5.19 – </w:t>
      </w:r>
      <w:r>
        <w:rPr>
          <w:rFonts w:ascii="Times New Roman;sans-serif" w:hAnsi="Times New Roman;sans-serif"/>
          <w:b/>
          <w:strike/>
          <w:color w:val="FF0000"/>
          <w:sz w:val="24"/>
        </w:rPr>
        <w:t>Real Property</w:t>
      </w:r>
      <w:r>
        <w:rPr>
          <w:rFonts w:ascii="Times New Roman;sans-serif" w:hAnsi="Times New Roman;sans-serif"/>
          <w:b/>
          <w:color w:val="0000FF"/>
          <w:sz w:val="24"/>
          <w:u w:val="single"/>
        </w:rPr>
        <w:t>Reserved</w:t>
      </w:r>
      <w:r>
        <w:rPr>
          <w:color w:val="0000FF"/>
        </w:rPr>
        <w:t xml:space="preserve"> </w:t>
      </w:r>
      <w:r>
        <w:rPr>
          <w:rFonts w:ascii="Times New Roman;sans-serif" w:hAnsi="Times New Roman;sans-serif"/>
          <w:b/>
          <w:color w:val="000000"/>
          <w:sz w:val="24"/>
        </w:rPr>
        <w:t>SCHEDULE 5.22 – Labor Matters SCHEDULE 6.17 - Indebtedness SCHEDULE 6.20 - Investments SCHEDULE 6.22 - Liens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15975"/>
                <wp:effectExtent l="0" t="0" r="0" b="0"/>
                <wp:wrapNone/>
                <wp:docPr id="22" name="Frame2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4"/>
        </w:rPr>
      </w:pPr>
      <w:r>
        <w:rPr>
          <w:rFonts w:ascii="Times New Roman;sans-serif" w:hAnsi="Times New Roman;sans-serif"/>
          <w:b/>
          <w:color w:val="000000"/>
          <w:sz w:val="24"/>
        </w:rPr>
        <w:t>SECOND AMENDED AND RESTATED CREDIT AGREEMENT</w:t>
      </w:r>
    </w:p>
    <w:p>
      <w:pPr>
        <w:pStyle w:val="TextBody"/>
        <w:bidi w:val="0"/>
        <w:spacing w:before="204"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This Second Amended and Restated Credit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March 31, 2022, is among Hawkins, Inc., a Minnesota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the Lenders and U.S. Bank National Association, a national banking association, as an LC Issuer, Swing Line Lender and Administrative Agent.</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A.The Borrower, the Administrative Agent and the Lenders are parties to that certain Amended and Restated Credit Agreement dated as of November 30, 2018, by and among the Borrower, the Administrative Agent and the Lenders (as so amended, restated, supplemented or otherwise modified from time to time prior to the date hereof,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Borrower has requested that the Lenders amend and restate the Existing Credit Agreement on the terms and conditions set forth in this Agreement.</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covenants and agreements herein contained, the parties hereto covenant and agree as follows:</w:t>
      </w:r>
    </w:p>
    <w:p>
      <w:pPr>
        <w:pStyle w:val="TextBody"/>
        <w:bidi w:val="0"/>
        <w:spacing w:lineRule="auto" w:line="288" w:before="240" w:after="283"/>
        <w:ind w:left="0" w:right="0" w:firstLine="1"/>
        <w:jc w:val="center"/>
        <w:rPr>
          <w:rFonts w:ascii="Times New Roman;sans-serif" w:hAnsi="Times New Roman;sans-serif"/>
          <w:b/>
          <w:color w:val="000000"/>
          <w:sz w:val="24"/>
        </w:rPr>
      </w:pPr>
      <w:r>
        <w:rPr>
          <w:rFonts w:ascii="Times New Roman;sans-serif" w:hAnsi="Times New Roman;sans-serif"/>
          <w:b/>
          <w:color w:val="000000"/>
          <w:sz w:val="24"/>
        </w:rPr>
        <w:t>ARTICLE I. DEFINITIONS</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Definitions.</w:t>
      </w:r>
      <w:r>
        <w:rPr>
          <w:color w:val="000000"/>
        </w:rPr>
        <w:t xml:space="preserve"> </w:t>
      </w:r>
      <w:r>
        <w:rPr>
          <w:rFonts w:ascii="Times New Roman;sans-serif" w:hAnsi="Times New Roman;sans-serif"/>
          <w:b w:val="false"/>
          <w:color w:val="000000"/>
          <w:sz w:val="24"/>
        </w:rPr>
        <w:t>As used in this Agreement: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Acquisition</w:t>
      </w:r>
      <w:r>
        <w:rPr>
          <w:color w:val="000000"/>
        </w:rPr>
        <w:t xml:space="preserve">” </w:t>
      </w:r>
      <w:r>
        <w:rPr>
          <w:rFonts w:ascii="Times New Roman;sans-serif" w:hAnsi="Times New Roman;sans-serif"/>
          <w:b w:val="false"/>
          <w:color w:val="000000"/>
          <w:sz w:val="24"/>
        </w:rPr>
        <w:t>means any transaction, or any series of related transactions, consummated on or after the Restatement Date,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that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pStyle w:val="TextBody"/>
        <w:bidi w:val="0"/>
        <w:spacing w:lineRule="auto" w:line="288" w:before="240" w:after="283"/>
        <w:jc w:val="left"/>
        <w:rPr/>
      </w:pPr>
      <w:r>
        <w:rPr>
          <w:strike/>
          <w:color w:val="FF0000"/>
        </w:rPr>
        <w:t>“</w:t>
      </w:r>
      <w:r>
        <w:rPr>
          <w:rFonts w:ascii="Times New Roman;sans-serif" w:hAnsi="Times New Roman;sans-serif"/>
          <w:b w:val="false"/>
          <w:strike/>
          <w:color w:val="FF0000"/>
          <w:sz w:val="24"/>
          <w:u w:val="single"/>
        </w:rPr>
        <w:t>Adjusted Term SOFR Rate</w:t>
      </w:r>
      <w:r>
        <w:rPr>
          <w:strike/>
          <w:color w:val="FF0000"/>
        </w:rPr>
        <w:t xml:space="preserve">” </w:t>
      </w:r>
      <w:r>
        <w:rPr>
          <w:rFonts w:ascii="Times New Roman;sans-serif" w:hAnsi="Times New Roman;sans-serif"/>
          <w:b w:val="false"/>
          <w:strike/>
          <w:color w:val="FF0000"/>
          <w:sz w:val="24"/>
        </w:rPr>
        <w:t>means the sum of (i) the Term SOFR Base Rate plus</w:t>
      </w:r>
    </w:p>
    <w:p>
      <w:pPr>
        <w:pStyle w:val="TextBody"/>
        <w:bidi w:val="0"/>
        <w:spacing w:lineRule="auto" w:line="288" w:before="0" w:after="0"/>
        <w:ind w:left="0" w:right="0" w:hanging="290"/>
        <w:jc w:val="left"/>
        <w:rPr/>
      </w:pPr>
      <w:r>
        <w:rPr>
          <w:rFonts w:ascii="Times New Roman;sans-serif" w:hAnsi="Times New Roman;sans-serif"/>
          <w:b w:val="false"/>
          <w:strike/>
          <w:color w:val="FF0000"/>
          <w:sz w:val="24"/>
        </w:rPr>
        <w:t>(ii)</w:t>
      </w:r>
      <w:r>
        <w:rPr>
          <w:strike/>
          <w:color w:val="FF0000"/>
        </w:rPr>
        <w:t xml:space="preserve"> </w:t>
      </w:r>
      <w:r>
        <w:rPr>
          <w:rFonts w:ascii="Times New Roman;sans-serif" w:hAnsi="Times New Roman;sans-serif"/>
          <w:b w:val="false"/>
          <w:strike/>
          <w:color w:val="FF0000"/>
          <w:sz w:val="24"/>
        </w:rPr>
        <w:t>0.10%.</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means U.S. Bank in its capacity as contractual representative of the Lenders pursuant to Article X, and not in its individual capacity as a Lender, and any successor Administrative Agent appointed pursuant to Article X.</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Advance</w:t>
      </w:r>
      <w:r>
        <w:rPr>
          <w:color w:val="000000"/>
        </w:rPr>
        <w:t xml:space="preserve">” </w:t>
      </w:r>
      <w:r>
        <w:rPr>
          <w:rFonts w:ascii="Times New Roman;sans-serif" w:hAnsi="Times New Roman;sans-serif"/>
          <w:b w:val="false"/>
          <w:color w:val="000000"/>
          <w:sz w:val="24"/>
        </w:rPr>
        <w:t>means a borrowing hereunder (i) made by some or all of the Lenders on the same Borrowing Date or (ii) converted or continued by the Lenders on the same date of conversion or continuation, consisting, in either case, of the aggregate amount of the several Loans of the same Type and, in the case of Term SOFR Loans, for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Period. The term “Advance” shall include Swing Line Loans unless otherwise expressly provided.</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Affected Lender</w:t>
      </w:r>
      <w:r>
        <w:rPr>
          <w:color w:val="000000"/>
        </w:rPr>
        <w:t xml:space="preserve">” </w:t>
      </w:r>
      <w:r>
        <w:rPr>
          <w:rFonts w:ascii="Times New Roman;sans-serif" w:hAnsi="Times New Roman;sans-serif"/>
          <w:b w:val="false"/>
          <w:color w:val="000000"/>
          <w:sz w:val="24"/>
        </w:rPr>
        <w:t>is defined in Section 2.18.</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of any Person means any other Person directly or indirectly controlling, controlled by or under common control with such Person, including, without limitation, such Person’s Subsidiaries.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stock, by contract or otherwise. Without limiting the generality of the foregoing, each of the following shall be deemed an Affiliate of the Borrower and each Guarantor for purposes of this Agreement: (a) all of such Person’s officers, directors, Subsidiaries, joint venturers, and partners, and (b) each of the other Guarantors and Borrower. Neither the Administrative Agent nor any Lender shall be deemed an Affiliate of the Borrower or any Guarantor or their Subsidiaries.</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Aggregate Commitment</w:t>
      </w:r>
      <w:r>
        <w:rPr>
          <w:color w:val="000000"/>
        </w:rPr>
        <w:t xml:space="preserve">” </w:t>
      </w:r>
      <w:r>
        <w:rPr>
          <w:rFonts w:ascii="Times New Roman;sans-serif" w:hAnsi="Times New Roman;sans-serif"/>
          <w:b w:val="false"/>
          <w:color w:val="000000"/>
          <w:sz w:val="24"/>
        </w:rPr>
        <w:t xml:space="preserve">means the aggregate of the Commitments of all the Lenders, as reduced from time to time pursuant to the terms hereof. As of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 Amendment Effective</w:t>
      </w:r>
      <w:r>
        <w:rPr>
          <w:color w:val="0000FF"/>
        </w:rPr>
        <w:t xml:space="preserve"> </w:t>
      </w:r>
      <w:r>
        <w:rPr>
          <w:rFonts w:ascii="Times New Roman;sans-serif" w:hAnsi="Times New Roman;sans-serif"/>
          <w:b w:val="false"/>
          <w:color w:val="000000"/>
          <w:sz w:val="24"/>
        </w:rPr>
        <w:t>Date, the Aggregate Commitment is</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val="false"/>
          <w:strike/>
          <w:color w:val="FF0000"/>
          <w:sz w:val="24"/>
        </w:rPr>
        <w:t>250,000,000</w:t>
      </w:r>
      <w:r>
        <w:rPr>
          <w:rFonts w:ascii="Times New Roman;sans-serif" w:hAnsi="Times New Roman;sans-serif"/>
          <w:b w:val="false"/>
          <w:color w:val="0000FF"/>
          <w:sz w:val="24"/>
          <w:u w:val="single"/>
        </w:rPr>
        <w:t>400,000,000</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Aggregate Outstanding Credit Exposure</w:t>
      </w:r>
      <w:r>
        <w:rPr>
          <w:color w:val="000000"/>
        </w:rPr>
        <w:t xml:space="preserve">” </w:t>
      </w:r>
      <w:r>
        <w:rPr>
          <w:rFonts w:ascii="Times New Roman;sans-serif" w:hAnsi="Times New Roman;sans-serif"/>
          <w:b w:val="false"/>
          <w:color w:val="000000"/>
          <w:sz w:val="24"/>
        </w:rPr>
        <w:t>means, at any time, the aggregate of the Outstanding Credit Exposure of all the Lenders.</w:t>
      </w:r>
    </w:p>
    <w:p>
      <w:pPr>
        <w:pStyle w:val="TextBody"/>
        <w:bidi w:val="0"/>
        <w:spacing w:lineRule="auto" w:line="288" w:before="240" w:after="283"/>
        <w:ind w:left="0" w:right="0" w:firstLine="780"/>
        <w:jc w:val="left"/>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means this Second Amended and Restated Credit Agreement, as it may be amended, restated or otherwise modified and in effect from time to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Alternate Base Rate</w:t>
      </w:r>
      <w:r>
        <w:rPr>
          <w:color w:val="000000"/>
        </w:rPr>
        <w:t xml:space="preserve">” </w:t>
      </w:r>
      <w:r>
        <w:rPr>
          <w:rFonts w:ascii="Times New Roman;sans-serif" w:hAnsi="Times New Roman;sans-serif"/>
          <w:b w:val="false"/>
          <w:color w:val="000000"/>
          <w:sz w:val="24"/>
        </w:rPr>
        <w:t xml:space="preserve">means, for any day, a rate of interest per annum equal to the highest of (i) 0.0%, (ii) the Prime Rate for such day, (iii) the sum of the Federal Funds Effective Rate for such day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0.50% per annum and (iv) the Term SOFR Rate (without giving effect to the Applicable Margin) for a one month Interest Period on such day (or if such day is not a Business Day or if the Term SOFR Rate for such Business Day is not published due to a holiday or other circumstance that the Administrative Agent deems in its sole discretion to be temporary, the immediately preceding Business Day) for Dollars plus 1.00%. Any change in the Alternate Base Rate due to a change in the Prime Rate, the Federal Funds Effective Rate, or the Term SOFR Rate shall be effective from the effective date of such change. If the Alternate Base Rate is being used when Term SOFR Advances are unavailable pursuant to Section 2.9 or 3.3, then the Alternate Base Rate shall be the highest of clauses (i), (ii) and (iii) above, without reference to clause (iv) above.</w:t>
      </w:r>
    </w:p>
    <w:p>
      <w:pPr>
        <w:pStyle w:val="TextBody"/>
        <w:bidi w:val="0"/>
        <w:spacing w:lineRule="auto" w:line="288" w:before="240" w:after="283"/>
        <w:ind w:left="0" w:right="0" w:firstLine="720"/>
        <w:jc w:val="left"/>
        <w:rPr/>
      </w:pPr>
      <w:r>
        <w:rPr>
          <w:strike/>
          <w:color w:val="FF0000"/>
        </w:rPr>
        <w:t>“</w:t>
      </w:r>
      <w:r>
        <w:rPr>
          <w:rFonts w:ascii="Times New Roman;sans-serif" w:hAnsi="Times New Roman;sans-serif"/>
          <w:b w:val="false"/>
          <w:strike/>
          <w:color w:val="FF0000"/>
          <w:sz w:val="24"/>
          <w:u w:val="single"/>
        </w:rPr>
        <w:t>Amegy Account</w:t>
      </w:r>
      <w:r>
        <w:rPr>
          <w:strike/>
          <w:color w:val="FF0000"/>
        </w:rPr>
        <w:t xml:space="preserve">” </w:t>
      </w:r>
      <w:r>
        <w:rPr>
          <w:rFonts w:ascii="Times New Roman;sans-serif" w:hAnsi="Times New Roman;sans-serif"/>
          <w:b w:val="false"/>
          <w:strike/>
          <w:color w:val="FF0000"/>
          <w:sz w:val="24"/>
        </w:rPr>
        <w:t>means that certain deposit account in the name of NAPCO</w:t>
      </w:r>
      <w:r>
        <w:rPr>
          <w:color w:val="FF0000"/>
        </w:rPr>
        <w:t xml:space="preserve"> </w:t>
      </w:r>
      <w:r>
        <w:rPr>
          <w:rFonts w:ascii="Times New Roman;sans-serif" w:hAnsi="Times New Roman;sans-serif"/>
          <w:b w:val="false"/>
          <w:strike/>
          <w:color w:val="FF0000"/>
          <w:sz w:val="24"/>
        </w:rPr>
        <w:t>Chemical Company, Inc., held at Amegy Bank in Account Number 0030098752.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15975"/>
                <wp:effectExtent l="0" t="0" r="0" b="0"/>
                <wp:wrapNone/>
                <wp:docPr id="24" name="Frame2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both"/>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means all laws, rules, and regulations of any jurisdiction applicable to the Borrower or its Subsidiaries from time to time concerning or relating to bribery or corruption.</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Applicable Fee Rate</w:t>
      </w:r>
      <w:r>
        <w:rPr>
          <w:color w:val="000000"/>
        </w:rPr>
        <w:t xml:space="preserve">” </w:t>
      </w:r>
      <w:r>
        <w:rPr>
          <w:rFonts w:ascii="Times New Roman;sans-serif" w:hAnsi="Times New Roman;sans-serif"/>
          <w:b w:val="false"/>
          <w:color w:val="000000"/>
          <w:sz w:val="24"/>
        </w:rPr>
        <w:t>means, at any time, the percentage rate per annum at which commitment fees are accruing on the Available Aggregate Commitment at such time as set forth in the Pricing Schedule.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u w:val="single"/>
        </w:rPr>
        <w:t>Applicable Margin</w:t>
      </w:r>
      <w:r>
        <w:rPr>
          <w:color w:val="000000"/>
        </w:rPr>
        <w:t xml:space="preserve">” </w:t>
      </w:r>
      <w:r>
        <w:rPr>
          <w:rFonts w:ascii="Times New Roman;sans-serif" w:hAnsi="Times New Roman;sans-serif"/>
          <w:b w:val="false"/>
          <w:color w:val="000000"/>
          <w:sz w:val="24"/>
        </w:rPr>
        <w:t>means, with respect to Advances of any Type at any time, the percentage rate per annum that is applicable at such time with respect to Advances of such Type as set forth in the Pricing Schedule.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means any Fund that is administered or managed by (a) a Lender, (b) an Affiliate of a Lender or (c) an entity or an Affiliate of an entity that administers or manages a Lender.</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strike/>
          <w:color w:val="FF0000"/>
          <w:sz w:val="24"/>
        </w:rPr>
        <w:t>Arranger</w:t>
      </w:r>
      <w:r>
        <w:rPr>
          <w:rFonts w:ascii="Times New Roman;sans-serif" w:hAnsi="Times New Roman;sans-serif"/>
          <w:b w:val="false"/>
          <w:color w:val="0000FF"/>
          <w:sz w:val="24"/>
        </w:rPr>
        <w:t>Arrangers</w:t>
      </w:r>
      <w:r>
        <w:rPr>
          <w:color w:val="000000"/>
        </w:rPr>
        <w:t xml:space="preserve">” </w:t>
      </w:r>
      <w:r>
        <w:rPr>
          <w:rFonts w:ascii="Times New Roman;sans-serif" w:hAnsi="Times New Roman;sans-serif"/>
          <w:b w:val="false"/>
          <w:color w:val="000000"/>
          <w:sz w:val="24"/>
        </w:rPr>
        <w:t>means U.S. Bank</w:t>
      </w:r>
      <w:r>
        <w:rPr>
          <w:rFonts w:ascii="Times New Roman;sans-serif" w:hAnsi="Times New Roman;sans-serif"/>
          <w:b w:val="false"/>
          <w:strike/>
          <w:color w:val="FF0000"/>
          <w:sz w:val="24"/>
        </w:rPr>
        <w:t>,</w:t>
      </w:r>
      <w:r>
        <w:rPr>
          <w:color w:val="FF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strike/>
          <w:color w:val="FF0000"/>
          <w:sz w:val="24"/>
        </w:rPr>
        <w:t>its</w:t>
      </w:r>
      <w:r>
        <w:rPr>
          <w:rFonts w:ascii="Times New Roman;sans-serif" w:hAnsi="Times New Roman;sans-serif"/>
          <w:b w:val="false"/>
          <w:color w:val="0000FF"/>
          <w:sz w:val="24"/>
          <w:u w:val="single"/>
        </w:rPr>
        <w:t>JPMorgan Chase Bank, N.A. and</w:t>
      </w:r>
      <w:r>
        <w:rPr>
          <w:color w:val="0000FF"/>
        </w:rPr>
        <w:t xml:space="preserve"> </w:t>
      </w:r>
      <w:r>
        <w:rPr>
          <w:rFonts w:ascii="Times New Roman;sans-serif" w:hAnsi="Times New Roman;sans-serif"/>
          <w:b w:val="false"/>
          <w:color w:val="0000FF"/>
          <w:sz w:val="24"/>
          <w:u w:val="single"/>
        </w:rPr>
        <w:t>their</w:t>
      </w:r>
      <w:r>
        <w:rPr>
          <w:color w:val="0000FF"/>
        </w:rPr>
        <w:t xml:space="preserve"> </w:t>
      </w:r>
      <w:r>
        <w:rPr>
          <w:rFonts w:ascii="Times New Roman;sans-serif" w:hAnsi="Times New Roman;sans-serif"/>
          <w:b w:val="false"/>
          <w:color w:val="000000"/>
          <w:sz w:val="24"/>
        </w:rPr>
        <w:t xml:space="preserve">successors, </w:t>
      </w:r>
      <w:r>
        <w:rPr>
          <w:rFonts w:ascii="Times New Roman;sans-serif" w:hAnsi="Times New Roman;sans-serif"/>
          <w:b w:val="false"/>
          <w:color w:val="0000FF"/>
          <w:sz w:val="24"/>
          <w:u w:val="single"/>
        </w:rPr>
        <w:t>each</w:t>
      </w:r>
      <w:r>
        <w:rPr>
          <w:color w:val="0000FF"/>
        </w:rPr>
        <w:t xml:space="preserve"> </w:t>
      </w:r>
      <w:r>
        <w:rPr>
          <w:rFonts w:ascii="Times New Roman;sans-serif" w:hAnsi="Times New Roman;sans-serif"/>
          <w:b w:val="false"/>
          <w:color w:val="000000"/>
          <w:sz w:val="24"/>
        </w:rPr>
        <w:t xml:space="preserve">in its capacity as </w:t>
      </w:r>
      <w:r>
        <w:rPr>
          <w:rFonts w:ascii="Times New Roman;sans-serif" w:hAnsi="Times New Roman;sans-serif"/>
          <w:b w:val="false"/>
          <w:strike/>
          <w:color w:val="FF0000"/>
          <w:sz w:val="24"/>
        </w:rPr>
        <w:t>Sole</w:t>
      </w:r>
      <w:r>
        <w:rPr>
          <w:rFonts w:ascii="Times New Roman;sans-serif" w:hAnsi="Times New Roman;sans-serif"/>
          <w:b w:val="false"/>
          <w:color w:val="0000FF"/>
          <w:sz w:val="24"/>
          <w:u w:val="single"/>
        </w:rPr>
        <w:t>Joint</w:t>
      </w:r>
      <w:r>
        <w:rPr>
          <w:color w:val="0000FF"/>
        </w:rPr>
        <w:t xml:space="preserve"> </w:t>
      </w:r>
      <w:r>
        <w:rPr>
          <w:rFonts w:ascii="Times New Roman;sans-serif" w:hAnsi="Times New Roman;sans-serif"/>
          <w:b w:val="false"/>
          <w:color w:val="000000"/>
          <w:sz w:val="24"/>
        </w:rPr>
        <w:t xml:space="preserve">Lead Arranger and </w:t>
      </w:r>
      <w:r>
        <w:rPr>
          <w:rFonts w:ascii="Times New Roman;sans-serif" w:hAnsi="Times New Roman;sans-serif"/>
          <w:b w:val="false"/>
          <w:strike/>
          <w:color w:val="FF0000"/>
          <w:sz w:val="24"/>
        </w:rPr>
        <w:t>Sole</w:t>
      </w:r>
      <w:r>
        <w:rPr>
          <w:rFonts w:ascii="Times New Roman;sans-serif" w:hAnsi="Times New Roman;sans-serif"/>
          <w:b w:val="false"/>
          <w:color w:val="0000FF"/>
          <w:sz w:val="24"/>
          <w:u w:val="single"/>
        </w:rPr>
        <w:t>Joint</w:t>
      </w:r>
      <w:r>
        <w:rPr>
          <w:color w:val="0000FF"/>
        </w:rPr>
        <w:t xml:space="preserve"> </w:t>
      </w:r>
      <w:r>
        <w:rPr>
          <w:rFonts w:ascii="Times New Roman;sans-serif" w:hAnsi="Times New Roman;sans-serif"/>
          <w:b w:val="false"/>
          <w:color w:val="000000"/>
          <w:sz w:val="24"/>
        </w:rPr>
        <w:t>Book Runner.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Article</w:t>
      </w:r>
      <w:r>
        <w:rPr>
          <w:color w:val="000000"/>
        </w:rPr>
        <w:t xml:space="preserve">” </w:t>
      </w:r>
      <w:r>
        <w:rPr>
          <w:rFonts w:ascii="Times New Roman;sans-serif" w:hAnsi="Times New Roman;sans-serif"/>
          <w:b w:val="false"/>
          <w:color w:val="000000"/>
          <w:sz w:val="24"/>
        </w:rPr>
        <w:t>means an article of this Agreement unless another document is specifically referenced.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u w:val="single"/>
        </w:rPr>
        <w:t>Authorized Officer</w:t>
      </w:r>
      <w:r>
        <w:rPr>
          <w:color w:val="000000"/>
        </w:rPr>
        <w:t xml:space="preserve">” </w:t>
      </w:r>
      <w:r>
        <w:rPr>
          <w:rFonts w:ascii="Times New Roman;sans-serif" w:hAnsi="Times New Roman;sans-serif"/>
          <w:b w:val="false"/>
          <w:color w:val="000000"/>
          <w:sz w:val="24"/>
        </w:rPr>
        <w:t>means any of the chief executive officer, the chief financial officer, president, the chief operating officer, the treasurer, the secretary, the controller or the assistant controller of the Borrower or a Subsidiary, as applicable, in each case, acting singly.</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Available Aggregate Commitment</w:t>
      </w:r>
      <w:r>
        <w:rPr>
          <w:color w:val="000000"/>
        </w:rPr>
        <w:t xml:space="preserve">” </w:t>
      </w:r>
      <w:r>
        <w:rPr>
          <w:rFonts w:ascii="Times New Roman;sans-serif" w:hAnsi="Times New Roman;sans-serif"/>
          <w:b w:val="false"/>
          <w:color w:val="000000"/>
          <w:sz w:val="24"/>
        </w:rPr>
        <w:t>means, at any time, the Aggregate Commitment then in effect minus the Aggregate Outstanding Credit Exposure at such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Available Tenor</w:t>
      </w:r>
      <w:r>
        <w:rPr>
          <w:color w:val="000000"/>
        </w:rPr>
        <w:t xml:space="preserve">” </w:t>
      </w:r>
      <w:r>
        <w:rPr>
          <w:rFonts w:ascii="Times New Roman;sans-serif" w:hAnsi="Times New Roman;sans-serif"/>
          <w:b w:val="false"/>
          <w:color w:val="000000"/>
          <w:sz w:val="24"/>
        </w:rPr>
        <w:t>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EEA Resolution Authority in respect of any liability of an EEA Financial Institution.</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means</w:t>
      </w:r>
      <w:r>
        <w:rPr>
          <w:rFonts w:ascii="Times New Roman;sans-serif" w:hAnsi="Times New Roman;sans-serif"/>
          <w:b w:val="false"/>
          <w:color w:val="FF0000"/>
          <w:sz w:val="24"/>
        </w:rPr>
        <w:t xml:space="preserve">, </w:t>
      </w:r>
      <w:r>
        <w:rPr>
          <w:rFonts w:ascii="Times New Roman;sans-serif" w:hAnsi="Times New Roman;sans-serif"/>
          <w:b w:val="false"/>
          <w:color w:val="0000FF"/>
          <w:sz w:val="24"/>
          <w:u w:val="single"/>
        </w:rPr>
        <w:t>(a)</w:t>
      </w:r>
      <w:r>
        <w:rPr>
          <w:color w:val="0000FF"/>
        </w:rPr>
        <w:t xml:space="preserve"> </w:t>
      </w:r>
      <w:r>
        <w:rPr>
          <w:rFonts w:ascii="Times New Roman;sans-serif" w:hAnsi="Times New Roman;sans-serif"/>
          <w:b w:val="false"/>
          <w:color w:val="000000"/>
          <w:sz w:val="24"/>
        </w:rPr>
        <w:t>with respect to any EEA Member Country implementing Article 55 of Directive 2014/59/EU of the European Parliament and of the Council of the European Union, the implementing law</w:t>
      </w:r>
      <w:r>
        <w:rPr>
          <w:rFonts w:ascii="Times New Roman;sans-serif" w:hAnsi="Times New Roman;sans-serif"/>
          <w:b w:val="false"/>
          <w:color w:val="0000FF"/>
          <w:sz w:val="24"/>
          <w:u w:val="single"/>
        </w:rPr>
        <w:t>, regulation rule or requirement</w:t>
      </w:r>
      <w:r>
        <w:rPr>
          <w:color w:val="0000FF"/>
        </w:rPr>
        <w:t xml:space="preserve"> </w:t>
      </w:r>
      <w:r>
        <w:rPr>
          <w:rFonts w:ascii="Times New Roman;sans-serif" w:hAnsi="Times New Roman;sans-serif"/>
          <w:b w:val="false"/>
          <w:color w:val="000000"/>
          <w:sz w:val="24"/>
        </w:rPr>
        <w:t>for such EEA Member Country from time to time which is described in the EU Bail-In Legislation Schedule</w:t>
      </w:r>
      <w:r>
        <w:rPr>
          <w:rFonts w:ascii="Times New Roman;sans-serif" w:hAnsi="Times New Roman;sans-serif"/>
          <w:b w:val="false"/>
          <w:color w:val="FF0000"/>
          <w:sz w:val="24"/>
        </w:rPr>
        <w:t xml:space="preserve">. </w:t>
      </w:r>
      <w:r>
        <w:rPr>
          <w:rFonts w:ascii="Times New Roman;sans-serif" w:hAnsi="Times New Roman;sans-serif"/>
          <w:b w:val="false"/>
          <w:color w:val="0000FF"/>
          <w:sz w:val="24"/>
          <w:u w:val="single"/>
        </w:rPr>
        <w:t>and (b) with respect to the United Kingdom, Part I of the United</w:t>
      </w:r>
      <w:r>
        <w:rPr>
          <w:color w:val="0000FF"/>
        </w:rPr>
        <w:t xml:space="preserve"> </w:t>
      </w:r>
      <w:r>
        <w:rPr>
          <w:rFonts w:ascii="Times New Roman;sans-serif" w:hAnsi="Times New Roman;sans-serif"/>
          <w:b w:val="false"/>
          <w:color w:val="0000FF"/>
          <w:sz w:val="24"/>
          <w:u w:val="single"/>
        </w:rPr>
        <w:t>Kingdom Banking Act 2009 (as amended from time to time) and any other law,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15975"/>
                <wp:effectExtent l="0" t="0" r="0" b="0"/>
                <wp:wrapNone/>
                <wp:docPr id="25" name="Frame2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FF"/>
          <w:sz w:val="24"/>
          <w:u w:val="single"/>
        </w:rPr>
        <w:t>or rule applicable in the United Kingdom relating to the resolution of unsound or failing</w:t>
      </w:r>
      <w:r>
        <w:rPr>
          <w:color w:val="0000FF"/>
        </w:rPr>
        <w:t xml:space="preserve"> </w:t>
      </w:r>
      <w:r>
        <w:rPr>
          <w:rFonts w:ascii="Times New Roman;sans-serif" w:hAnsi="Times New Roman;sans-serif"/>
          <w:b w:val="false"/>
          <w:color w:val="0000FF"/>
          <w:sz w:val="24"/>
          <w:u w:val="single"/>
        </w:rPr>
        <w:t>banks, investment firms or other financial institutions or their affiliates (other than through</w:t>
      </w:r>
      <w:r>
        <w:rPr>
          <w:color w:val="0000FF"/>
        </w:rPr>
        <w:t xml:space="preserve"> </w:t>
      </w:r>
      <w:r>
        <w:rPr>
          <w:rFonts w:ascii="Times New Roman;sans-serif" w:hAnsi="Times New Roman;sans-serif"/>
          <w:b w:val="false"/>
          <w:color w:val="0000FF"/>
          <w:sz w:val="24"/>
          <w:u w:val="single"/>
        </w:rPr>
        <w:t>liquidation, administration or other insolvency proceedings).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Base Rate</w:t>
      </w:r>
      <w:r>
        <w:rPr>
          <w:color w:val="000000"/>
        </w:rPr>
        <w:t xml:space="preserve">” </w:t>
      </w:r>
      <w:r>
        <w:rPr>
          <w:rFonts w:ascii="Times New Roman;sans-serif" w:hAnsi="Times New Roman;sans-serif"/>
          <w:b w:val="false"/>
          <w:color w:val="000000"/>
          <w:sz w:val="24"/>
        </w:rPr>
        <w:t>means, for any day, a rate of interest per annum equal to (i) the Alternate Base Rate for such day and (ii) the Applicable Margin, in each case changing when and as the Alternative Base Rate Changes.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Base Rate Advance</w:t>
      </w:r>
      <w:r>
        <w:rPr>
          <w:color w:val="000000"/>
        </w:rPr>
        <w:t xml:space="preserve">” </w:t>
      </w:r>
      <w:r>
        <w:rPr>
          <w:rFonts w:ascii="Times New Roman;sans-serif" w:hAnsi="Times New Roman;sans-serif"/>
          <w:b w:val="false"/>
          <w:color w:val="000000"/>
          <w:sz w:val="24"/>
        </w:rPr>
        <w:t>means an Advance that, except as otherwise provided in Section 2.9, bears interest at the Base Rate, in each case as the Base Rate changes from time to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Base Rate Loan</w:t>
      </w:r>
      <w:r>
        <w:rPr>
          <w:color w:val="000000"/>
        </w:rPr>
        <w:t xml:space="preserve">” </w:t>
      </w:r>
      <w:r>
        <w:rPr>
          <w:rFonts w:ascii="Times New Roman;sans-serif" w:hAnsi="Times New Roman;sans-serif"/>
          <w:b w:val="false"/>
          <w:color w:val="000000"/>
          <w:sz w:val="24"/>
        </w:rPr>
        <w:t>means a Loan that, except as otherwise provided in Section 2.9, bears interest at the Base Rate.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means, initially, Term SOFR; provided that if a replacement of the Benchmark has occurred pursuant to Section 3.3(b), then “Benchmark” means the applicable Benchmark Replacement to the extent that such Benchmark Replacement has become effective pursuant to Section 3.3(b).</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means, for any Available Tenor, the first alternative set forth in the order below that can be determined by the Administrative Agent for the applicable Benchmark Replacement Date:</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(1)Daily Simple SOFR; 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then-prevailing market convention for determining a benchmark rate as a replacement for the then-current Benchmark for U.S. dollar-denominated syndicated credit facilities at such time and (b) the related Benchmark Replacement Adjustment.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pursuant to clause (2) thereof for any applicable Interest Period and Available Tenor for any setting of such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15975"/>
                <wp:effectExtent l="0" t="0" r="0" b="0"/>
                <wp:wrapNone/>
                <wp:docPr id="26" name="Frame2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Benchmark Replacement Conforming Changes</w:t>
      </w:r>
      <w:r>
        <w:rPr>
          <w:color w:val="000000"/>
        </w:rPr>
        <w:t xml:space="preserve">” </w:t>
      </w:r>
      <w:r>
        <w:rPr>
          <w:rFonts w:ascii="Times New Roman;sans-serif" w:hAnsi="Times New Roman;sans-serif"/>
          <w:b w:val="false"/>
          <w:color w:val="000000"/>
          <w:sz w:val="24"/>
        </w:rPr>
        <w:t>means, with respect to any Benchmark Replacement, any technical, administrative or operational changes (including changes to the definition of “Advance” and “Term SOFR Advance,”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means the earliest to occur of the following events with respect to the then-current Benchmark:</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and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(3)in the case of an Early Opt-in Election, the Business Day specified by the Administrative Agent in the notice of the Early Opt-in Election provided to the Lenders, so long as the Administrative Agent has not received, by 5:00 p.m. (Central time) on the fifth Business Day after the date notice of such Early Opt-in Election is provided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15975"/>
                <wp:effectExtent l="0" t="0" r="0" b="0"/>
                <wp:wrapNone/>
                <wp:docPr id="27" name="Frame2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Lenders, written notice of objection to such Early Opt-in Election from Lenders comprising the Required Lenders.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(3)a public statement or publication of information by any of the entities referenced in clause (2) above announcing that all Available Tenors of such Benchmark (or such component thereof) are no longer, or as of a specified future date will no longer be, representative.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15975"/>
                <wp:effectExtent l="0" t="0" r="0" b="0"/>
                <wp:wrapNone/>
                <wp:docPr id="28" name="Frame2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means the period (if any) (x) beginning at the time that a Benchmark Replacement Date pursuant to clauses (1) or (2) of that definition has occurred if, at such time, no Benchmark Replacement has replaced the then-current Benchmark in accordance with Section 3.3(b), and (y) ending at the time that a Benchmark Replacement has replaced the then-current Benchmark in accordance with Section 3.3(b).</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Beneficial Ownership Certification</w:t>
      </w:r>
      <w:r>
        <w:rPr>
          <w:color w:val="000000"/>
        </w:rPr>
        <w:t xml:space="preserve">” </w:t>
      </w:r>
      <w:r>
        <w:rPr>
          <w:rFonts w:ascii="Times New Roman;sans-serif" w:hAnsi="Times New Roman;sans-serif"/>
          <w:b w:val="false"/>
          <w:color w:val="000000"/>
          <w:sz w:val="24"/>
        </w:rPr>
        <w:t>means a certification regarding beneficial ownership as required by the Beneficial Ownership Regulation.</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Beneficial Ownership Regulation</w:t>
      </w:r>
      <w:r>
        <w:rPr>
          <w:color w:val="000000"/>
        </w:rPr>
        <w:t xml:space="preserve">” </w:t>
      </w:r>
      <w:r>
        <w:rPr>
          <w:rFonts w:ascii="Times New Roman;sans-serif" w:hAnsi="Times New Roman;sans-serif"/>
          <w:b w:val="false"/>
          <w:color w:val="000000"/>
          <w:sz w:val="24"/>
        </w:rPr>
        <w:t>means 31 C.F.R. § 1010.230. “</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is defined in the opening paragraph hereof.</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4"/>
          <w:u w:val="single"/>
        </w:rPr>
        <w:t>Borrowing Date</w:t>
      </w:r>
      <w:r>
        <w:rPr>
          <w:color w:val="000000"/>
        </w:rPr>
        <w:t xml:space="preserve">” </w:t>
      </w:r>
      <w:r>
        <w:rPr>
          <w:rFonts w:ascii="Times New Roman;sans-serif" w:hAnsi="Times New Roman;sans-serif"/>
          <w:b w:val="false"/>
          <w:color w:val="000000"/>
          <w:sz w:val="24"/>
        </w:rPr>
        <w:t>means a date on which an Advance is made or a Facility LC is issued hereunder.</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Borrowing Notice</w:t>
      </w:r>
      <w:r>
        <w:rPr>
          <w:color w:val="000000"/>
        </w:rPr>
        <w:t xml:space="preserve">” </w:t>
      </w:r>
      <w:r>
        <w:rPr>
          <w:rFonts w:ascii="Times New Roman;sans-serif" w:hAnsi="Times New Roman;sans-serif"/>
          <w:b w:val="false"/>
          <w:color w:val="000000"/>
          <w:sz w:val="24"/>
        </w:rPr>
        <w:t>is defined in Section 2.6.</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Saturday or Sunday) on which banks generally are open in New York City, New York for the conduct of substantially all of their commercial lending activities and interbank wire transfers can be made on the Fedwire system; provided that, when used in connection with SOFR, Term SOFR, Term SOFR Base Rate or Term SOFR Rate, the term “Business Day” excludes any day on which the Securities Industry and Financial Markets Association (SIFMA) recommends that the fixed income departments of its members be closed for the entire day for purposes of trading in United States government securities.</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Capital Expenditures</w:t>
      </w:r>
      <w:r>
        <w:rPr>
          <w:color w:val="000000"/>
        </w:rPr>
        <w:t xml:space="preserve">” </w:t>
      </w:r>
      <w:r>
        <w:rPr>
          <w:rFonts w:ascii="Times New Roman;sans-serif" w:hAnsi="Times New Roman;sans-serif"/>
          <w:b w:val="false"/>
          <w:color w:val="000000"/>
          <w:sz w:val="24"/>
        </w:rPr>
        <w:t>means, for any period, all expenditures for property, plant or equipment that, in accordance with GAAP, would be required to be capitalized and shown on the consolidated balance sheet of the Borrower and its Subsidiaries, excluding expenditures in respect of Capitalized Leases, and expenditures made in connection with the replacement, substitution or restoration of assets to the extent financed (a) from insurance proceeds (or other similar recoveries) paid on account of the loss of or damage to the assets being replaced or restored, (b) with awards of compensation arising from the taking by eminent domain or condemnation of the assets being replaced or (c) with proceeds reinvested on dispositions of assets allowed under this Agreement.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Capitalized Lease</w:t>
      </w:r>
      <w:r>
        <w:rPr>
          <w:color w:val="000000"/>
        </w:rPr>
        <w:t xml:space="preserve">” </w:t>
      </w:r>
      <w:r>
        <w:rPr>
          <w:rFonts w:ascii="Times New Roman;sans-serif" w:hAnsi="Times New Roman;sans-serif"/>
          <w:b w:val="false"/>
          <w:color w:val="000000"/>
          <w:sz w:val="24"/>
        </w:rPr>
        <w:t>of a Person means any lease of Property by such Person as lessee included as a finance lease on a balance sheet of such Person prepared in accordance with GAAP.</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Capitalized Lease Obligations</w:t>
      </w:r>
      <w:r>
        <w:rPr>
          <w:color w:val="000000"/>
        </w:rPr>
        <w:t xml:space="preserve">” </w:t>
      </w:r>
      <w:r>
        <w:rPr>
          <w:rFonts w:ascii="Times New Roman;sans-serif" w:hAnsi="Times New Roman;sans-serif"/>
          <w:b w:val="false"/>
          <w:color w:val="000000"/>
          <w:sz w:val="24"/>
        </w:rPr>
        <w:t>of a Person means the amount of the obligations of such Person under Capitalized Leases that would be shown as a liability on a balance sheet of such Person prepared in accordance with GAAP.</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Cash Collateralize</w:t>
      </w:r>
      <w:r>
        <w:rPr>
          <w:color w:val="000000"/>
        </w:rPr>
        <w:t xml:space="preserve">” </w:t>
      </w:r>
      <w:r>
        <w:rPr>
          <w:rFonts w:ascii="Times New Roman;sans-serif" w:hAnsi="Times New Roman;sans-serif"/>
          <w:b w:val="false"/>
          <w:color w:val="000000"/>
          <w:sz w:val="24"/>
        </w:rPr>
        <w:t>means to pledge and deposit with or deliver to the Administrative Agent, for the benefit of one or more of the LC Issuer or the Lenders, 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15975"/>
                <wp:effectExtent l="0" t="0" r="0" b="0"/>
                <wp:wrapNone/>
                <wp:docPr id="29" name="Frame2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collateral for LC Obligations or obligations of Lenders to fund participations in respect of LC Obligations, cash or deposit account balances or, if the Administrative Agent and each applicable LC Issuer agree in their sole discretion, other credit support, in each case pursuant to documentation in form and substance satisfactory to the Administrative Agent and each applicable LC Issuer. “</w:t>
      </w:r>
      <w:r>
        <w:rPr>
          <w:rFonts w:ascii="Times New Roman;sans-serif" w:hAnsi="Times New Roman;sans-serif"/>
          <w:b w:val="false"/>
          <w:color w:val="000000"/>
          <w:sz w:val="24"/>
          <w:u w:val="single"/>
        </w:rPr>
        <w:t>Cash Collateral</w:t>
      </w:r>
      <w:r>
        <w:rPr>
          <w:color w:val="000000"/>
        </w:rPr>
        <w:t xml:space="preserve">” </w:t>
      </w:r>
      <w:r>
        <w:rPr>
          <w:rFonts w:ascii="Times New Roman;sans-serif" w:hAnsi="Times New Roman;sans-serif"/>
          <w:b w:val="false"/>
          <w:color w:val="000000"/>
          <w:sz w:val="24"/>
        </w:rPr>
        <w:t>shall have a meaning correlative to the foregoing and shall include the proceeds of such cash collateral and other credit support.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Cash Equivalent Investments</w:t>
      </w:r>
      <w:r>
        <w:rPr>
          <w:color w:val="000000"/>
        </w:rPr>
        <w:t xml:space="preserve">” </w:t>
      </w:r>
      <w:r>
        <w:rPr>
          <w:rFonts w:ascii="Times New Roman;sans-serif" w:hAnsi="Times New Roman;sans-serif"/>
          <w:b w:val="false"/>
          <w:color w:val="000000"/>
          <w:sz w:val="24"/>
        </w:rPr>
        <w:t>means, at any time, (a) any evidence of Indebtedness, maturing not more than one year after such time, issued or guaranteed by the United States Government or any agency thereof, (b) commercial paper, maturing not more than one year from the date of issue, or corporate demand notes, in each case (unless issued by a Lender or its holding company) rated at least A-l by S&amp;P or P-l by Moody’s,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 any certificate of deposit, time deposit or banker’s acceptance, maturing not more than one year after such time, or any overnight Federal funds transaction that is issued or sold by any Lender or its holding company (or by a commercial banking institution that is a member of the Federal Reserve System and has a combined capital and surplus and undivided profits of not less than $500,000,000), (d) money market accounts or mutual funds that invest exclusively in assets satisfying the foregoing requirements and (e) other short term liquid investments approved in writing by the Administrative Agent.</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Cash Management Services</w:t>
      </w:r>
      <w:r>
        <w:rPr>
          <w:color w:val="000000"/>
        </w:rPr>
        <w:t xml:space="preserve">” </w:t>
      </w:r>
      <w:r>
        <w:rPr>
          <w:rFonts w:ascii="Times New Roman;sans-serif" w:hAnsi="Times New Roman;sans-serif"/>
          <w:b w:val="false"/>
          <w:color w:val="000000"/>
          <w:sz w:val="24"/>
        </w:rPr>
        <w:t>means any banking services provided to the Borrower and the Subsidiaries by one or more of the Lenders or any of their Affiliates (other than pursuant to this Agreement), including without limitation (a) credit cards,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credit card processing services, (c) debit cards, (d) purchase cards, (e) stored value cards, (f) automated clearing house or wire transfer services or (g) treasury management, including controlled disbursement, consolidated account, lockbox, overdraft, return items, sweep and interstate depository network services.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Cash Management Services Agreement</w:t>
      </w:r>
      <w:r>
        <w:rPr>
          <w:color w:val="000000"/>
        </w:rPr>
        <w:t xml:space="preserve">” </w:t>
      </w:r>
      <w:r>
        <w:rPr>
          <w:rFonts w:ascii="Times New Roman;sans-serif" w:hAnsi="Times New Roman;sans-serif"/>
          <w:b w:val="false"/>
          <w:color w:val="000000"/>
          <w:sz w:val="24"/>
        </w:rPr>
        <w:t>means any agreement entered into by the Borrower and the Subsidiaries in connection with Cash Management Services.</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Change</w:t>
      </w:r>
      <w:r>
        <w:rPr>
          <w:color w:val="000000"/>
        </w:rPr>
        <w:t xml:space="preserve">” </w:t>
      </w:r>
      <w:r>
        <w:rPr>
          <w:rFonts w:ascii="Times New Roman;sans-serif" w:hAnsi="Times New Roman;sans-serif"/>
          <w:b w:val="false"/>
          <w:color w:val="000000"/>
          <w:sz w:val="24"/>
        </w:rPr>
        <w:t>is defined in Section 3.2(a).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 xml:space="preserve">means the acquisition by any Person, or two or more Persons acting in concert, of beneficial ownership (within the meaning of Rule 13d-3 of the U.S. Securities and Exchange Commission under the Securities Exchange Act of 1934) of </w:t>
      </w:r>
      <w:r>
        <w:rPr>
          <w:rFonts w:ascii="Times New Roman;sans-serif" w:hAnsi="Times New Roman;sans-serif"/>
          <w:b w:val="false"/>
          <w:strike/>
          <w:color w:val="FF0000"/>
          <w:sz w:val="24"/>
        </w:rPr>
        <w:t>20</w:t>
      </w:r>
      <w:r>
        <w:rPr>
          <w:rFonts w:ascii="Times New Roman;sans-serif" w:hAnsi="Times New Roman;sans-serif"/>
          <w:b w:val="false"/>
          <w:color w:val="0000FF"/>
          <w:sz w:val="24"/>
          <w:u w:val="single"/>
        </w:rPr>
        <w:t>35</w:t>
      </w:r>
      <w:r>
        <w:rPr>
          <w:rFonts w:ascii="Times New Roman;sans-serif" w:hAnsi="Times New Roman;sans-serif"/>
          <w:b w:val="false"/>
          <w:color w:val="000000"/>
          <w:sz w:val="24"/>
        </w:rPr>
        <w:t>% or more of the outstanding shares of voting stock of the Borrower on a fully diluted basis.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reformed or otherwise modified from time to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means all Property pledged, assigned, mortgaged, or otherwise conveyed to the Administrative Agent pursuant to a Collateral Document as security for the Obligations.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Collateral Documents</w:t>
      </w:r>
      <w:r>
        <w:rPr>
          <w:color w:val="000000"/>
        </w:rPr>
        <w:t xml:space="preserve">” </w:t>
      </w:r>
      <w:r>
        <w:rPr>
          <w:rFonts w:ascii="Times New Roman;sans-serif" w:hAnsi="Times New Roman;sans-serif"/>
          <w:b w:val="false"/>
          <w:color w:val="000000"/>
          <w:sz w:val="24"/>
        </w:rPr>
        <w:t>means, collectively, the Security Agreement, the Negative Pledge Agreement, any Control Agreements, any confirmatory grants of security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15975"/>
                <wp:effectExtent l="0" t="0" r="0" b="0"/>
                <wp:wrapNone/>
                <wp:docPr id="30" name="Frame3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intellectual property, and any other pledge agreement, security agreement, mortgage, deed of trust, or other similar instrument or document, in each case that secures the Obligations, each as amended, restated, supplemented or otherwise modified from time to time.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Collateral Shortfall Amount</w:t>
      </w:r>
      <w:r>
        <w:rPr>
          <w:color w:val="000000"/>
        </w:rPr>
        <w:t xml:space="preserve">” </w:t>
      </w:r>
      <w:r>
        <w:rPr>
          <w:rFonts w:ascii="Times New Roman;sans-serif" w:hAnsi="Times New Roman;sans-serif"/>
          <w:b w:val="false"/>
          <w:color w:val="000000"/>
          <w:sz w:val="24"/>
        </w:rPr>
        <w:t>is defined in Section 8.1(a).</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rPr>
        <w:t>means, for each Lender, such Lender’s Revolving Commitment. “</w:t>
      </w:r>
      <w:r>
        <w:rPr>
          <w:rFonts w:ascii="Times New Roman;sans-serif" w:hAnsi="Times New Roman;sans-serif"/>
          <w:b w:val="false"/>
          <w:color w:val="000000"/>
          <w:sz w:val="24"/>
          <w:u w:val="single"/>
        </w:rPr>
        <w:t>Commodity Exchange Act</w:t>
      </w:r>
      <w:r>
        <w:rPr>
          <w:color w:val="000000"/>
        </w:rPr>
        <w:t xml:space="preserve">” </w:t>
      </w:r>
      <w:r>
        <w:rPr>
          <w:rFonts w:ascii="Times New Roman;sans-serif" w:hAnsi="Times New Roman;sans-serif"/>
          <w:b w:val="false"/>
          <w:color w:val="000000"/>
          <w:sz w:val="24"/>
        </w:rPr>
        <w:t>means the Commodity Exchange Act (7 U.S.C. § 1 et</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seq.), as amended from time to time, and any successor statute.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u w:val="single"/>
        </w:rPr>
        <w:t>Connection Income Taxes</w:t>
      </w:r>
      <w:r>
        <w:rPr>
          <w:color w:val="000000"/>
        </w:rPr>
        <w:t xml:space="preserve">”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u w:val="single"/>
        </w:rPr>
        <w:t>Consolidated Indebtedness</w:t>
      </w:r>
      <w:r>
        <w:rPr>
          <w:color w:val="000000"/>
        </w:rPr>
        <w:t xml:space="preserve">” </w:t>
      </w:r>
      <w:r>
        <w:rPr>
          <w:rFonts w:ascii="Times New Roman;sans-serif" w:hAnsi="Times New Roman;sans-serif"/>
          <w:b w:val="false"/>
          <w:color w:val="000000"/>
          <w:sz w:val="24"/>
        </w:rPr>
        <w:t>means at any time the Indebtedness of the Borrower and its Subsidiaries calculated on a consolidated basis as of such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Consolidated Net Income</w:t>
      </w:r>
      <w:r>
        <w:rPr>
          <w:color w:val="000000"/>
        </w:rPr>
        <w:t xml:space="preserve">” </w:t>
      </w:r>
      <w:r>
        <w:rPr>
          <w:rFonts w:ascii="Times New Roman;sans-serif" w:hAnsi="Times New Roman;sans-serif"/>
          <w:b w:val="false"/>
          <w:color w:val="000000"/>
          <w:sz w:val="24"/>
        </w:rPr>
        <w:t>means, with respect to the Borrower and the Subsidiaries on a consolidated basis for any period, the aggregate of all amounts that, in accordance with GAAP, would be included as net income (or net loss) of the Borrower and the Subsidiaries on a consolidated basis for such period, excluding any gains and/or losses from dispositions of any assets allowed under this Agreement and any gains and/or losses from discontinued operations.</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Contingent Obligation</w:t>
      </w:r>
      <w:r>
        <w:rPr>
          <w:color w:val="000000"/>
        </w:rPr>
        <w:t xml:space="preserve">” </w:t>
      </w:r>
      <w:r>
        <w:rPr>
          <w:rFonts w:ascii="Times New Roman;sans-serif" w:hAnsi="Times New Roman;sans-serif"/>
          <w:b w:val="false"/>
          <w:color w:val="000000"/>
          <w:sz w:val="24"/>
        </w:rPr>
        <w:t>of a Person means any agreement, undertaking or arrangement by which such Person assumes, guarantees, endorses, contingently agrees to purchase or provide funds for the payment of or otherwise becomes or is contingently liable upon the obligation or liability of any other Person, agrees to maintain the net worth,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Control Agreement</w:t>
      </w:r>
      <w:r>
        <w:rPr>
          <w:color w:val="000000"/>
        </w:rPr>
        <w:t xml:space="preserve">” </w:t>
      </w:r>
      <w:r>
        <w:rPr>
          <w:rFonts w:ascii="Times New Roman;sans-serif" w:hAnsi="Times New Roman;sans-serif"/>
          <w:b w:val="false"/>
          <w:color w:val="000000"/>
          <w:sz w:val="24"/>
        </w:rPr>
        <w:t>means a control agreement for deposit accounts, sweep accounts, securities accounts or other investment accounts, granting the Administrative Agent control over such accounts in each case in form and substance reasonably satisfactory to the Administrative Agent.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Controlled Group</w:t>
      </w:r>
      <w:r>
        <w:rPr>
          <w:color w:val="000000"/>
        </w:rPr>
        <w:t xml:space="preserve">” </w:t>
      </w:r>
      <w:r>
        <w:rPr>
          <w:rFonts w:ascii="Times New Roman;sans-serif" w:hAnsi="Times New Roman;sans-serif"/>
          <w:b w:val="false"/>
          <w:color w:val="000000"/>
          <w:sz w:val="24"/>
        </w:rPr>
        <w:t>means all members of a controlled group of corporations or other business entities and all trades or businesses (whether or not incorporated) under common control that, together with the Borrower and the Subsidiaries, are treated as a single employer under § 414 of the Code.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Conversion/Continuation Notice</w:t>
      </w:r>
      <w:r>
        <w:rPr>
          <w:color w:val="000000"/>
        </w:rPr>
        <w:t xml:space="preserve">” </w:t>
      </w:r>
      <w:r>
        <w:rPr>
          <w:rFonts w:ascii="Times New Roman;sans-serif" w:hAnsi="Times New Roman;sans-serif"/>
          <w:b w:val="false"/>
          <w:color w:val="000000"/>
          <w:sz w:val="24"/>
        </w:rPr>
        <w:t>is defined in Section 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15975"/>
                <wp:effectExtent l="0" t="0" r="0" b="0"/>
                <wp:wrapNone/>
                <wp:docPr id="31" name="Frame3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7" w:after="283"/>
        <w:jc w:val="left"/>
        <w:rPr/>
      </w:pPr>
      <w:r>
        <w:rPr/>
      </w:r>
    </w:p>
    <w:p>
      <w:pPr>
        <w:pStyle w:val="TextBody"/>
        <w:bidi w:val="0"/>
        <w:spacing w:lineRule="auto" w:line="288"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LC.</w:t>
      </w:r>
    </w:p>
    <w:p>
      <w:pPr>
        <w:pStyle w:val="TextBody"/>
        <w:bidi w:val="0"/>
        <w:spacing w:before="6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means any of the following:</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(a)a “covered entity” as that term is defined in, and interpreted in accordance with, 12 C.F.R. § 252.82(b);</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(b)a “covered bank” as that term is defined in, and interpreted in accordance with, 12 C.F.R. § 47.3(b); 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(c)a “covered FSI” as that term is defined in, and interpreted in accordance with, 12 C.F.R. § 382.2(b).</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Covered Party</w:t>
      </w:r>
      <w:r>
        <w:rPr>
          <w:color w:val="000000"/>
        </w:rPr>
        <w:t xml:space="preserve">” </w:t>
      </w:r>
      <w:r>
        <w:rPr>
          <w:rFonts w:ascii="Times New Roman;sans-serif" w:hAnsi="Times New Roman;sans-serif"/>
          <w:b w:val="false"/>
          <w:color w:val="000000"/>
          <w:sz w:val="24"/>
        </w:rPr>
        <w:t>is defined in Section 9.16.</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Credit Extension</w:t>
      </w:r>
      <w:r>
        <w:rPr>
          <w:color w:val="000000"/>
        </w:rPr>
        <w:t xml:space="preserve">” </w:t>
      </w:r>
      <w:r>
        <w:rPr>
          <w:rFonts w:ascii="Times New Roman;sans-serif" w:hAnsi="Times New Roman;sans-serif"/>
          <w:b w:val="false"/>
          <w:color w:val="000000"/>
          <w:sz w:val="24"/>
        </w:rPr>
        <w:t>means the making of an Advance or the issuance of a Facility</w:t>
      </w:r>
    </w:p>
    <w:p>
      <w:pPr>
        <w:pStyle w:val="TextBody"/>
        <w:bidi w:val="0"/>
        <w:spacing w:before="24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SOFR, with the conventions for this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Debtor Relief Laws</w:t>
      </w:r>
      <w:r>
        <w:rPr>
          <w:color w:val="000000"/>
        </w:rPr>
        <w:t xml:space="preserve">” </w:t>
      </w:r>
      <w:r>
        <w:rPr>
          <w:rFonts w:ascii="Times New Roman;sans-serif" w:hAnsi="Times New Roman;sans-serif"/>
          <w:b w:val="false"/>
          <w:color w:val="000000"/>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Deemed Dividend Problem</w:t>
      </w:r>
      <w:r>
        <w:rPr>
          <w:color w:val="000000"/>
        </w:rPr>
        <w:t xml:space="preserve">” </w:t>
      </w:r>
      <w:r>
        <w:rPr>
          <w:rFonts w:ascii="Times New Roman;sans-serif" w:hAnsi="Times New Roman;sans-serif"/>
          <w:b w:val="false"/>
          <w:color w:val="000000"/>
          <w:sz w:val="24"/>
        </w:rPr>
        <w:t>means, with respect to any Foreign Subsidiary, any portion of such Foreign Subsidiary’s accumulated and undistributed earnings and profits being deemed to be repatriated to the Borrower or the applicable parent Domestic Subsidiary for U.S. federal income tax purposes and the effect of such repatriation causing adverse tax consequences to the Borrower or such parent Domestic Subsidiary, in each case as determined by the Borrower in its commercially reasonable judgment acting in good faith and in consultation with its legal and tax advisors.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Default</w:t>
      </w:r>
      <w:r>
        <w:rPr>
          <w:color w:val="000000"/>
        </w:rPr>
        <w:t xml:space="preserve">” </w:t>
      </w:r>
      <w:r>
        <w:rPr>
          <w:rFonts w:ascii="Times New Roman;sans-serif" w:hAnsi="Times New Roman;sans-serif"/>
          <w:b w:val="false"/>
          <w:color w:val="000000"/>
          <w:sz w:val="24"/>
        </w:rPr>
        <w:t>means an event that but for the lapse of time or the giving of notice, or both, would constitute an Event of Default.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means, any time there is more than one Lender and subject to Section 2.20(b),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Facility LCs or Swing Line Loans) within two Business Days of the date when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15975"/>
                <wp:effectExtent l="0" t="0" r="0" b="0"/>
                <wp:wrapNone/>
                <wp:docPr id="32" name="Frame3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6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(b) has notified the Borrower, the Administrative Agent or any LC Issuer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w:t>
      </w:r>
    </w:p>
    <w:p>
      <w:pPr>
        <w:pStyle w:val="TextBody"/>
        <w:bidi w:val="0"/>
        <w:spacing w:lineRule="auto" w:line="288" w:before="1" w:after="283"/>
        <w:jc w:val="left"/>
        <w:rPr/>
      </w:pPr>
      <w:r>
        <w:rPr>
          <w:rFonts w:ascii="Times New Roman;sans-serif" w:hAnsi="Times New Roman;sans-serif"/>
          <w:b w:val="false"/>
          <w:color w:val="000000"/>
          <w:sz w:val="24"/>
        </w:rPr>
        <w:t xml:space="preserve">(ii)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2.20(b)) upon delivery of written notice of such determination to the Borrower, the LC Issuers, the Swing Line Lender and each Lender.</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Dollar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mean the lawful currency of the United States of America. “</w:t>
      </w:r>
      <w:r>
        <w:rPr>
          <w:rFonts w:ascii="Times New Roman;sans-serif" w:hAnsi="Times New Roman;sans-serif"/>
          <w:b w:val="false"/>
          <w:color w:val="000000"/>
          <w:sz w:val="24"/>
          <w:u w:val="single"/>
        </w:rPr>
        <w:t>Domestic Holdco Subsidiary</w:t>
      </w:r>
      <w:r>
        <w:rPr>
          <w:color w:val="000000"/>
        </w:rPr>
        <w:t xml:space="preserve">” </w:t>
      </w:r>
      <w:r>
        <w:rPr>
          <w:rFonts w:ascii="Times New Roman;sans-serif" w:hAnsi="Times New Roman;sans-serif"/>
          <w:b w:val="false"/>
          <w:color w:val="000000"/>
          <w:sz w:val="24"/>
        </w:rPr>
        <w:t>means any Domestic Subsidiary substantially all of</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assets of which consist of stock or debt issued by a Foreign Subsidiary or another Domestic Subsidiary satisfying the requirements of a Domestic Holdco Subsidiary.</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Domestic Subsidiary</w:t>
      </w:r>
      <w:r>
        <w:rPr>
          <w:color w:val="000000"/>
        </w:rPr>
        <w:t xml:space="preserve">” </w:t>
      </w:r>
      <w:r>
        <w:rPr>
          <w:rFonts w:ascii="Times New Roman;sans-serif" w:hAnsi="Times New Roman;sans-serif"/>
          <w:b w:val="false"/>
          <w:color w:val="000000"/>
          <w:sz w:val="24"/>
        </w:rPr>
        <w:t>means a Subsidiary incorporated or organized under the laws of the United States of America, any State thereof or the District of Columbia.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Early Opt-in Election</w:t>
      </w:r>
      <w:r>
        <w:rPr>
          <w:color w:val="000000"/>
        </w:rPr>
        <w:t xml:space="preserve">” </w:t>
      </w:r>
      <w:r>
        <w:rPr>
          <w:rFonts w:ascii="Times New Roman;sans-serif" w:hAnsi="Times New Roman;sans-serif"/>
          <w:b w:val="false"/>
          <w:color w:val="000000"/>
          <w:sz w:val="24"/>
        </w:rPr>
        <w:t>means, if the then-current Benchmark is the Term SOFR Base Rate, the joint election by the Administrative Agent and the Borrower to trigger a fallback from the Term SOFR Base Rate to the Benchmark Replacement, and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15975"/>
                <wp:effectExtent l="0" t="0" r="0" b="0"/>
                <wp:wrapNone/>
                <wp:docPr id="33" name="Frame3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notification by the Administrative Agent to each of the other parties hereto of such election and the proposed Benchmark Replacement.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EBITDA</w:t>
      </w:r>
      <w:r>
        <w:rPr>
          <w:color w:val="000000"/>
        </w:rPr>
        <w:t xml:space="preserve">” </w:t>
      </w:r>
      <w:r>
        <w:rPr>
          <w:rFonts w:ascii="Times New Roman;sans-serif" w:hAnsi="Times New Roman;sans-serif"/>
          <w:b w:val="false"/>
          <w:color w:val="000000"/>
          <w:sz w:val="24"/>
        </w:rPr>
        <w:t>means, for any period, Consolidated Net Income for such period plus, to the extent deducted in determining such Consolidated Net Income, each of the following, without duplication, for such period: (a) Interest Expense, (b) income tax expense, (c) depreciation expense, (d) amortization expense, (e) [Reserved],</w:t>
      </w:r>
    </w:p>
    <w:p>
      <w:pPr>
        <w:pStyle w:val="TextBody"/>
        <w:bidi w:val="0"/>
        <w:spacing w:lineRule="auto" w:line="288" w:before="0" w:after="0"/>
        <w:jc w:val="left"/>
        <w:rPr/>
      </w:pPr>
      <w:r>
        <w:rPr>
          <w:rFonts w:ascii="Times New Roman;sans-serif" w:hAnsi="Times New Roman;sans-serif"/>
          <w:b w:val="false"/>
          <w:color w:val="000000"/>
          <w:sz w:val="24"/>
        </w:rPr>
        <w:t xml:space="preserve">(f) documented transaction expenses actually paid or expensed and reasonably acceptable to the Administrative Agent related to </w:t>
      </w:r>
      <w:r>
        <w:rPr>
          <w:rFonts w:ascii="Times New Roman;sans-serif" w:hAnsi="Times New Roman;sans-serif"/>
          <w:b w:val="false"/>
          <w:strike/>
          <w:color w:val="FF0000"/>
          <w:sz w:val="24"/>
        </w:rPr>
        <w:t>other</w:t>
      </w:r>
      <w:r>
        <w:rPr>
          <w:rFonts w:ascii="Times New Roman;sans-serif" w:hAnsi="Times New Roman;sans-serif"/>
          <w:b w:val="false"/>
          <w:color w:val="0000FF"/>
          <w:sz w:val="24"/>
          <w:u w:val="single"/>
        </w:rPr>
        <w:t>any</w:t>
      </w:r>
      <w:r>
        <w:rPr>
          <w:color w:val="0000FF"/>
        </w:rPr>
        <w:t xml:space="preserve"> </w:t>
      </w:r>
      <w:r>
        <w:rPr>
          <w:rFonts w:ascii="Times New Roman;sans-serif" w:hAnsi="Times New Roman;sans-serif"/>
          <w:b w:val="false"/>
          <w:color w:val="000000"/>
          <w:sz w:val="24"/>
        </w:rPr>
        <w:t>Permitted Acquisitions (in all such</w:t>
      </w:r>
    </w:p>
    <w:p>
      <w:pPr>
        <w:pStyle w:val="TextBody"/>
        <w:bidi w:val="0"/>
        <w:spacing w:lineRule="auto" w:line="288" w:before="0" w:after="0"/>
        <w:jc w:val="left"/>
        <w:rPr/>
      </w:pPr>
      <w:r>
        <w:rPr>
          <w:rFonts w:ascii="Times New Roman;sans-serif" w:hAnsi="Times New Roman;sans-serif"/>
          <w:b w:val="false"/>
          <w:color w:val="000000"/>
          <w:sz w:val="24"/>
        </w:rPr>
        <w:t>cases whether or not consummated), in an amount not to exceed $</w:t>
      </w:r>
      <w:r>
        <w:rPr>
          <w:rFonts w:ascii="Times New Roman;sans-serif" w:hAnsi="Times New Roman;sans-serif"/>
          <w:b w:val="false"/>
          <w:strike/>
          <w:color w:val="FF0000"/>
          <w:sz w:val="24"/>
        </w:rPr>
        <w:t>1,500,000</w:t>
      </w:r>
      <w:r>
        <w:rPr>
          <w:rFonts w:ascii="Times New Roman;sans-serif" w:hAnsi="Times New Roman;sans-serif"/>
          <w:b w:val="false"/>
          <w:color w:val="0000FF"/>
          <w:sz w:val="24"/>
          <w:u w:val="single"/>
        </w:rPr>
        <w:t>4,000,000</w:t>
      </w:r>
      <w:r>
        <w:rPr>
          <w:color w:val="0000FF"/>
        </w:rPr>
        <w:t xml:space="preserve"> </w:t>
      </w:r>
      <w:r>
        <w:rPr>
          <w:rFonts w:ascii="Times New Roman;sans-serif" w:hAnsi="Times New Roman;sans-serif"/>
          <w:b w:val="false"/>
          <w:color w:val="000000"/>
          <w:sz w:val="24"/>
        </w:rPr>
        <w:t xml:space="preserve">for such period, (g) documented transaction expenses and fees actually paid and reasonably acceptable to the Administrative Agent related to this Agreement, the other Loan Documents and any amendments thereto, (h) other noncash charges required by GAAP (including, without limitation, any stock compensation expenses and impairment expense), (i) any non-recurring extraordinary losses, (j) </w:t>
      </w:r>
      <w:r>
        <w:rPr>
          <w:rFonts w:ascii="Times New Roman;sans-serif" w:hAnsi="Times New Roman;sans-serif"/>
          <w:b w:val="false"/>
          <w:strike/>
          <w:color w:val="FF0000"/>
          <w:sz w:val="24"/>
        </w:rPr>
        <w:t>[Reserved]</w:t>
      </w:r>
      <w:r>
        <w:rPr>
          <w:rFonts w:ascii="Times New Roman;sans-serif" w:hAnsi="Times New Roman;sans-serif"/>
          <w:b w:val="false"/>
          <w:color w:val="0000FF"/>
          <w:sz w:val="24"/>
          <w:u w:val="single"/>
        </w:rPr>
        <w:t>non-cash earn-out</w:t>
      </w:r>
      <w:r>
        <w:rPr>
          <w:color w:val="0000FF"/>
        </w:rPr>
        <w:t xml:space="preserve"> </w:t>
      </w:r>
      <w:r>
        <w:rPr>
          <w:rFonts w:ascii="Times New Roman;sans-serif" w:hAnsi="Times New Roman;sans-serif"/>
          <w:b w:val="false"/>
          <w:color w:val="0000FF"/>
          <w:sz w:val="24"/>
          <w:u w:val="single"/>
        </w:rPr>
        <w:t>related expenses</w:t>
      </w:r>
      <w:r>
        <w:rPr>
          <w:rFonts w:ascii="Times New Roman;sans-serif" w:hAnsi="Times New Roman;sans-serif"/>
          <w:b w:val="false"/>
          <w:color w:val="000000"/>
          <w:sz w:val="24"/>
        </w:rPr>
        <w:t xml:space="preserve">, (k) [Reserved], and (l) other non-recurring </w:t>
      </w:r>
      <w:r>
        <w:rPr>
          <w:rFonts w:ascii="Times New Roman;sans-serif" w:hAnsi="Times New Roman;sans-serif"/>
          <w:b w:val="false"/>
          <w:color w:val="0000FF"/>
          <w:sz w:val="24"/>
          <w:u w:val="single"/>
        </w:rPr>
        <w:t>or unusual</w:t>
      </w:r>
      <w:r>
        <w:rPr>
          <w:color w:val="0000FF"/>
        </w:rPr>
        <w:t xml:space="preserve"> </w:t>
      </w:r>
      <w:r>
        <w:rPr>
          <w:rFonts w:ascii="Times New Roman;sans-serif" w:hAnsi="Times New Roman;sans-serif"/>
          <w:b w:val="false"/>
          <w:color w:val="000000"/>
          <w:sz w:val="24"/>
        </w:rPr>
        <w:t xml:space="preserve">losses </w:t>
      </w:r>
      <w:r>
        <w:rPr>
          <w:rFonts w:ascii="Times New Roman;sans-serif" w:hAnsi="Times New Roman;sans-serif"/>
          <w:b w:val="false"/>
          <w:color w:val="0000FF"/>
          <w:sz w:val="24"/>
          <w:u w:val="single"/>
        </w:rPr>
        <w:t>or expenses</w:t>
      </w:r>
      <w:r>
        <w:rPr>
          <w:color w:val="0000FF"/>
        </w:rPr>
        <w:t xml:space="preserve"> </w:t>
      </w:r>
      <w:r>
        <w:rPr>
          <w:rFonts w:ascii="Times New Roman;sans-serif" w:hAnsi="Times New Roman;sans-serif"/>
          <w:b w:val="false"/>
          <w:color w:val="000000"/>
          <w:sz w:val="24"/>
        </w:rPr>
        <w:t>reasonably acceptable to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any non-recurring extraordinary gains. In addition, the calculation of EBITDA for any period shall (x) include the adjusted EBITDA (such adjustments to be reasonably satisfactory to the Administrative Agent) for any Person or business unit that has been acquired by the Borrower for any portion of such period being tested, as applicable, in each case prior to the date of acquisition, and (y) exclude the adjusted EBITDA (such adjustments to be reasonably satisfactory to the Administrative Agent) for any Person or business unit that the Borrower has disposed of, for the portion of such period being tested, as applicable, in each case prior to the date of disposition.</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EBITDAR</w:t>
      </w:r>
      <w:r>
        <w:rPr>
          <w:color w:val="000000"/>
        </w:rPr>
        <w:t xml:space="preserve">” </w:t>
      </w:r>
      <w:r>
        <w:rPr>
          <w:rFonts w:ascii="Times New Roman;sans-serif" w:hAnsi="Times New Roman;sans-serif"/>
          <w:b w:val="false"/>
          <w:color w:val="000000"/>
          <w:sz w:val="24"/>
        </w:rPr>
        <w:t>means, for any period of determination, EBITDA before reduction for rent and operating lease expense, determined in accordance with GAAP.</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Eligible Assignee</w:t>
      </w:r>
      <w:r>
        <w:rPr>
          <w:color w:val="000000"/>
        </w:rPr>
        <w:t xml:space="preserve">” </w:t>
      </w:r>
      <w:r>
        <w:rPr>
          <w:rFonts w:ascii="Times New Roman;sans-serif" w:hAnsi="Times New Roman;sans-serif"/>
          <w:b w:val="false"/>
          <w:color w:val="000000"/>
          <w:sz w:val="24"/>
        </w:rPr>
        <w:t>means (a) a Lender or an Affiliate of a Lender; (b) an Approved Fund; (c) a commercial bank organized under the laws of the United States,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15975"/>
                <wp:effectExtent l="0" t="0" r="0" b="0"/>
                <wp:wrapNone/>
                <wp:docPr id="34" name="Frame3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any state thereof, and having total assets in excess of $3,000,000,000, calculated in accordance with the accounting principles prescribed by the regulatory authority applicable to such bank in its jurisdiction of organization; (d) a commercial bank organized under the laws of any other country that is a member of the OECD, or a political subdivision of any such country, having total assets in excess of $3,000,000,000, calculated in accordance with the accounting principles prescribed by the regulatory authority applicable to such bank in its jurisdiction of organization, so long as such bank is acting through a branch or agency located in the country in which it is organized or another country that is described in this clause (d); or (e) the central bank of any country that is a member of the OECD;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(x) neither the Borrower nor an Affiliate of the Borrower, (y) no natural Person (or holding company, investment vehicle or trust for, or owned and operated for the primary benefit of a natural Person) and (z) no Defaulting Lender shall qualify as an Eligible Assignee.</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Environmental Claims</w:t>
      </w:r>
      <w:r>
        <w:rPr>
          <w:color w:val="000000"/>
        </w:rPr>
        <w:t xml:space="preserve">” </w:t>
      </w:r>
      <w:r>
        <w:rPr>
          <w:rFonts w:ascii="Times New Roman;sans-serif" w:hAnsi="Times New Roman;sans-serif"/>
          <w:b w:val="false"/>
          <w:color w:val="000000"/>
          <w:sz w:val="24"/>
        </w:rPr>
        <w:t>means all written claims by any governmental, regulatory or judicial authority or other Person alleging potential liability or responsibility for violation of any Environmental Law, or for release of Hazardous Substances or injury to the environment related to any such release, provided, in each case, such claims are pending and unresolved.</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means any and all applicable federal, state, local and foreign statutes, laws, regulations, ordinances, rules, judgments, orders, decrees, injunctions, permits and licenses relating to (a) the protection of the environment,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emissions, discharges or releases of Hazardous Substances into surface water, ground water or land or (c) the use, treatment, storage, disposal, transport or handling of Hazardous Substances.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means all shares, interests, participations or other equivalents, however designated, of or in a corporation, a limited liability company, a general partnership, a limited liability partnership, or a limited partnership, whether or not voting, including but not limited to common stock, member interests, warrants, preferred stock, convertible debentures, and all agreements, instruments and documents convertible, in whole or in part, into any one or more or all of the foregoing.</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 and any rule or regulation issued thereunder.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any trade or business (whether or not incorporated) that, together with the Borrower and the Subsidiaries, is treated as a single employer under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414(b) or (c) of the Code or, solely for purposes of § 302 of ERISA and § 412 of the Code, is treated as a single employer under § 414 of the Code.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ERISA Event</w:t>
      </w:r>
      <w:r>
        <w:rPr>
          <w:color w:val="000000"/>
        </w:rPr>
        <w:t xml:space="preserve">” </w:t>
      </w:r>
      <w:r>
        <w:rPr>
          <w:rFonts w:ascii="Times New Roman;sans-serif" w:hAnsi="Times New Roman;sans-serif"/>
          <w:b w:val="false"/>
          <w:color w:val="000000"/>
          <w:sz w:val="24"/>
        </w:rPr>
        <w:t>means (a) any Reportable Event; (b) the existence with respect to any Plan of an “accumulated funding deficiency” (as defined in § 412 of the Code or § 302 of ERISA), whether or not waived; (c) the filing pursuant to § 412(d) of the Code 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303(d) of ERISA of an application for a waiver of the minimum funding standard with respect to any Plan; (d) the incurrence by the Borrower and the Subsidiaries or any of 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15975"/>
                <wp:effectExtent l="0" t="0" r="0" b="0"/>
                <wp:wrapNone/>
                <wp:docPr id="35" name="Frame3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ERISA Affiliates of any liability under Title IV of ERISA with respect to the termination of any Plan; (e) the receipt by the Borrower and the Subsidiaries or any ERISA Affiliate from the PBGC or a plan administrator of any notice relating to an intention to terminate any Plan or Plans or to appoint a trustee to administer any Plan; (f) the incurrence by the Borrower and the Subsidiaries or any of its ERISA Affiliates of any liability with respect to the withdrawal or partial withdrawal of the Borrower and the Subsidiaries or any of its ERISA Affiliates from any Plan or Multiemployer Plan; or (g) the receipt by the Borrower and the Subsidiaries or any ERISA Affiliate of any notice, or the receipt by any Multiemployer Plan from the Borrower, or the Subsidiaries, or any ERISA Affiliate of any notice concerning the imposition upon the Borrower and the Subsidiaries or any of its ERISA Affiliates of Withdrawal Liability or a determination that a Multiemployer Plan is, or is expected to be, insolvent or in reorganization, within the meaning of Title IV of ERISA.</w:t>
      </w:r>
    </w:p>
    <w:p>
      <w:pPr>
        <w:pStyle w:val="TextBody"/>
        <w:bidi w:val="0"/>
        <w:spacing w:lineRule="auto" w:line="520" w:before="241" w:after="283"/>
        <w:jc w:val="both"/>
        <w:rPr/>
      </w:pPr>
      <w:r>
        <w:rPr>
          <w:color w:val="000000"/>
        </w:rPr>
        <w:t>“</w:t>
      </w:r>
      <w:r>
        <w:rPr>
          <w:rFonts w:ascii="Times New Roman;sans-serif" w:hAnsi="Times New Roman;sans-serif"/>
          <w:b w:val="false"/>
          <w:color w:val="000000"/>
          <w:sz w:val="24"/>
          <w:u w:val="single"/>
        </w:rPr>
        <w:t>Erroneous Payment</w:t>
      </w:r>
      <w:r>
        <w:rPr>
          <w:color w:val="000000"/>
        </w:rPr>
        <w:t xml:space="preserve">” </w:t>
      </w:r>
      <w:r>
        <w:rPr>
          <w:rFonts w:ascii="Times New Roman;sans-serif" w:hAnsi="Times New Roman;sans-serif"/>
          <w:b w:val="false"/>
          <w:color w:val="000000"/>
          <w:sz w:val="24"/>
        </w:rPr>
        <w:t>is defined in Section 10.18(a). “</w:t>
      </w:r>
      <w:r>
        <w:rPr>
          <w:rFonts w:ascii="Times New Roman;sans-serif" w:hAnsi="Times New Roman;sans-serif"/>
          <w:b w:val="false"/>
          <w:color w:val="000000"/>
          <w:sz w:val="24"/>
          <w:u w:val="single"/>
        </w:rPr>
        <w:t>EU</w:t>
      </w:r>
      <w:r>
        <w:rPr>
          <w:color w:val="000000"/>
        </w:rPr>
        <w:t xml:space="preserve">” </w:t>
      </w:r>
      <w:r>
        <w:rPr>
          <w:rFonts w:ascii="Times New Roman;sans-serif" w:hAnsi="Times New Roman;sans-serif"/>
          <w:b w:val="false"/>
          <w:color w:val="000000"/>
          <w:sz w:val="24"/>
        </w:rPr>
        <w:t>means the European Union.</w:t>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239" w:after="283"/>
        <w:jc w:val="both"/>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is defined in Article VII.</w:t>
      </w:r>
    </w:p>
    <w:p>
      <w:pPr>
        <w:pStyle w:val="TextBody"/>
        <w:bidi w:val="0"/>
        <w:spacing w:lineRule="auto" w:line="288" w:before="240" w:after="283"/>
        <w:ind w:left="0" w:right="0" w:firstLine="720"/>
        <w:jc w:val="left"/>
        <w:rPr/>
      </w:pPr>
      <w:r>
        <w:rPr>
          <w:color w:val="0000FF"/>
          <w:u w:val="single"/>
        </w:rPr>
        <w:t>“</w:t>
      </w:r>
      <w:r>
        <w:rPr>
          <w:rFonts w:ascii="Times New Roman;sans-serif" w:hAnsi="Times New Roman;sans-serif"/>
          <w:b w:val="false"/>
          <w:color w:val="0000FF"/>
          <w:sz w:val="24"/>
          <w:u w:val="single"/>
        </w:rPr>
        <w:t>Excluded Operating Account” means any account of the Borrower or any</w:t>
      </w:r>
      <w:r>
        <w:rPr>
          <w:color w:val="0000FF"/>
        </w:rPr>
        <w:t xml:space="preserve"> </w:t>
      </w:r>
      <w:r>
        <w:rPr>
          <w:rFonts w:ascii="Times New Roman;sans-serif" w:hAnsi="Times New Roman;sans-serif"/>
          <w:b w:val="false"/>
          <w:color w:val="0000FF"/>
          <w:sz w:val="24"/>
          <w:u w:val="single"/>
        </w:rPr>
        <w:t>Subsidiary established or maintained in connection with a Permitted Acquisition so long</w:t>
      </w:r>
      <w:r>
        <w:rPr>
          <w:color w:val="0000FF"/>
        </w:rPr>
        <w:t xml:space="preserve"> </w:t>
      </w:r>
      <w:r>
        <w:rPr>
          <w:rFonts w:ascii="Times New Roman;sans-serif" w:hAnsi="Times New Roman;sans-serif"/>
          <w:b w:val="false"/>
          <w:color w:val="0000FF"/>
          <w:sz w:val="24"/>
          <w:u w:val="single"/>
        </w:rPr>
        <w:t>as the average daily balance does not exceed $500,000, for any such account, or</w:t>
      </w:r>
    </w:p>
    <w:p>
      <w:pPr>
        <w:pStyle w:val="TextBody"/>
        <w:bidi w:val="0"/>
        <w:spacing w:lineRule="auto" w:line="288"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$2,500,000, in the aggregate for all such accounts.</w:t>
      </w:r>
    </w:p>
    <w:p>
      <w:pPr>
        <w:pStyle w:val="TextBody"/>
        <w:bidi w:val="0"/>
        <w:spacing w:lineRule="auto" w:line="288" w:before="226" w:after="283"/>
        <w:ind w:left="0" w:right="0" w:firstLine="720"/>
        <w:jc w:val="left"/>
        <w:rPr/>
      </w:pPr>
      <w:r>
        <w:rPr>
          <w:color w:val="000000"/>
        </w:rPr>
        <w:t>“</w:t>
      </w:r>
      <w:r>
        <w:rPr>
          <w:rFonts w:ascii="Times New Roman;sans-serif" w:hAnsi="Times New Roman;sans-serif"/>
          <w:b w:val="false"/>
          <w:color w:val="000000"/>
          <w:sz w:val="24"/>
          <w:u w:val="single"/>
        </w:rPr>
        <w:t>Excluded Payroll Accounts</w:t>
      </w:r>
      <w:r>
        <w:rPr>
          <w:color w:val="000000"/>
        </w:rPr>
        <w:t xml:space="preserve">” </w:t>
      </w:r>
      <w:r>
        <w:rPr>
          <w:rFonts w:ascii="Times New Roman;sans-serif" w:hAnsi="Times New Roman;sans-serif"/>
          <w:b w:val="false"/>
          <w:color w:val="000000"/>
          <w:sz w:val="24"/>
        </w:rPr>
        <w:t xml:space="preserve">means the deposit accounts of the Borrower and Subsidiaries designated as “Excluded Payroll Accounts”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of the Security Agreement as updated from time to time and used solely for payroll, payroll taxes and other employee wage and benefit payments to or for employees.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Excluded Swap Obligation</w:t>
      </w:r>
      <w:r>
        <w:rPr>
          <w:color w:val="000000"/>
        </w:rPr>
        <w:t xml:space="preserve">” </w:t>
      </w:r>
      <w:r>
        <w:rPr>
          <w:rFonts w:ascii="Times New Roman;sans-serif" w:hAnsi="Times New Roman;sans-serif"/>
          <w:b w:val="false"/>
          <w:color w:val="000000"/>
          <w:sz w:val="24"/>
        </w:rPr>
        <w:t>means with respect to the Borrower or Guarantor, any Swap Obligation if, and only to the extent that, all or a portion of the guarantee of such Person of, or the grant by such Person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Person’s failure for any reason to constitute an “eligible contract participant” as defined in the Commodity Exchange Act and the regulations thereunder at the time the guarantee of such Person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15975"/>
                <wp:effectExtent l="0" t="0" r="0" b="0"/>
                <wp:wrapNone/>
                <wp:docPr id="36" name="Frame3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means any of the following Taxes imposed on or with respect to a Recipient or required to be withheld or deducted from a payment to a Recipient: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Taxes imposed on or measured by overall gross income,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(or corresponding Tax imposed on the Recipient under Sections 871 and 881 of the Code)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2.18) or (ii) such Lender changes its lending office, except in each case to the extent that, pursuant to Section 3.5, amounts with respect to such Taxes were payable either to such Lender’s assignor immediately before such Lender became a party hereto or to such Lender immediately before it changed its lending office,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 Taxes attributable to such Recipient’s failure to comply with Section 3.5(g) and (d) any</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U.S. federal withholding Taxes imposed under FATCA.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Exhibit</w:t>
      </w:r>
      <w:r>
        <w:rPr>
          <w:color w:val="000000"/>
        </w:rPr>
        <w:t xml:space="preserve">” </w:t>
      </w:r>
      <w:r>
        <w:rPr>
          <w:rFonts w:ascii="Times New Roman;sans-serif" w:hAnsi="Times New Roman;sans-serif"/>
          <w:b w:val="false"/>
          <w:color w:val="000000"/>
          <w:sz w:val="24"/>
        </w:rPr>
        <w:t>refers to an exhibit to this Agreement, unless another document is specifically referenced.</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Facility LC</w:t>
      </w:r>
      <w:r>
        <w:rPr>
          <w:color w:val="000000"/>
        </w:rPr>
        <w:t xml:space="preserve">” </w:t>
      </w:r>
      <w:r>
        <w:rPr>
          <w:rFonts w:ascii="Times New Roman;sans-serif" w:hAnsi="Times New Roman;sans-serif"/>
          <w:b w:val="false"/>
          <w:color w:val="000000"/>
          <w:sz w:val="24"/>
        </w:rPr>
        <w:t>is defined in Section 2.17.1.</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Facility LC Application</w:t>
      </w:r>
      <w:r>
        <w:rPr>
          <w:color w:val="000000"/>
        </w:rPr>
        <w:t xml:space="preserve">” </w:t>
      </w:r>
      <w:r>
        <w:rPr>
          <w:rFonts w:ascii="Times New Roman;sans-serif" w:hAnsi="Times New Roman;sans-serif"/>
          <w:b w:val="false"/>
          <w:color w:val="000000"/>
          <w:sz w:val="24"/>
        </w:rPr>
        <w:t>is defined in Section 2.17.3.</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Facility Termination Date</w:t>
      </w:r>
      <w:r>
        <w:rPr>
          <w:color w:val="000000"/>
        </w:rPr>
        <w:t xml:space="preserve">” </w:t>
      </w:r>
      <w:r>
        <w:rPr>
          <w:rFonts w:ascii="Times New Roman;sans-serif" w:hAnsi="Times New Roman;sans-serif"/>
          <w:b w:val="false"/>
          <w:color w:val="000000"/>
          <w:sz w:val="24"/>
        </w:rPr>
        <w:t xml:space="preserve">means April </w:t>
      </w:r>
      <w:r>
        <w:rPr>
          <w:rFonts w:ascii="Times New Roman;sans-serif" w:hAnsi="Times New Roman;sans-serif"/>
          <w:b w:val="false"/>
          <w:strike/>
          <w:color w:val="FF0000"/>
          <w:sz w:val="24"/>
        </w:rPr>
        <w:t>30</w:t>
      </w:r>
      <w:r>
        <w:rPr>
          <w:rFonts w:ascii="Times New Roman;sans-serif" w:hAnsi="Times New Roman;sans-serif"/>
          <w:b w:val="false"/>
          <w:color w:val="0000FF"/>
          <w:sz w:val="24"/>
          <w:u w:val="single"/>
        </w:rPr>
        <w:t>25</w:t>
      </w:r>
      <w:r>
        <w:rPr>
          <w:rFonts w:ascii="Times New Roman;sans-serif" w:hAnsi="Times New Roman;sans-serif"/>
          <w:b w:val="false"/>
          <w:color w:val="000000"/>
          <w:sz w:val="24"/>
        </w:rPr>
        <w:t xml:space="preserve">, </w:t>
      </w:r>
      <w:r>
        <w:rPr>
          <w:rFonts w:ascii="Times New Roman;sans-serif" w:hAnsi="Times New Roman;sans-serif"/>
          <w:b w:val="false"/>
          <w:strike/>
          <w:color w:val="FF0000"/>
          <w:sz w:val="24"/>
        </w:rPr>
        <w:t>2027</w:t>
      </w:r>
      <w:r>
        <w:rPr>
          <w:rFonts w:ascii="Times New Roman;sans-serif" w:hAnsi="Times New Roman;sans-serif"/>
          <w:b w:val="false"/>
          <w:color w:val="0000FF"/>
          <w:sz w:val="24"/>
          <w:u w:val="single"/>
        </w:rPr>
        <w:t>2030</w:t>
      </w:r>
      <w:r>
        <w:rPr>
          <w:rFonts w:ascii="Times New Roman;sans-serif" w:hAnsi="Times New Roman;sans-serif"/>
          <w:b w:val="false"/>
          <w:color w:val="000000"/>
          <w:sz w:val="24"/>
        </w:rPr>
        <w:t>, or any earlier date on which the Aggregate Commitment is reduced to zero or otherwise terminated pursuant to the terms hereof.</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Federal Funds Effective Rate</w:t>
      </w:r>
      <w:r>
        <w:rPr>
          <w:color w:val="000000"/>
        </w:rPr>
        <w:t xml:space="preserve">” </w:t>
      </w:r>
      <w:r>
        <w:rPr>
          <w:rFonts w:ascii="Times New Roman;sans-serif" w:hAnsi="Times New Roman;sans-serif"/>
          <w:b w:val="false"/>
          <w:color w:val="000000"/>
          <w:sz w:val="24"/>
        </w:rPr>
        <w:t>means, for any day, an interest rate per annum equal to the weighted average of the rates on overnight federal funds transactions with members of the Federal Reserve System arranged by federal funds brokers on such day, as published for such day (or, if such day is not a Business Day, for the immediately preceding Business Day) by the Federal Reserve Bank of New York, or, if such rate is not so published for any day that is a Business Day, the average of the quotations at approximately 10:00 a.m. (Minneapolis time) on such day on such transactions received by the Administrative Agent from three federal funds brokers of recognized standing selected by the Administrative Agent in its sole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15975"/>
                <wp:effectExtent l="0" t="0" r="0" b="0"/>
                <wp:wrapNone/>
                <wp:docPr id="37" name="Frame3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color w:val="000000"/>
        </w:rPr>
        <w:t>“</w:t>
      </w:r>
      <w:r>
        <w:rPr>
          <w:rFonts w:ascii="Times New Roman;sans-serif" w:hAnsi="Times New Roman;sans-serif"/>
          <w:b w:val="false"/>
          <w:color w:val="000000"/>
          <w:sz w:val="24"/>
          <w:u w:val="single"/>
        </w:rPr>
        <w:t>Financial Contract</w:t>
      </w:r>
      <w:r>
        <w:rPr>
          <w:color w:val="000000"/>
        </w:rPr>
        <w:t xml:space="preserve">” </w:t>
      </w:r>
      <w:r>
        <w:rPr>
          <w:rFonts w:ascii="Times New Roman;sans-serif" w:hAnsi="Times New Roman;sans-serif"/>
          <w:b w:val="false"/>
          <w:color w:val="000000"/>
          <w:sz w:val="24"/>
        </w:rPr>
        <w:t>of a Person means (i) any exchange-traded 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over-the-counter futures, forward, swap or option contract or other financial instrument with similar characteristics or (ii) any Rate Management Transaction.</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Financed Premiums</w:t>
      </w:r>
      <w:r>
        <w:rPr>
          <w:color w:val="000000"/>
        </w:rPr>
        <w:t xml:space="preserve">” </w:t>
      </w:r>
      <w:r>
        <w:rPr>
          <w:rFonts w:ascii="Times New Roman;sans-serif" w:hAnsi="Times New Roman;sans-serif"/>
          <w:b w:val="false"/>
          <w:color w:val="000000"/>
          <w:sz w:val="24"/>
        </w:rPr>
        <w:t>is defined in Section 6.17(h).</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Fiscal Quarter</w:t>
      </w:r>
      <w:r>
        <w:rPr>
          <w:color w:val="000000"/>
        </w:rPr>
        <w:t xml:space="preserve">” </w:t>
      </w:r>
      <w:r>
        <w:rPr>
          <w:rFonts w:ascii="Times New Roman;sans-serif" w:hAnsi="Times New Roman;sans-serif"/>
          <w:b w:val="false"/>
          <w:color w:val="000000"/>
          <w:sz w:val="24"/>
        </w:rPr>
        <w:t xml:space="preserve">means the fiscal quarters of the Borrower as set forth in </w:t>
      </w:r>
      <w:r>
        <w:rPr>
          <w:rFonts w:ascii="Times New Roman;sans-serif" w:hAnsi="Times New Roman;sans-serif"/>
          <w:b w:val="false"/>
          <w:color w:val="000000"/>
          <w:sz w:val="24"/>
          <w:u w:val="single"/>
        </w:rPr>
        <w:t>Schedule</w:t>
      </w:r>
    </w:p>
    <w:p>
      <w:pPr>
        <w:pStyle w:val="TextBody"/>
        <w:bidi w:val="0"/>
        <w:spacing w:lineRule="auto" w:line="288" w:before="0" w:after="0"/>
        <w:jc w:val="left"/>
        <w:rPr/>
      </w:pPr>
      <w:r>
        <w:rPr>
          <w:rFonts w:ascii="Times New Roman;sans-serif" w:hAnsi="Times New Roman;sans-serif"/>
          <w:b w:val="false"/>
          <w:color w:val="000000"/>
          <w:sz w:val="24"/>
          <w:u w:val="single"/>
        </w:rPr>
        <w:t>2</w:t>
      </w:r>
      <w:r>
        <w:rPr>
          <w:rFonts w:ascii="Times New Roman;sans-serif" w:hAnsi="Times New Roman;sans-serif"/>
          <w:b w:val="false"/>
          <w:color w:val="000000"/>
          <w:sz w:val="24"/>
        </w:rPr>
        <w:t>.</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Fiscal Year</w:t>
      </w:r>
      <w:r>
        <w:rPr>
          <w:color w:val="000000"/>
        </w:rPr>
        <w:t xml:space="preserve">” </w:t>
      </w:r>
      <w:r>
        <w:rPr>
          <w:rFonts w:ascii="Times New Roman;sans-serif" w:hAnsi="Times New Roman;sans-serif"/>
          <w:b w:val="false"/>
          <w:color w:val="000000"/>
          <w:sz w:val="24"/>
        </w:rPr>
        <w:t xml:space="preserve">means the fiscal years of the Borrower as set forth on </w:t>
      </w:r>
      <w:r>
        <w:rPr>
          <w:rFonts w:ascii="Times New Roman;sans-serif" w:hAnsi="Times New Roman;sans-serif"/>
          <w:b w:val="false"/>
          <w:color w:val="000000"/>
          <w:sz w:val="24"/>
          <w:u w:val="single"/>
        </w:rPr>
        <w:t>Schedule 2</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Fixed Charge Coverage Ratio</w:t>
      </w:r>
      <w:r>
        <w:rPr>
          <w:color w:val="000000"/>
        </w:rPr>
        <w:t xml:space="preserve">” </w:t>
      </w:r>
      <w:r>
        <w:rPr>
          <w:rFonts w:ascii="Times New Roman;sans-serif" w:hAnsi="Times New Roman;sans-serif"/>
          <w:b w:val="false"/>
          <w:color w:val="000000"/>
          <w:sz w:val="24"/>
        </w:rPr>
        <w:t>means, for any period of determination, the ratio</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(a)EBITDAR for the four Fiscal Quarters ending on the last day of the period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(i) Restricted Payments paid in cash, (ii) taxes paid in cash, and</w:t>
      </w:r>
    </w:p>
    <w:p>
      <w:pPr>
        <w:pStyle w:val="TextBody"/>
        <w:bidi w:val="0"/>
        <w:spacing w:lineRule="auto" w:line="288" w:before="0" w:after="0"/>
        <w:ind w:left="0" w:right="0" w:hanging="414"/>
        <w:jc w:val="left"/>
        <w:rPr/>
      </w:pPr>
      <w:r>
        <w:rPr>
          <w:rFonts w:ascii="Times New Roman;sans-serif" w:hAnsi="Times New Roman;sans-serif"/>
          <w:b w:val="false"/>
          <w:strike/>
          <w:color w:val="000000"/>
          <w:sz w:val="24"/>
        </w:rPr>
        <w:t>(iii)</w:t>
      </w:r>
      <w:r>
        <w:rPr>
          <w:rFonts w:ascii="Times New Roman;sans-serif" w:hAnsi="Times New Roman;sans-serif"/>
          <w:b w:val="false"/>
          <w:color w:val="000000"/>
          <w:sz w:val="24"/>
        </w:rPr>
        <w:t>Maintenance Capital Expenditures;</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(b)the sum, without duplication, of Interest Expense paid in cash for such period,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rent and operating lease expenses,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all required scheduled principal payments with respect to Consolidated Indebtedness (including without limitation all payments with respect to Capitalized Lease Obligations of the Borrower and Subsidiaries), as such required payments may be reduced by the application of voluntary prepayments made pursuant to Section 2.5.</w:t>
      </w:r>
    </w:p>
    <w:p>
      <w:pPr>
        <w:pStyle w:val="TextBody"/>
        <w:bidi w:val="0"/>
        <w:spacing w:lineRule="auto" w:line="592" w:before="7" w:after="283"/>
        <w:ind w:left="0" w:right="0" w:hanging="720"/>
        <w:jc w:val="left"/>
        <w:rPr/>
      </w:pPr>
      <w:r>
        <w:rPr>
          <w:rFonts w:ascii="Times New Roman;sans-serif" w:hAnsi="Times New Roman;sans-serif"/>
          <w:b w:val="false"/>
          <w:color w:val="000000"/>
          <w:sz w:val="24"/>
        </w:rPr>
        <w:t>in each case determined for said period on a consolidated basis in accordance with GAAP. “</w:t>
      </w:r>
      <w:r>
        <w:rPr>
          <w:rFonts w:ascii="Times New Roman;sans-serif" w:hAnsi="Times New Roman;sans-serif"/>
          <w:b w:val="false"/>
          <w:color w:val="000000"/>
          <w:sz w:val="24"/>
          <w:u w:val="single"/>
        </w:rPr>
        <w:t>Floor</w:t>
      </w:r>
      <w:r>
        <w:rPr>
          <w:color w:val="000000"/>
        </w:rPr>
        <w:t xml:space="preserve">” </w:t>
      </w:r>
      <w:r>
        <w:rPr>
          <w:rFonts w:ascii="Times New Roman;sans-serif" w:hAnsi="Times New Roman;sans-serif"/>
          <w:b w:val="false"/>
          <w:color w:val="000000"/>
          <w:sz w:val="24"/>
        </w:rPr>
        <w:t>means zero as of the execution of this Agreement or any future benchmark</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rate floor, if any, included in any modification, amendment or renewal of this Agreement with respect to the Term SOFR Base Rate.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Foreign Lender</w:t>
      </w:r>
      <w:r>
        <w:rPr>
          <w:color w:val="000000"/>
        </w:rPr>
        <w:t xml:space="preserve">” </w:t>
      </w:r>
      <w:r>
        <w:rPr>
          <w:rFonts w:ascii="Times New Roman;sans-serif" w:hAnsi="Times New Roman;sans-serif"/>
          <w:b w:val="false"/>
          <w:color w:val="000000"/>
          <w:sz w:val="24"/>
        </w:rPr>
        <w:t>means (a) if the Borrower is a U.S. Person, a Lender that is not 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U.S. Person, and (b) if the Borrower is not a U.S. Person, a Lender that is resident or organized under the laws of a jurisdiction other than that in which the Borrower is resident for tax purposes.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Foreign Subsidiary</w:t>
      </w:r>
      <w:r>
        <w:rPr>
          <w:color w:val="000000"/>
        </w:rPr>
        <w:t xml:space="preserve">” </w:t>
      </w:r>
      <w:r>
        <w:rPr>
          <w:rFonts w:ascii="Times New Roman;sans-serif" w:hAnsi="Times New Roman;sans-serif"/>
          <w:b w:val="false"/>
          <w:color w:val="000000"/>
          <w:sz w:val="24"/>
        </w:rPr>
        <w:t>means any Subsidiary organized under the laws of a jurisdiction not located in the United States of America.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Fronting Exposure</w:t>
      </w:r>
      <w:r>
        <w:rPr>
          <w:color w:val="000000"/>
        </w:rPr>
        <w:t xml:space="preserve">” </w:t>
      </w:r>
      <w:r>
        <w:rPr>
          <w:rFonts w:ascii="Times New Roman;sans-serif" w:hAnsi="Times New Roman;sans-serif"/>
          <w:b w:val="false"/>
          <w:color w:val="000000"/>
          <w:sz w:val="24"/>
        </w:rPr>
        <w:t>means, at any time there is a Defaulting Lender, (a) with respect to any LC Issuer, such Defaulting Lender’s Revolving Percentage of the outstanding LC Obligations with respect to Facility LCs issued by such LC Issuer other than LC Obligations as to which such Defaulting Lender’s participation obligation has been reallocated to other Lenders or Cash Collateralized in accordance with the terms hereof, and (b) with respect to the Swing Line Lender, such Defaulting Lender’s Revolving Percentage of outstanding Swing Line Loans made by such Swing Line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15975"/>
                <wp:effectExtent l="0" t="0" r="0" b="0"/>
                <wp:wrapNone/>
                <wp:docPr id="38" name="Frame3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other than Swing Line Loans as to which such Defaulting Lender’s participation obligation has been reallocated to other Lenders.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Fund</w:t>
      </w:r>
      <w:r>
        <w:rPr>
          <w:color w:val="000000"/>
        </w:rPr>
        <w:t xml:space="preserve">” </w:t>
      </w:r>
      <w:r>
        <w:rPr>
          <w:rFonts w:ascii="Times New Roman;sans-serif" w:hAnsi="Times New Roman;sans-serif"/>
          <w:b w:val="false"/>
          <w:color w:val="000000"/>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generally accepted accounting principles as in effect from time to time in the United States, applied in a manner consistent with that used in preparing the financial statements referred to in Section 5.4.</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val="false"/>
          <w:color w:val="000000"/>
          <w:sz w:val="24"/>
          <w:u w:val="single"/>
        </w:rPr>
        <w:t>Guarantors</w:t>
      </w:r>
      <w:r>
        <w:rPr>
          <w:color w:val="000000"/>
        </w:rPr>
        <w:t xml:space="preserve">” </w:t>
      </w:r>
      <w:r>
        <w:rPr>
          <w:rFonts w:ascii="Times New Roman;sans-serif" w:hAnsi="Times New Roman;sans-serif"/>
          <w:b w:val="false"/>
          <w:color w:val="000000"/>
          <w:sz w:val="24"/>
        </w:rPr>
        <w:t>means all direct and indirect Material Domestic Subsidiaries of the Borrower (other than a Domestic Holdco Subsidiary or Domestic Subsidiary owned by a Foreign Subsidiary), and their respective successors and assigns.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Guaranty</w:t>
      </w:r>
      <w:r>
        <w:rPr>
          <w:color w:val="000000"/>
        </w:rPr>
        <w:t xml:space="preserve">” </w:t>
      </w:r>
      <w:r>
        <w:rPr>
          <w:rFonts w:ascii="Times New Roman;sans-serif" w:hAnsi="Times New Roman;sans-serif"/>
          <w:b w:val="false"/>
          <w:color w:val="000000"/>
          <w:sz w:val="24"/>
        </w:rPr>
        <w:t>means, collectively, one or more guaranties of each Guarantor, in the form or forms prescribed by the Administrative Agent, in favor of the Administrative Agent, for the ratable benefit of the Lenders, as amended or modified and in effect from time to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Hazardous Substances</w:t>
      </w:r>
      <w:r>
        <w:rPr>
          <w:color w:val="000000"/>
        </w:rPr>
        <w:t xml:space="preserve">” </w:t>
      </w:r>
      <w:r>
        <w:rPr>
          <w:rFonts w:ascii="Times New Roman;sans-serif" w:hAnsi="Times New Roman;sans-serif"/>
          <w:b w:val="false"/>
          <w:color w:val="000000"/>
          <w:sz w:val="24"/>
        </w:rPr>
        <w:t>means (i) any petroleum or petroleum products, radioactive materials, asbestos in any form that is or could become friable, urea formaldehyde foam insulation, dielectric fluid containing levels of polychlorinated biphenyls, radon gas and mold; and (ii) any chemicals, materials, pollutant or substances defined as or included in the definition of “hazardous substances,” “hazardous waste,” “hazardous materials,” “extremely hazardous substances,” “restricted hazardous waste,” “toxic substances,” “toxic pollutants,” “contaminants” or “pollutants” under any applicable Environmental Law.</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Highest Lawful Rate</w:t>
      </w:r>
      <w:r>
        <w:rPr>
          <w:color w:val="000000"/>
        </w:rPr>
        <w:t xml:space="preserve">” </w:t>
      </w:r>
      <w:r>
        <w:rPr>
          <w:rFonts w:ascii="Times New Roman;sans-serif" w:hAnsi="Times New Roman;sans-serif"/>
          <w:b w:val="false"/>
          <w:color w:val="000000"/>
          <w:sz w:val="24"/>
        </w:rPr>
        <w:t>means, on any day, the maximum non-usurious rate of interest permitted for that day by applicable federal or state law stated as a rate per annum.</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of a Person means such Person’s (i) obligations for borrowed money, (ii) obligations representing the deferred purchase price of Property or services</w:t>
      </w:r>
      <w:r>
        <w:rPr>
          <w:rFonts w:ascii="Times New Roman;sans-serif" w:hAnsi="Times New Roman;sans-serif"/>
          <w:b w:val="false"/>
          <w:color w:val="0000FF"/>
          <w:sz w:val="24"/>
          <w:u w:val="single"/>
        </w:rPr>
        <w:t>,</w:t>
      </w:r>
      <w:r>
        <w:rPr>
          <w:color w:val="0000FF"/>
        </w:rPr>
        <w:t xml:space="preserve"> </w:t>
      </w:r>
      <w:r>
        <w:rPr>
          <w:rFonts w:ascii="Times New Roman;sans-serif" w:hAnsi="Times New Roman;sans-serif"/>
          <w:b w:val="false"/>
          <w:color w:val="0000FF"/>
          <w:sz w:val="24"/>
          <w:u w:val="single"/>
        </w:rPr>
        <w:t>including any earnout obligations to the extent such earnout obligations have become</w:t>
      </w:r>
      <w:r>
        <w:rPr>
          <w:color w:val="0000FF"/>
        </w:rPr>
        <w:t xml:space="preserve"> </w:t>
      </w:r>
      <w:r>
        <w:rPr>
          <w:rFonts w:ascii="Times New Roman;sans-serif" w:hAnsi="Times New Roman;sans-serif"/>
          <w:b w:val="false"/>
          <w:color w:val="0000FF"/>
          <w:sz w:val="24"/>
          <w:u w:val="single"/>
        </w:rPr>
        <w:t>fixed, determinable and due and payable based upon final annual audited financial</w:t>
      </w:r>
      <w:r>
        <w:rPr>
          <w:color w:val="0000FF"/>
        </w:rPr>
        <w:t xml:space="preserve"> </w:t>
      </w:r>
      <w:r>
        <w:rPr>
          <w:rFonts w:ascii="Times New Roman;sans-serif" w:hAnsi="Times New Roman;sans-serif"/>
          <w:b w:val="false"/>
          <w:color w:val="0000FF"/>
          <w:sz w:val="24"/>
          <w:u w:val="single"/>
        </w:rPr>
        <w:t>statements</w:t>
      </w:r>
      <w:r>
        <w:rPr>
          <w:color w:val="0000FF"/>
        </w:rPr>
        <w:t xml:space="preserve"> </w:t>
      </w:r>
      <w:r>
        <w:rPr>
          <w:rFonts w:ascii="Times New Roman;sans-serif" w:hAnsi="Times New Roman;sans-serif"/>
          <w:b w:val="false"/>
          <w:color w:val="000000"/>
          <w:sz w:val="24"/>
        </w:rPr>
        <w:t>(other than accounts payable arising in the ordinary course of such Person’s business payable on terms customary in the trade</w:t>
      </w:r>
      <w:r>
        <w:rPr>
          <w:rFonts w:ascii="Times New Roman;sans-serif" w:hAnsi="Times New Roman;sans-serif"/>
          <w:b w:val="false"/>
          <w:color w:val="FF0000"/>
          <w:sz w:val="24"/>
        </w:rPr>
        <w:t xml:space="preserve">, </w:t>
      </w:r>
      <w:r>
        <w:rPr>
          <w:rFonts w:ascii="Times New Roman;sans-serif" w:hAnsi="Times New Roman;sans-serif"/>
          <w:b w:val="false"/>
          <w:color w:val="0000FF"/>
          <w:sz w:val="24"/>
          <w:u w:val="single"/>
        </w:rPr>
        <w:t>and</w:t>
      </w:r>
      <w:r>
        <w:rPr>
          <w:color w:val="0000FF"/>
        </w:rPr>
        <w:t xml:space="preserve"> </w:t>
      </w:r>
      <w:r>
        <w:rPr>
          <w:rFonts w:ascii="Times New Roman;sans-serif" w:hAnsi="Times New Roman;sans-serif"/>
          <w:b w:val="false"/>
          <w:color w:val="000000"/>
          <w:sz w:val="24"/>
        </w:rPr>
        <w:t>Working Capital Adjustments</w:t>
      </w:r>
      <w:r>
        <w:rPr>
          <w:strike/>
          <w:color w:val="FF0000"/>
        </w:rPr>
        <w:t xml:space="preserve"> </w:t>
      </w:r>
      <w:r>
        <w:rPr>
          <w:rFonts w:ascii="Times New Roman;sans-serif" w:hAnsi="Times New Roman;sans-serif"/>
          <w:b w:val="false"/>
          <w:strike/>
          <w:color w:val="FF0000"/>
          <w:sz w:val="24"/>
        </w:rPr>
        <w:t>or</w:t>
      </w:r>
      <w:r>
        <w:rPr>
          <w:color w:val="FF0000"/>
        </w:rPr>
        <w:t xml:space="preserve"> </w:t>
      </w:r>
      <w:r>
        <w:rPr>
          <w:rFonts w:ascii="Times New Roman;sans-serif" w:hAnsi="Times New Roman;sans-serif"/>
          <w:b w:val="false"/>
          <w:strike/>
          <w:color w:val="FF0000"/>
          <w:sz w:val="24"/>
        </w:rPr>
        <w:t>earn-out payments in the aggregate amount not to exceed $2,000,000 for such earn-out</w:t>
      </w:r>
      <w:r>
        <w:rPr>
          <w:color w:val="FF0000"/>
        </w:rPr>
        <w:t xml:space="preserve"> </w:t>
      </w:r>
      <w:r>
        <w:rPr>
          <w:rFonts w:ascii="Times New Roman;sans-serif" w:hAnsi="Times New Roman;sans-serif"/>
          <w:b w:val="false"/>
          <w:strike/>
          <w:color w:val="FF0000"/>
          <w:sz w:val="24"/>
        </w:rPr>
        <w:t>payments)</w:t>
      </w:r>
      <w:r>
        <w:rPr>
          <w:rFonts w:ascii="Times New Roman;sans-serif" w:hAnsi="Times New Roman;sans-serif"/>
          <w:b w:val="false"/>
          <w:color w:val="0000FF"/>
          <w:sz w:val="24"/>
          <w:u w:val="single"/>
        </w:rPr>
        <w:t xml:space="preserve">); </w:t>
      </w:r>
      <w:r>
        <w:rPr>
          <w:rFonts w:ascii="Times New Roman;sans-serif" w:hAnsi="Times New Roman;sans-serif"/>
          <w:b w:val="false"/>
          <w:i/>
          <w:color w:val="0000FF"/>
          <w:sz w:val="24"/>
          <w:u w:val="single"/>
        </w:rPr>
        <w:t xml:space="preserve">provided </w:t>
      </w:r>
      <w:r>
        <w:rPr>
          <w:rFonts w:ascii="Times New Roman;sans-serif" w:hAnsi="Times New Roman;sans-serif"/>
          <w:b w:val="false"/>
          <w:color w:val="0000FF"/>
          <w:sz w:val="24"/>
          <w:u w:val="single"/>
        </w:rPr>
        <w:t>that “Indebtedness” shall specifically exclude any Permitted</w:t>
      </w:r>
      <w:r>
        <w:rPr>
          <w:color w:val="0000FF"/>
        </w:rPr>
        <w:t xml:space="preserve"> </w:t>
      </w:r>
      <w:r>
        <w:rPr>
          <w:rFonts w:ascii="Times New Roman;sans-serif" w:hAnsi="Times New Roman;sans-serif"/>
          <w:b w:val="false"/>
          <w:color w:val="0000FF"/>
          <w:sz w:val="24"/>
          <w:u w:val="single"/>
        </w:rPr>
        <w:t>Earn-out Payment, unless such obligation is not paid after becoming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15975"/>
                <wp:effectExtent l="0" t="0" r="0" b="0"/>
                <wp:wrapNone/>
                <wp:docPr id="39" name="Frame3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FF"/>
          <w:sz w:val="24"/>
          <w:u w:val="single"/>
        </w:rPr>
        <w:t>under the terms of the applicable purchase agreement in connection with a Permitted</w:t>
      </w:r>
      <w:r>
        <w:rPr>
          <w:color w:val="0000FF"/>
        </w:rPr>
        <w:t xml:space="preserve"> </w:t>
      </w:r>
      <w:r>
        <w:rPr>
          <w:rFonts w:ascii="Times New Roman;sans-serif" w:hAnsi="Times New Roman;sans-serif"/>
          <w:b w:val="false"/>
          <w:color w:val="0000FF"/>
          <w:sz w:val="24"/>
          <w:u w:val="single"/>
        </w:rPr>
        <w:t>Acquisition</w:t>
      </w:r>
      <w:r>
        <w:rPr>
          <w:rFonts w:ascii="Times New Roman;sans-serif" w:hAnsi="Times New Roman;sans-serif"/>
          <w:b w:val="false"/>
          <w:color w:val="000000"/>
          <w:sz w:val="24"/>
        </w:rPr>
        <w:t>, (iii) obligations, whether or not assumed, secured by Liens or payable out of the proceeds or production from Property now or hereafter owned or acquired by such Person, (iv) obligations that are evidenced by notes, acceptances or other instruments,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 any capital securities or other equity instrument, whether or not mandatorily redeemable, that under GAAP is characterized as debt, whether pursuant to financial accounting standards board issuance No. 150 or otherwise, (vi) Capitalized Lease Obligations, (vii) obligations of such Person as an account party with respect to standby and commercial Letters of Credit, (viii) Contingent Obligations of such Person, (ix) Net Mark to Market Exposure under Financial Contracts, (x) Receivables Transaction Attributed Indebtedness, and (xi) any other obligation for borrowed money or other financial accommodation that in accordance with GAAP would be shown as a liability on the consolidated balance sheet of such Person.</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of the Borrower or Guarantor under any Loan Document and (b) to the extent not otherwise described in (a), Other Taxes.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Interest Expense</w:t>
      </w:r>
      <w:r>
        <w:rPr>
          <w:color w:val="000000"/>
        </w:rPr>
        <w:t xml:space="preserve">” </w:t>
      </w:r>
      <w:r>
        <w:rPr>
          <w:rFonts w:ascii="Times New Roman;sans-serif" w:hAnsi="Times New Roman;sans-serif"/>
          <w:b w:val="false"/>
          <w:color w:val="000000"/>
          <w:sz w:val="24"/>
        </w:rPr>
        <w:t>means, for any period of determination, the aggregate consolidated amount, without duplication, of interest paid, accrued or scheduled to be paid in respect of any Indebtedness of the Borrower and the Subsidiaries, including (a) all but the principal component of payments in respect of conditional sale contracts, Capitalized Leases and other title retention agreements, (b) commissions, discounts and other fees and charges with respect to Letters of Credit and bankers’ acceptance financings, (c) net costs under Rate Management Transactions, in each case determined in accordance with GAAP and (d) the amortization of debt issuance costs.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 xml:space="preserve">means, with respect to a Term SOFR Advance, a period of one, three or six months commencing on a Business Day selected by the Borrower pursuant to this Agreement. Such Interest Period shall end on the day that corresponds numerically to such date one, three, or six months thereafter,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if there is no such numerically corresponding day in such next, third, or sixth succeeding month, such Interest Period shall end on the last Business Day of such next, third, or sixth succeeding month. If an Interest Period would otherwise end on a day that is not a Business Day, such Interest Period shall end on the next succeeding Business Day,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if said next succeeding Business Day falls in a new calendar month, such Interest Period shall end on the immediately preceding Business Day.</w:t>
      </w:r>
    </w:p>
    <w:p>
      <w:pPr>
        <w:pStyle w:val="TextBody"/>
        <w:bidi w:val="0"/>
        <w:spacing w:lineRule="auto" w:line="288" w:before="240" w:after="283"/>
        <w:ind w:left="0" w:right="0" w:firstLine="720"/>
        <w:jc w:val="left"/>
        <w:rPr/>
      </w:pPr>
      <w:r>
        <w:rPr>
          <w:strike/>
          <w:color w:val="FF0000"/>
        </w:rPr>
        <w:t>“</w:t>
      </w:r>
      <w:r>
        <w:rPr>
          <w:rFonts w:ascii="Times New Roman;sans-serif" w:hAnsi="Times New Roman;sans-serif"/>
          <w:b w:val="false"/>
          <w:strike/>
          <w:color w:val="FF0000"/>
          <w:sz w:val="24"/>
          <w:u w:val="single"/>
        </w:rPr>
        <w:t>Initial Lenders</w:t>
      </w:r>
      <w:r>
        <w:rPr>
          <w:strike/>
          <w:color w:val="FF0000"/>
        </w:rPr>
        <w:t xml:space="preserve">” </w:t>
      </w:r>
      <w:r>
        <w:rPr>
          <w:rFonts w:ascii="Times New Roman;sans-serif" w:hAnsi="Times New Roman;sans-serif"/>
          <w:b w:val="false"/>
          <w:strike/>
          <w:color w:val="FF0000"/>
          <w:sz w:val="24"/>
        </w:rPr>
        <w:t>means U.S. Bank and JPMorgan, each in its capacity as a Lender</w:t>
      </w:r>
      <w:r>
        <w:rPr>
          <w:color w:val="FF0000"/>
        </w:rPr>
        <w:t xml:space="preserve"> </w:t>
      </w:r>
      <w:r>
        <w:rPr>
          <w:rFonts w:ascii="Times New Roman;sans-serif" w:hAnsi="Times New Roman;sans-serif"/>
          <w:b w:val="false"/>
          <w:strike/>
          <w:color w:val="FF0000"/>
          <w:sz w:val="24"/>
        </w:rPr>
        <w:t xml:space="preserve">but not including any successor Lender; </w:t>
      </w:r>
      <w:r>
        <w:rPr>
          <w:rFonts w:ascii="Times New Roman;sans-serif" w:hAnsi="Times New Roman;sans-serif"/>
          <w:b w:val="false"/>
          <w:i/>
          <w:strike/>
          <w:color w:val="FF0000"/>
          <w:sz w:val="24"/>
        </w:rPr>
        <w:t>provided</w:t>
      </w:r>
      <w:r>
        <w:rPr>
          <w:rFonts w:ascii="Times New Roman;sans-serif" w:hAnsi="Times New Roman;sans-serif"/>
          <w:b w:val="false"/>
          <w:strike/>
          <w:color w:val="FF0000"/>
          <w:sz w:val="24"/>
        </w:rPr>
        <w:t xml:space="preserve">, </w:t>
      </w:r>
      <w:r>
        <w:rPr>
          <w:rFonts w:ascii="Times New Roman;sans-serif" w:hAnsi="Times New Roman;sans-serif"/>
          <w:b w:val="false"/>
          <w:i/>
          <w:strike/>
          <w:color w:val="FF0000"/>
          <w:sz w:val="24"/>
        </w:rPr>
        <w:t>however</w:t>
      </w:r>
      <w:r>
        <w:rPr>
          <w:rFonts w:ascii="Times New Roman;sans-serif" w:hAnsi="Times New Roman;sans-serif"/>
          <w:b w:val="false"/>
          <w:strike/>
          <w:color w:val="FF0000"/>
          <w:sz w:val="24"/>
        </w:rPr>
        <w:t>, that if one of such Lenders</w:t>
      </w:r>
      <w:r>
        <w:rPr>
          <w:color w:val="FF0000"/>
        </w:rPr>
        <w:t xml:space="preserve"> </w:t>
      </w:r>
      <w:r>
        <w:rPr>
          <w:rFonts w:ascii="Times New Roman;sans-serif" w:hAnsi="Times New Roman;sans-serif"/>
          <w:b w:val="false"/>
          <w:strike/>
          <w:color w:val="FF0000"/>
          <w:sz w:val="24"/>
        </w:rPr>
        <w:t>shall no longer be a Lender under this Agreement, then “Initial Lenders” shall mean only</w:t>
      </w:r>
      <w:r>
        <w:rPr>
          <w:color w:val="FF0000"/>
        </w:rPr>
        <w:t xml:space="preserve"> </w:t>
      </w:r>
      <w:r>
        <w:rPr>
          <w:rFonts w:ascii="Times New Roman;sans-serif" w:hAnsi="Times New Roman;sans-serif"/>
          <w:b w:val="false"/>
          <w:strike/>
          <w:color w:val="FF0000"/>
          <w:sz w:val="24"/>
        </w:rPr>
        <w:t>such Lender that remains a Lender and if neither of such Lenders is a Lender under this</w:t>
      </w:r>
      <w:r>
        <w:rPr>
          <w:color w:val="FF0000"/>
        </w:rPr>
        <w:t xml:space="preserve"> </w:t>
      </w:r>
      <w:r>
        <w:rPr>
          <w:rFonts w:ascii="Times New Roman;sans-serif" w:hAnsi="Times New Roman;sans-serif"/>
          <w:b w:val="false"/>
          <w:strike/>
          <w:color w:val="FF0000"/>
          <w:sz w:val="24"/>
        </w:rPr>
        <w:t>Agreement, then the term “Initial Lenders” shall be deemed deleted in all places in this</w:t>
      </w:r>
      <w:r>
        <w:rPr>
          <w:color w:val="FF0000"/>
        </w:rPr>
        <w:t xml:space="preserve"> </w:t>
      </w:r>
      <w:r>
        <w:rPr>
          <w:rFonts w:ascii="Times New Roman;sans-serif" w:hAnsi="Times New Roman;sans-serif"/>
          <w:b w:val="false"/>
          <w:strike/>
          <w:color w:val="FF0000"/>
          <w:sz w:val="24"/>
        </w:rPr>
        <w:t xml:space="preserve">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15975"/>
                <wp:effectExtent l="0" t="0" r="0" b="0"/>
                <wp:wrapNone/>
                <wp:docPr id="40" name="Frame4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80"/>
        <w:jc w:val="left"/>
        <w:rPr/>
      </w:pPr>
      <w:r>
        <w:rPr>
          <w:color w:val="000000"/>
        </w:rPr>
        <w:t>“</w:t>
      </w:r>
      <w:r>
        <w:rPr>
          <w:rFonts w:ascii="Times New Roman;sans-serif" w:hAnsi="Times New Roman;sans-serif"/>
          <w:b w:val="false"/>
          <w:color w:val="000000"/>
          <w:sz w:val="24"/>
          <w:u w:val="single"/>
        </w:rPr>
        <w:t>Investment</w:t>
      </w:r>
      <w:r>
        <w:rPr>
          <w:color w:val="000000"/>
        </w:rPr>
        <w:t xml:space="preserve">” </w:t>
      </w:r>
      <w:r>
        <w:rPr>
          <w:rFonts w:ascii="Times New Roman;sans-serif" w:hAnsi="Times New Roman;sans-serif"/>
          <w:b w:val="false"/>
          <w:color w:val="000000"/>
          <w:sz w:val="24"/>
        </w:rPr>
        <w:t>of a Person means any loan, advance (other than commission, travel and similar advances to officers and employees made in the ordinary course of business), extension of credit (other than accounts receivable arising in the ordinary course of business on terms customary in the trade) or contribution of capital by such Person; stocks, bonds, mutual funds, partnership interests, notes, debentures or other securities (including warrants or options to purchase securities) owned by such Person; any deposit accounts and certificates of deposit owned by such Person; and structured notes, derivative financial instruments and other similar instruments or contracts (other than those arising in connection with Rate Management Transactions) owned by such Person.</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means the United States Internal Revenue Service.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JPMorgan</w:t>
      </w:r>
      <w:r>
        <w:rPr>
          <w:color w:val="000000"/>
        </w:rPr>
        <w:t xml:space="preserve">” </w:t>
      </w:r>
      <w:r>
        <w:rPr>
          <w:rFonts w:ascii="Times New Roman;sans-serif" w:hAnsi="Times New Roman;sans-serif"/>
          <w:b w:val="false"/>
          <w:color w:val="000000"/>
          <w:sz w:val="24"/>
        </w:rPr>
        <w:t>means JPMorgan Chase Bank, N.A., a national banking association in its individual capacity, and its successors.</w:t>
      </w:r>
    </w:p>
    <w:p>
      <w:pPr>
        <w:pStyle w:val="TextBody"/>
        <w:bidi w:val="0"/>
        <w:spacing w:lineRule="auto" w:line="288" w:before="241" w:after="283"/>
        <w:jc w:val="left"/>
        <w:rPr/>
      </w:pPr>
      <w:r>
        <w:rPr>
          <w:color w:val="000000"/>
        </w:rPr>
        <w:t>“</w:t>
      </w:r>
      <w:r>
        <w:rPr>
          <w:rFonts w:ascii="Times New Roman;sans-serif" w:hAnsi="Times New Roman;sans-serif"/>
          <w:b w:val="false"/>
          <w:color w:val="000000"/>
          <w:sz w:val="24"/>
          <w:u w:val="single"/>
        </w:rPr>
        <w:t>LC Fee</w:t>
      </w:r>
      <w:r>
        <w:rPr>
          <w:color w:val="000000"/>
        </w:rPr>
        <w:t xml:space="preserve">” </w:t>
      </w:r>
      <w:r>
        <w:rPr>
          <w:rFonts w:ascii="Times New Roman;sans-serif" w:hAnsi="Times New Roman;sans-serif"/>
          <w:b w:val="false"/>
          <w:color w:val="000000"/>
          <w:sz w:val="24"/>
        </w:rPr>
        <w:t>is defined in Section 2.17.4(b).</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LC Fronting Fee</w:t>
      </w:r>
      <w:r>
        <w:rPr>
          <w:color w:val="000000"/>
        </w:rPr>
        <w:t xml:space="preserve">” </w:t>
      </w:r>
      <w:r>
        <w:rPr>
          <w:rFonts w:ascii="Times New Roman;sans-serif" w:hAnsi="Times New Roman;sans-serif"/>
          <w:b w:val="false"/>
          <w:color w:val="000000"/>
          <w:sz w:val="24"/>
        </w:rPr>
        <w:t>is defined in Section 2.17.4(a).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LC Issuer</w:t>
      </w:r>
      <w:r>
        <w:rPr>
          <w:color w:val="000000"/>
        </w:rPr>
        <w:t xml:space="preserve">” </w:t>
      </w:r>
      <w:r>
        <w:rPr>
          <w:rFonts w:ascii="Times New Roman;sans-serif" w:hAnsi="Times New Roman;sans-serif"/>
          <w:b w:val="false"/>
          <w:color w:val="000000"/>
          <w:sz w:val="24"/>
        </w:rPr>
        <w:t>means U.S. Bank (or any subsidiary or affiliate of U.S. Bank designated by U.S. Bank) or JPMorgan (or any subsidiary or affiliate of JPMorgan designated by JPMorgan), each in its capacity as issuer of Facility LCs hereunder.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LC Obligations</w:t>
      </w:r>
      <w:r>
        <w:rPr>
          <w:color w:val="000000"/>
        </w:rPr>
        <w:t xml:space="preserve">” </w:t>
      </w:r>
      <w:r>
        <w:rPr>
          <w:rFonts w:ascii="Times New Roman;sans-serif" w:hAnsi="Times New Roman;sans-serif"/>
          <w:b w:val="false"/>
          <w:color w:val="000000"/>
          <w:sz w:val="24"/>
        </w:rPr>
        <w:t>means, at any time, the sum, without duplication, of (i) the aggregate undrawn stated amount under all Facility LCs outstanding at such time plus</w:t>
      </w:r>
    </w:p>
    <w:p>
      <w:pPr>
        <w:pStyle w:val="TextBody"/>
        <w:bidi w:val="0"/>
        <w:spacing w:lineRule="auto" w:line="520" w:before="0" w:after="0"/>
        <w:ind w:left="0" w:right="0" w:hanging="720"/>
        <w:jc w:val="left"/>
        <w:rPr/>
      </w:pPr>
      <w:r>
        <w:rPr>
          <w:rFonts w:ascii="Times New Roman;sans-serif" w:hAnsi="Times New Roman;sans-serif"/>
          <w:b w:val="false"/>
          <w:color w:val="000000"/>
          <w:sz w:val="24"/>
        </w:rPr>
        <w:t>(ii) the aggregate unpaid amount at such time of all Reimbursement Obligations. “</w:t>
      </w:r>
      <w:r>
        <w:rPr>
          <w:rFonts w:ascii="Times New Roman;sans-serif" w:hAnsi="Times New Roman;sans-serif"/>
          <w:b w:val="false"/>
          <w:color w:val="000000"/>
          <w:sz w:val="24"/>
          <w:u w:val="single"/>
        </w:rPr>
        <w:t>LC Payment Date</w:t>
      </w:r>
      <w:r>
        <w:rPr>
          <w:color w:val="000000"/>
        </w:rPr>
        <w:t xml:space="preserve">” </w:t>
      </w:r>
      <w:r>
        <w:rPr>
          <w:rFonts w:ascii="Times New Roman;sans-serif" w:hAnsi="Times New Roman;sans-serif"/>
          <w:b w:val="false"/>
          <w:color w:val="000000"/>
          <w:sz w:val="24"/>
        </w:rPr>
        <w:t>is defined in Section 2.17.5.</w:t>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Lender Party</w:t>
      </w:r>
      <w:r>
        <w:rPr>
          <w:color w:val="000000"/>
        </w:rPr>
        <w:t xml:space="preserve">” </w:t>
      </w:r>
      <w:r>
        <w:rPr>
          <w:rFonts w:ascii="Times New Roman;sans-serif" w:hAnsi="Times New Roman;sans-serif"/>
          <w:b w:val="false"/>
          <w:color w:val="000000"/>
          <w:sz w:val="24"/>
        </w:rPr>
        <w:t>is defined in Section 10.18(a).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Lenders</w:t>
      </w:r>
      <w:r>
        <w:rPr>
          <w:color w:val="000000"/>
        </w:rPr>
        <w:t xml:space="preserve">” </w:t>
      </w:r>
      <w:r>
        <w:rPr>
          <w:rFonts w:ascii="Times New Roman;sans-serif" w:hAnsi="Times New Roman;sans-serif"/>
          <w:b w:val="false"/>
          <w:color w:val="000000"/>
          <w:sz w:val="24"/>
        </w:rPr>
        <w:t>means the lending institutions listed on the signature pages of this Agreement and their respective permitted successors and assigns. Unless otherwise specified, the term “Lenders” includes U.S. Bank in its capacity as Swing Line Lender.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Lending Installation</w:t>
      </w:r>
      <w:r>
        <w:rPr>
          <w:color w:val="000000"/>
        </w:rPr>
        <w:t xml:space="preserve">” </w:t>
      </w:r>
      <w:r>
        <w:rPr>
          <w:rFonts w:ascii="Times New Roman;sans-serif" w:hAnsi="Times New Roman;sans-serif"/>
          <w:b w:val="false"/>
          <w:color w:val="000000"/>
          <w:sz w:val="24"/>
        </w:rPr>
        <w:t>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2.15.</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Letter of Credit</w:t>
      </w:r>
      <w:r>
        <w:rPr>
          <w:color w:val="000000"/>
        </w:rPr>
        <w:t xml:space="preserve">” </w:t>
      </w:r>
      <w:r>
        <w:rPr>
          <w:rFonts w:ascii="Times New Roman;sans-serif" w:hAnsi="Times New Roman;sans-serif"/>
          <w:b w:val="false"/>
          <w:color w:val="000000"/>
          <w:sz w:val="24"/>
        </w:rPr>
        <w:t>means a letter of credit or similar instrument that is issued upon the application of a Person, upon which a Person is an account party or for which a Person is in any way liable.</w:t>
      </w:r>
    </w:p>
    <w:p>
      <w:pPr>
        <w:pStyle w:val="TextBody"/>
        <w:bidi w:val="0"/>
        <w:spacing w:lineRule="auto" w:line="288" w:before="240" w:after="283"/>
        <w:jc w:val="left"/>
        <w:rPr>
          <w:color w:val="0000FF"/>
          <w:u w:val="single"/>
        </w:rPr>
      </w:pPr>
      <w:r>
        <w:rPr>
          <w:color w:val="0000FF"/>
          <w:u w:val="single"/>
        </w:rPr>
        <w:t>“</w:t>
      </w:r>
      <w:r>
        <w:rPr>
          <w:rFonts w:ascii="Times New Roman;sans-serif" w:hAnsi="Times New Roman;sans-serif"/>
          <w:b w:val="false"/>
          <w:color w:val="0000FF"/>
          <w:sz w:val="24"/>
          <w:u w:val="single"/>
        </w:rPr>
        <w:t>Leverage Increase Election” is defined in Section 6.31.2.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15975"/>
                <wp:effectExtent l="0" t="0" r="0" b="0"/>
                <wp:wrapNone/>
                <wp:docPr id="41" name="Frame4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lien (statutory or other), mortgage, pledge, hypothecation, assignment, deposit arrangement, encumbrance, priority or other security agreement or similar arrangement of any kind or nature whatsoever (including, without limitation, (a) the interest of a vendor or lessor under any conditional sale, Capitalized Lease or other title retention agreement or (b) assignment, sale or other disposition of any notes receivable or accounts receivable).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Loan</w:t>
      </w:r>
      <w:r>
        <w:rPr>
          <w:color w:val="000000"/>
        </w:rPr>
        <w:t xml:space="preserve">” </w:t>
      </w:r>
      <w:r>
        <w:rPr>
          <w:rFonts w:ascii="Times New Roman;sans-serif" w:hAnsi="Times New Roman;sans-serif"/>
          <w:b w:val="false"/>
          <w:color w:val="000000"/>
          <w:sz w:val="24"/>
        </w:rPr>
        <w:t>means a Revolving Loan or a Swing Line Loan.</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Loan Documents</w:t>
      </w:r>
      <w:r>
        <w:rPr>
          <w:color w:val="000000"/>
        </w:rPr>
        <w:t xml:space="preserve">” </w:t>
      </w:r>
      <w:r>
        <w:rPr>
          <w:rFonts w:ascii="Times New Roman;sans-serif" w:hAnsi="Times New Roman;sans-serif"/>
          <w:b w:val="false"/>
          <w:color w:val="000000"/>
          <w:sz w:val="24"/>
        </w:rPr>
        <w:t>means this Agreement, the Facility LC Applications, the Collateral Documents, the Guaranty, any note or notes executed by the Borrower in connection with this Agreement and payable to a Lender, and any other material agreement, now or in the future, executed by the Borrower and the Subsidiaries for the benefit of the Administrative Agent or any Lender in connection with this Agreement.</w:t>
      </w:r>
    </w:p>
    <w:p>
      <w:pPr>
        <w:pStyle w:val="TextBody"/>
        <w:bidi w:val="0"/>
        <w:spacing w:lineRule="auto" w:line="288" w:before="241" w:after="283"/>
        <w:jc w:val="left"/>
        <w:rPr/>
      </w:pPr>
      <w:r>
        <w:rPr>
          <w:color w:val="000000"/>
        </w:rPr>
        <w:t>“</w:t>
      </w:r>
      <w:r>
        <w:rPr>
          <w:rFonts w:ascii="Times New Roman;sans-serif" w:hAnsi="Times New Roman;sans-serif"/>
          <w:b w:val="false"/>
          <w:color w:val="000000"/>
          <w:sz w:val="24"/>
          <w:u w:val="single"/>
        </w:rPr>
        <w:t>Loan Party</w:t>
      </w:r>
      <w:r>
        <w:rPr>
          <w:color w:val="000000"/>
        </w:rPr>
        <w:t xml:space="preserve">” </w:t>
      </w:r>
      <w:r>
        <w:rPr>
          <w:rFonts w:ascii="Times New Roman;sans-serif" w:hAnsi="Times New Roman;sans-serif"/>
          <w:b w:val="false"/>
          <w:color w:val="000000"/>
          <w:sz w:val="24"/>
        </w:rPr>
        <w:t>means the Borrower and each Guarantor.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Maintenance Capital Expenditures</w:t>
      </w:r>
      <w:r>
        <w:rPr>
          <w:color w:val="000000"/>
        </w:rPr>
        <w:t xml:space="preserve">” </w:t>
      </w:r>
      <w:r>
        <w:rPr>
          <w:rFonts w:ascii="Times New Roman;sans-serif" w:hAnsi="Times New Roman;sans-serif"/>
          <w:b w:val="false"/>
          <w:color w:val="000000"/>
          <w:sz w:val="24"/>
        </w:rPr>
        <w:t>means an amount equal to 50% of the Borrower’s depreciation for such period.</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a material adverse effect on (i) the business, Property, financial condition or results of operations of the Borrower and the Subsidiaries taken as a whole, (ii) the ability of the Borrower and the Subsidiaries to perform its respective material obligations under the Loan Documents to which it is a party,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any Substantial Portion of the Collateral under the Collateral Documents or on the validity or enforceability of any of the Loan Documents or the rights or remedies of the Administrative Agent, the LC Issuers or the Lenders thereunder.</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Material Collateral Documents</w:t>
      </w:r>
      <w:r>
        <w:rPr>
          <w:color w:val="000000"/>
        </w:rPr>
        <w:t xml:space="preserve">” </w:t>
      </w:r>
      <w:r>
        <w:rPr>
          <w:rFonts w:ascii="Times New Roman;sans-serif" w:hAnsi="Times New Roman;sans-serif"/>
          <w:b w:val="false"/>
          <w:color w:val="000000"/>
          <w:sz w:val="24"/>
        </w:rPr>
        <w:t>is defined in Section 7.16.</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Material Domestic Subsidiary</w:t>
      </w:r>
      <w:r>
        <w:rPr>
          <w:color w:val="000000"/>
        </w:rPr>
        <w:t xml:space="preserve">” </w:t>
      </w:r>
      <w:r>
        <w:rPr>
          <w:rFonts w:ascii="Times New Roman;sans-serif" w:hAnsi="Times New Roman;sans-serif"/>
          <w:b w:val="false"/>
          <w:color w:val="000000"/>
          <w:sz w:val="24"/>
        </w:rPr>
        <w:t xml:space="preserve">means each Domestic Subsidiary (i) which, as of the most recent Fiscal Quarter of the Borrower, for the period of four (4) consecutive Fiscal Quarters then ended, for which financial statements have been delivered pursuant to Section 6.1, contributed greater than 5% of the Borrower’s Consolidated EBITDA for such period or (ii) which had consolidated assets greater than 5% of the Borrower’s total consolidated assets as of such date;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at any time the aggregate amount contributed to the Consolidated EBITDA by all Subsidiaries that are not Material Domestic Subsidiaries exceeds 10% of the Borrower’s Consolidated EBITDA for any such period, or the aggregate total consolidated assets of all Subsidiaries that are not Material Domestic Subsidiaries exceeds 10% of the Borrower’s total consolidated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15975"/>
                <wp:effectExtent l="0" t="0" r="0" b="0"/>
                <wp:wrapNone/>
                <wp:docPr id="42" name="Frame4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both"/>
        <w:rPr/>
      </w:pPr>
      <w:r>
        <w:rPr>
          <w:color w:val="000000"/>
        </w:rPr>
        <w:t>“</w:t>
      </w:r>
      <w:r>
        <w:rPr>
          <w:rFonts w:ascii="Times New Roman;sans-serif" w:hAnsi="Times New Roman;sans-serif"/>
          <w:b w:val="false"/>
          <w:color w:val="000000"/>
          <w:sz w:val="24"/>
          <w:u w:val="single"/>
        </w:rPr>
        <w:t>Material Indebtedness</w:t>
      </w:r>
      <w:r>
        <w:rPr>
          <w:color w:val="000000"/>
        </w:rPr>
        <w:t xml:space="preserve">” </w:t>
      </w:r>
      <w:r>
        <w:rPr>
          <w:rFonts w:ascii="Times New Roman;sans-serif" w:hAnsi="Times New Roman;sans-serif"/>
          <w:b w:val="false"/>
          <w:color w:val="000000"/>
          <w:sz w:val="24"/>
        </w:rPr>
        <w:t>means Indebtedness of the Borrower and the Subsidiaries in an outstanding principal amount of $</w:t>
      </w:r>
      <w:r>
        <w:rPr>
          <w:rFonts w:ascii="Times New Roman;sans-serif" w:hAnsi="Times New Roman;sans-serif"/>
          <w:b w:val="false"/>
          <w:strike/>
          <w:color w:val="FF0000"/>
          <w:sz w:val="24"/>
        </w:rPr>
        <w:t>2,500,000</w:t>
      </w:r>
      <w:r>
        <w:rPr>
          <w:rFonts w:ascii="Times New Roman;sans-serif" w:hAnsi="Times New Roman;sans-serif"/>
          <w:b w:val="false"/>
          <w:color w:val="0000FF"/>
          <w:sz w:val="24"/>
          <w:u w:val="single"/>
        </w:rPr>
        <w:t>10,000,000</w:t>
      </w:r>
      <w:r>
        <w:rPr>
          <w:color w:val="0000FF"/>
        </w:rPr>
        <w:t xml:space="preserve"> </w:t>
      </w:r>
      <w:r>
        <w:rPr>
          <w:rFonts w:ascii="Times New Roman;sans-serif" w:hAnsi="Times New Roman;sans-serif"/>
          <w:b w:val="false"/>
          <w:color w:val="000000"/>
          <w:sz w:val="24"/>
        </w:rPr>
        <w:t>or more in the aggregate (or the equivalent thereof in any currency other than Dollars).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Material Indebtedness Agreement</w:t>
      </w:r>
      <w:r>
        <w:rPr>
          <w:color w:val="000000"/>
        </w:rPr>
        <w:t xml:space="preserve">” </w:t>
      </w:r>
      <w:r>
        <w:rPr>
          <w:rFonts w:ascii="Times New Roman;sans-serif" w:hAnsi="Times New Roman;sans-serif"/>
          <w:b w:val="false"/>
          <w:color w:val="000000"/>
          <w:sz w:val="24"/>
        </w:rPr>
        <w:t>means any agreement under which any Material Indebtedness was created or is governed or that provides for the incurrence of Indebtedness in an amount that would constitute Material Indebtedness (whether or not an amount of Indebtedness constituting Material Indebtedness is outstanding thereunder).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Minimum Collateral Amount</w:t>
      </w:r>
      <w:r>
        <w:rPr>
          <w:color w:val="000000"/>
        </w:rPr>
        <w:t xml:space="preserve">” </w:t>
      </w:r>
      <w:r>
        <w:rPr>
          <w:rFonts w:ascii="Times New Roman;sans-serif" w:hAnsi="Times New Roman;sans-serif"/>
          <w:b w:val="false"/>
          <w:color w:val="000000"/>
          <w:sz w:val="24"/>
        </w:rPr>
        <w:t>means, at any time, (i) with respect to Cash Collateral consisting of cash or deposit account balances, an amount equal to 105% of the Fronting Exposure of all LC Issuers with respect to Facility LCs issued and outstanding at such time and (ii) otherwise, an amount determined by the Administrative Agent and the LC Issuers in their sole discretion.</w:t>
      </w:r>
    </w:p>
    <w:p>
      <w:pPr>
        <w:pStyle w:val="TextBody"/>
        <w:bidi w:val="0"/>
        <w:spacing w:lineRule="auto" w:line="520" w:before="241" w:after="283"/>
        <w:jc w:val="left"/>
        <w:rPr/>
      </w:pPr>
      <w:r>
        <w:rPr>
          <w:color w:val="000000"/>
        </w:rPr>
        <w:t>“</w:t>
      </w:r>
      <w:r>
        <w:rPr>
          <w:rFonts w:ascii="Times New Roman;sans-serif" w:hAnsi="Times New Roman;sans-serif"/>
          <w:b w:val="false"/>
          <w:color w:val="000000"/>
          <w:sz w:val="24"/>
          <w:u w:val="single"/>
        </w:rPr>
        <w:t>Modify</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Modification</w:t>
      </w:r>
      <w:r>
        <w:rPr>
          <w:color w:val="000000"/>
        </w:rPr>
        <w:t xml:space="preserve">” </w:t>
      </w:r>
      <w:r>
        <w:rPr>
          <w:rFonts w:ascii="Times New Roman;sans-serif" w:hAnsi="Times New Roman;sans-serif"/>
          <w:b w:val="false"/>
          <w:color w:val="000000"/>
          <w:sz w:val="24"/>
        </w:rPr>
        <w:t>are defined in Section 2.17.1. “</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means a Plan that is covered by Title IV of ERISA and that is maintained pursuant to a collective bargaining agreement or any other arrangement to which the Borrower or any member of the Controlled Group is a party to which more than one employer is obligated to make contributions.</w:t>
      </w:r>
    </w:p>
    <w:p>
      <w:pPr>
        <w:pStyle w:val="TextBody"/>
        <w:bidi w:val="0"/>
        <w:spacing w:lineRule="auto" w:line="288" w:before="239" w:after="283"/>
        <w:jc w:val="left"/>
        <w:rPr/>
      </w:pPr>
      <w:r>
        <w:rPr>
          <w:strike/>
          <w:color w:val="FF0000"/>
        </w:rPr>
        <w:t>“</w:t>
      </w:r>
      <w:r>
        <w:rPr>
          <w:rFonts w:ascii="Times New Roman;sans-serif" w:hAnsi="Times New Roman;sans-serif"/>
          <w:b w:val="false"/>
          <w:strike/>
          <w:color w:val="FF0000"/>
          <w:sz w:val="24"/>
          <w:u w:val="single"/>
        </w:rPr>
        <w:t>NAPCO</w:t>
      </w:r>
      <w:r>
        <w:rPr>
          <w:strike/>
          <w:color w:val="FF0000"/>
        </w:rPr>
        <w:t xml:space="preserve">” </w:t>
      </w:r>
      <w:r>
        <w:rPr>
          <w:rFonts w:ascii="Times New Roman;sans-serif" w:hAnsi="Times New Roman;sans-serif"/>
          <w:b w:val="false"/>
          <w:strike/>
          <w:color w:val="FF0000"/>
          <w:sz w:val="24"/>
        </w:rPr>
        <w:t>means NAPCO Chemical Company, Inc.</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Negative Pledge Agreement</w:t>
      </w:r>
      <w:r>
        <w:rPr>
          <w:color w:val="000000"/>
        </w:rPr>
        <w:t xml:space="preserve">” </w:t>
      </w:r>
      <w:r>
        <w:rPr>
          <w:rFonts w:ascii="Times New Roman;sans-serif" w:hAnsi="Times New Roman;sans-serif"/>
          <w:b w:val="false"/>
          <w:color w:val="000000"/>
          <w:sz w:val="24"/>
        </w:rPr>
        <w:t>means the Amended and Restated Negative Pledge Agreement dated as of the Restatement Date, given by the Borrower and each Material Domestic Subsidiary in favor of the Administrative Agent, as amended, restated, supplemented, or otherwise modified from time to time.</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Net Mark-to-Market Exposure</w:t>
      </w:r>
      <w:r>
        <w:rPr>
          <w:color w:val="000000"/>
        </w:rPr>
        <w:t xml:space="preserve">” </w:t>
      </w:r>
      <w:r>
        <w:rPr>
          <w:rFonts w:ascii="Times New Roman;sans-serif" w:hAnsi="Times New Roman;sans-serif"/>
          <w:b w:val="false"/>
          <w:color w:val="000000"/>
          <w:sz w:val="24"/>
        </w:rPr>
        <w:t>of a Person means, as of any date of determination, the excess (if any) of all unrealized losses over all unrealized profits of such Person arising from Rate Management Transactions. “unrealized losses” means the fair market value of the cost to such Person of replacing such Rate Management Transaction as of the date of determination (assuming the Rate Management Transaction were to be terminated as of that date), and “unrealized profits” means the fair market value of the gain to such Person of replacing such Rate Management Transaction as of the date of determination (assuming such Rate Management Transaction were to be terminated as of that date).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Non-Defaulting Lender</w:t>
      </w:r>
      <w:r>
        <w:rPr>
          <w:color w:val="000000"/>
        </w:rPr>
        <w:t xml:space="preserve">” </w:t>
      </w:r>
      <w:r>
        <w:rPr>
          <w:rFonts w:ascii="Times New Roman;sans-serif" w:hAnsi="Times New Roman;sans-serif"/>
          <w:b w:val="false"/>
          <w:color w:val="000000"/>
          <w:sz w:val="24"/>
        </w:rPr>
        <w:t>means, at any time, each Lender that is not a Defaulting Lender at such time.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Note</w:t>
      </w:r>
      <w:r>
        <w:rPr>
          <w:color w:val="000000"/>
        </w:rPr>
        <w:t xml:space="preserve">” </w:t>
      </w:r>
      <w:r>
        <w:rPr>
          <w:rFonts w:ascii="Times New Roman;sans-serif" w:hAnsi="Times New Roman;sans-serif"/>
          <w:b w:val="false"/>
          <w:color w:val="000000"/>
          <w:sz w:val="24"/>
        </w:rPr>
        <w:t>is defined in Section 2.11(d).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15975"/>
                <wp:effectExtent l="0" t="0" r="0" b="0"/>
                <wp:wrapNone/>
                <wp:docPr id="43" name="Frame4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color w:val="000000"/>
        </w:rPr>
        <w:t>“</w:t>
      </w:r>
      <w:r>
        <w:rPr>
          <w:rFonts w:ascii="Times New Roman;sans-serif" w:hAnsi="Times New Roman;sans-serif"/>
          <w:b w:val="false"/>
          <w:color w:val="000000"/>
          <w:sz w:val="24"/>
          <w:u w:val="single"/>
        </w:rPr>
        <w:t>NYESRA</w:t>
      </w:r>
      <w:r>
        <w:rPr>
          <w:color w:val="000000"/>
        </w:rPr>
        <w:t xml:space="preserve">” </w:t>
      </w:r>
      <w:r>
        <w:rPr>
          <w:rFonts w:ascii="Times New Roman;sans-serif" w:hAnsi="Times New Roman;sans-serif"/>
          <w:b w:val="false"/>
          <w:color w:val="000000"/>
          <w:sz w:val="24"/>
        </w:rPr>
        <w:t>means the New York State Electronic Signatures and Records Act, as amended from time to time, and any successor statute, and any regulations promulgated thereunder from time to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Obligations</w:t>
      </w:r>
      <w:r>
        <w:rPr>
          <w:color w:val="000000"/>
        </w:rPr>
        <w:t xml:space="preserve">” </w:t>
      </w:r>
      <w:r>
        <w:rPr>
          <w:rFonts w:ascii="Times New Roman;sans-serif" w:hAnsi="Times New Roman;sans-serif"/>
          <w:b w:val="false"/>
          <w:color w:val="000000"/>
          <w:sz w:val="24"/>
        </w:rPr>
        <w:t>means all unpaid principal of and accrued and unpaid interest on the Loans, all LC Obligations, all accrued and unpaid fees and all expenses, reimbursements, indemnities and other obligations of the Borrower and the Subsidiaries that are party to the Loan Documents to the Lenders or to any Lender, the Administrative Agent, the LC Issuers or any indemnified party arising under the Loan Documents (including interest and fees accruing during the pendency of any bankruptcy, insolvency, receivership or other similar proceeding, regardless of whether allowed or allowable in such proceeding), any Financial Contract between the Borrower or a Subsidiary and a Lender and permitted under Section 6.17(e) (including any such Rate Management Obligations owing to one or more Lenders or their Affiliates), and any Cash Management Services Agreement between the Borrower or a Subsidiary and a Lender; provided that the Obligations shall exclude all Excluded Swap Obligations.</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means the U.S. Department of the Treasury’s Office of Foreign Assets Control, and any successor thereto.</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Other Connection Taxes</w:t>
      </w:r>
      <w:r>
        <w:rPr>
          <w:color w:val="000000"/>
        </w:rPr>
        <w:t xml:space="preserve">” </w:t>
      </w:r>
      <w:r>
        <w:rPr>
          <w:rFonts w:ascii="Times New Roman;sans-serif" w:hAnsi="Times New Roman;sans-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Outstanding Credit Exposure</w:t>
      </w:r>
      <w:r>
        <w:rPr>
          <w:color w:val="000000"/>
        </w:rPr>
        <w:t xml:space="preserve">” </w:t>
      </w:r>
      <w:r>
        <w:rPr>
          <w:rFonts w:ascii="Times New Roman;sans-serif" w:hAnsi="Times New Roman;sans-serif"/>
          <w:b w:val="false"/>
          <w:color w:val="000000"/>
          <w:sz w:val="24"/>
        </w:rPr>
        <w:t>means, as to any Lender at any time, the sum of (i) the aggregate principal Dollar amount of its Revolving Loans outstanding at such time, plus (ii) an amount equal to its Revolving Percentage of the aggregate principal amount of Swing Line Loans outstanding at such time, plus (iii) an amount equal to its Revolving Percentage of the LC Obligations at such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PATRIOT Act</w:t>
      </w:r>
      <w:r>
        <w:rPr>
          <w:color w:val="000000"/>
        </w:rPr>
        <w:t xml:space="preserve">” </w:t>
      </w:r>
      <w:r>
        <w:rPr>
          <w:rFonts w:ascii="Times New Roman;sans-serif" w:hAnsi="Times New Roman;sans-serif"/>
          <w:b w:val="false"/>
          <w:color w:val="000000"/>
          <w:sz w:val="24"/>
        </w:rPr>
        <w:t>means the USA PATRIOT Act (Title III of Pub. L. 107-56 (signed into law October 26, 2001)), as amended from time to time, and any successor statute.</w:t>
      </w:r>
    </w:p>
    <w:p>
      <w:pPr>
        <w:pStyle w:val="TextBody"/>
        <w:bidi w:val="0"/>
        <w:spacing w:lineRule="auto" w:line="288" w:before="240" w:after="180"/>
        <w:jc w:val="left"/>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is defined in Section 12.2.4.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20" w:before="61" w:after="283"/>
        <w:jc w:val="left"/>
        <w:rPr/>
      </w:pPr>
      <w:r>
        <w:rPr>
          <w:color w:val="000000"/>
        </w:rPr>
        <w:t>“</w:t>
      </w:r>
      <w:r>
        <w:rPr>
          <w:rFonts w:ascii="Times New Roman;sans-serif" w:hAnsi="Times New Roman;sans-serif"/>
          <w:b w:val="false"/>
          <w:color w:val="000000"/>
          <w:sz w:val="24"/>
          <w:u w:val="single"/>
        </w:rPr>
        <w:t>Participants</w:t>
      </w:r>
      <w:r>
        <w:rPr>
          <w:color w:val="000000"/>
        </w:rPr>
        <w:t xml:space="preserve">” </w:t>
      </w:r>
      <w:r>
        <w:rPr>
          <w:rFonts w:ascii="Times New Roman;sans-serif" w:hAnsi="Times New Roman;sans-serif"/>
          <w:b w:val="false"/>
          <w:color w:val="000000"/>
          <w:sz w:val="24"/>
        </w:rPr>
        <w:t>is defined in Section 12.2.1. “</w:t>
      </w:r>
      <w:r>
        <w:rPr>
          <w:rFonts w:ascii="Times New Roman;sans-serif" w:hAnsi="Times New Roman;sans-serif"/>
          <w:b w:val="false"/>
          <w:color w:val="000000"/>
          <w:sz w:val="24"/>
          <w:u w:val="single"/>
        </w:rPr>
        <w:t>Payment Recipient</w:t>
      </w:r>
      <w:r>
        <w:rPr>
          <w:color w:val="000000"/>
        </w:rPr>
        <w:t xml:space="preserve">” </w:t>
      </w:r>
      <w:r>
        <w:rPr>
          <w:rFonts w:ascii="Times New Roman;sans-serif" w:hAnsi="Times New Roman;sans-serif"/>
          <w:b w:val="false"/>
          <w:color w:val="000000"/>
          <w:sz w:val="24"/>
        </w:rPr>
        <w:t>is defined in Section 10.18(a).</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means the Pension Benefit Guaranty Corporation,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5975"/>
                <wp:effectExtent l="0" t="0" r="0" b="0"/>
                <wp:wrapNone/>
                <wp:docPr id="44" name="Frame4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Permitted Acquisition</w:t>
      </w:r>
      <w:r>
        <w:rPr>
          <w:color w:val="000000"/>
        </w:rPr>
        <w:t xml:space="preserve">” </w:t>
      </w:r>
      <w:r>
        <w:rPr>
          <w:rFonts w:ascii="Times New Roman;sans-serif" w:hAnsi="Times New Roman;sans-serif"/>
          <w:b w:val="false"/>
          <w:color w:val="000000"/>
          <w:sz w:val="24"/>
        </w:rPr>
        <w:t xml:space="preserve">means any Acquisition made by the Borrower or any of its Subsidiaries, provided that, (a) as of the date of the consummation of such Acquisition, no Default or Event of Default shall have occurred and be continuing or would result from such Acquisition, and the representation and warranty in Section 5.11 shall be true both before and after giving effect to such Acquisition, (b) such Acquisition is consummated on a non-hostile basis pursuant to a negotiated acquisition agreement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(c) the business to be acquired in such Acquisition is in substantially the same line of business as the Borrower’s or any of the Subsidiaries or any business reasonably related thereto, (d) as of the date of the consummation of such Acquisition, all material approvals required in connection therewith shall have been obtained, (e) none of the entities that are targets of or material aspects of such Acquisition would qualify as a Foreign Subsidiary upon the consummation of such Acquisition, and (f) </w:t>
      </w:r>
      <w:r>
        <w:rPr>
          <w:rFonts w:ascii="Times New Roman;sans-serif" w:hAnsi="Times New Roman;sans-serif"/>
          <w:b w:val="false"/>
          <w:color w:val="0000FF"/>
          <w:sz w:val="24"/>
          <w:u w:val="single"/>
        </w:rPr>
        <w:t>if, in the</w:t>
      </w:r>
      <w:r>
        <w:rPr>
          <w:color w:val="0000FF"/>
        </w:rPr>
        <w:t xml:space="preserve"> </w:t>
      </w:r>
      <w:r>
        <w:rPr>
          <w:rFonts w:ascii="Times New Roman;sans-serif" w:hAnsi="Times New Roman;sans-serif"/>
          <w:b w:val="false"/>
          <w:color w:val="0000FF"/>
          <w:sz w:val="24"/>
          <w:u w:val="single"/>
        </w:rPr>
        <w:t>Borrower’s good faith business judgment, any additional Indebtedness being incurred in</w:t>
      </w:r>
      <w:r>
        <w:rPr>
          <w:color w:val="0000FF"/>
        </w:rPr>
        <w:t xml:space="preserve"> </w:t>
      </w:r>
      <w:r>
        <w:rPr>
          <w:rFonts w:ascii="Times New Roman;sans-serif" w:hAnsi="Times New Roman;sans-serif"/>
          <w:b w:val="false"/>
          <w:color w:val="0000FF"/>
          <w:sz w:val="24"/>
          <w:u w:val="single"/>
        </w:rPr>
        <w:t>connection with such Permitted Acquisition is likely to cause the Total Cash Flow</w:t>
      </w:r>
      <w:r>
        <w:rPr>
          <w:color w:val="0000FF"/>
        </w:rPr>
        <w:t xml:space="preserve"> </w:t>
      </w:r>
      <w:r>
        <w:rPr>
          <w:rFonts w:ascii="Times New Roman;sans-serif" w:hAnsi="Times New Roman;sans-serif"/>
          <w:b w:val="false"/>
          <w:color w:val="0000FF"/>
          <w:sz w:val="24"/>
          <w:u w:val="single"/>
        </w:rPr>
        <w:t>Leverage Ratio to exceed 3.0 to 1.00,</w:t>
      </w:r>
      <w:r>
        <w:rPr>
          <w:color w:val="0000FF"/>
        </w:rPr>
        <w:t xml:space="preserve"> </w:t>
      </w:r>
      <w:r>
        <w:rPr>
          <w:rFonts w:ascii="Times New Roman;sans-serif" w:hAnsi="Times New Roman;sans-serif"/>
          <w:b w:val="false"/>
          <w:color w:val="000000"/>
          <w:sz w:val="24"/>
        </w:rPr>
        <w:t xml:space="preserve">the Borrower shall have furnished to the Administrative Agent a certificate demonstrating in reasonable detail </w:t>
      </w:r>
      <w:r>
        <w:rPr>
          <w:rFonts w:ascii="Times New Roman;sans-serif" w:hAnsi="Times New Roman;sans-serif"/>
          <w:b w:val="false"/>
          <w:strike/>
          <w:color w:val="FF0000"/>
          <w:sz w:val="24"/>
        </w:rPr>
        <w:t>(i) a pro forma Total</w:t>
      </w:r>
      <w:r>
        <w:rPr>
          <w:color w:val="FF0000"/>
        </w:rPr>
        <w:t xml:space="preserve"> </w:t>
      </w:r>
      <w:r>
        <w:rPr>
          <w:rFonts w:ascii="Times New Roman;sans-serif" w:hAnsi="Times New Roman;sans-serif"/>
          <w:b w:val="false"/>
          <w:strike/>
          <w:color w:val="FF0000"/>
          <w:sz w:val="24"/>
        </w:rPr>
        <w:t>Cash Flow Leverage Ratio of less than or equal to 2.75 to 1.0 for the four (4) Fiscal</w:t>
      </w:r>
      <w:r>
        <w:rPr>
          <w:color w:val="FF0000"/>
        </w:rPr>
        <w:t xml:space="preserve"> </w:t>
      </w:r>
      <w:r>
        <w:rPr>
          <w:rFonts w:ascii="Times New Roman;sans-serif" w:hAnsi="Times New Roman;sans-serif"/>
          <w:b w:val="false"/>
          <w:strike/>
          <w:color w:val="FF0000"/>
          <w:sz w:val="24"/>
        </w:rPr>
        <w:t>Quarter periods most recently ended prior to the date of such Acquisition, and (ii)</w:t>
      </w:r>
      <w:r>
        <w:rPr>
          <w:color w:val="FF0000"/>
        </w:rPr>
        <w:t xml:space="preserve"> </w:t>
      </w:r>
      <w:r>
        <w:rPr>
          <w:rFonts w:ascii="Times New Roman;sans-serif" w:hAnsi="Times New Roman;sans-serif"/>
          <w:b w:val="false"/>
          <w:color w:val="000000"/>
          <w:sz w:val="24"/>
        </w:rPr>
        <w:t xml:space="preserve">pro forma compliance with the financial </w:t>
      </w:r>
      <w:r>
        <w:rPr>
          <w:rFonts w:ascii="Times New Roman;sans-serif" w:hAnsi="Times New Roman;sans-serif"/>
          <w:b w:val="false"/>
          <w:strike/>
          <w:color w:val="FF0000"/>
          <w:sz w:val="24"/>
        </w:rPr>
        <w:t>covenant</w:t>
      </w:r>
      <w:r>
        <w:rPr>
          <w:rFonts w:ascii="Times New Roman;sans-serif" w:hAnsi="Times New Roman;sans-serif"/>
          <w:b w:val="false"/>
          <w:color w:val="0000FF"/>
          <w:sz w:val="24"/>
          <w:u w:val="single"/>
        </w:rPr>
        <w:t>covenants</w:t>
      </w:r>
      <w:r>
        <w:rPr>
          <w:color w:val="0000FF"/>
        </w:rPr>
        <w:t xml:space="preserve"> </w:t>
      </w:r>
      <w:r>
        <w:rPr>
          <w:rFonts w:ascii="Times New Roman;sans-serif" w:hAnsi="Times New Roman;sans-serif"/>
          <w:b w:val="false"/>
          <w:color w:val="000000"/>
          <w:sz w:val="24"/>
        </w:rPr>
        <w:t xml:space="preserve">contained in </w:t>
      </w:r>
      <w:r>
        <w:rPr>
          <w:rFonts w:ascii="Times New Roman;sans-serif" w:hAnsi="Times New Roman;sans-serif"/>
          <w:b w:val="false"/>
          <w:strike/>
          <w:color w:val="FF0000"/>
          <w:sz w:val="24"/>
        </w:rPr>
        <w:t>Section</w:t>
      </w:r>
      <w:r>
        <w:rPr>
          <w:rFonts w:ascii="Times New Roman;sans-serif" w:hAnsi="Times New Roman;sans-serif"/>
          <w:b w:val="false"/>
          <w:color w:val="0000FF"/>
          <w:sz w:val="24"/>
          <w:u w:val="single"/>
        </w:rPr>
        <w:t>Sections</w:t>
      </w:r>
    </w:p>
    <w:p>
      <w:pPr>
        <w:pStyle w:val="TextBody"/>
        <w:bidi w:val="0"/>
        <w:spacing w:lineRule="auto" w:line="288" w:before="1" w:after="283"/>
        <w:jc w:val="left"/>
        <w:rPr/>
      </w:pPr>
      <w:r>
        <w:rPr>
          <w:rFonts w:ascii="Times New Roman;sans-serif" w:hAnsi="Times New Roman;sans-serif"/>
          <w:b w:val="false"/>
          <w:color w:val="000000"/>
          <w:sz w:val="24"/>
        </w:rPr>
        <w:t xml:space="preserve">6.31.1 </w:t>
      </w:r>
      <w:r>
        <w:rPr>
          <w:rFonts w:ascii="Times New Roman;sans-serif" w:hAnsi="Times New Roman;sans-serif"/>
          <w:b w:val="false"/>
          <w:color w:val="0000FF"/>
          <w:sz w:val="24"/>
          <w:u w:val="single"/>
        </w:rPr>
        <w:t>and Section 6.31.2</w:t>
      </w:r>
      <w:r>
        <w:rPr>
          <w:color w:val="0000FF"/>
        </w:rPr>
        <w:t xml:space="preserve"> </w:t>
      </w:r>
      <w:r>
        <w:rPr>
          <w:rFonts w:ascii="Times New Roman;sans-serif" w:hAnsi="Times New Roman;sans-serif"/>
          <w:b w:val="false"/>
          <w:color w:val="000000"/>
          <w:sz w:val="24"/>
        </w:rPr>
        <w:t>for such period, in each case, calculated as if such Acquisition, including the consideration therefor, had been consummated on the first day of such period.</w:t>
      </w:r>
    </w:p>
    <w:p>
      <w:pPr>
        <w:pStyle w:val="TextBody"/>
        <w:bidi w:val="0"/>
        <w:spacing w:lineRule="auto" w:line="288" w:before="240" w:after="283"/>
        <w:ind w:left="0" w:right="0" w:firstLine="720"/>
        <w:jc w:val="left"/>
        <w:rPr/>
      </w:pPr>
      <w:r>
        <w:rPr>
          <w:color w:val="0000FF"/>
          <w:u w:val="single"/>
        </w:rPr>
        <w:t>“</w:t>
      </w:r>
      <w:r>
        <w:rPr>
          <w:rFonts w:ascii="Times New Roman;sans-serif" w:hAnsi="Times New Roman;sans-serif"/>
          <w:b w:val="false"/>
          <w:color w:val="0000FF"/>
          <w:sz w:val="24"/>
          <w:u w:val="single"/>
        </w:rPr>
        <w:t>Permitted Earn-out” means any earn outs required to be paid in accordance with</w:t>
      </w:r>
      <w:r>
        <w:rPr>
          <w:color w:val="0000FF"/>
        </w:rPr>
        <w:t xml:space="preserve"> </w:t>
      </w:r>
      <w:r>
        <w:rPr>
          <w:rFonts w:ascii="Times New Roman;sans-serif" w:hAnsi="Times New Roman;sans-serif"/>
          <w:b w:val="false"/>
          <w:color w:val="0000FF"/>
          <w:sz w:val="24"/>
          <w:u w:val="single"/>
        </w:rPr>
        <w:t>terms and conditions of applicable purchase agreements in connection with Permitted</w:t>
      </w:r>
      <w:r>
        <w:rPr>
          <w:color w:val="0000FF"/>
        </w:rPr>
        <w:t xml:space="preserve"> </w:t>
      </w:r>
      <w:r>
        <w:rPr>
          <w:rFonts w:ascii="Times New Roman;sans-serif" w:hAnsi="Times New Roman;sans-serif"/>
          <w:b w:val="false"/>
          <w:color w:val="0000FF"/>
          <w:sz w:val="24"/>
          <w:u w:val="single"/>
        </w:rPr>
        <w:t>Acquisitions.</w:t>
      </w:r>
    </w:p>
    <w:p>
      <w:pPr>
        <w:pStyle w:val="TextBody"/>
        <w:bidi w:val="0"/>
        <w:spacing w:lineRule="auto" w:line="288" w:before="240" w:after="283"/>
        <w:ind w:left="0" w:right="0" w:firstLine="720"/>
        <w:jc w:val="left"/>
        <w:rPr/>
      </w:pPr>
      <w:r>
        <w:rPr>
          <w:color w:val="0000FF"/>
          <w:u w:val="single"/>
        </w:rPr>
        <w:t>“</w:t>
      </w:r>
      <w:r>
        <w:rPr>
          <w:rFonts w:ascii="Times New Roman;sans-serif" w:hAnsi="Times New Roman;sans-serif"/>
          <w:b w:val="false"/>
          <w:color w:val="0000FF"/>
          <w:sz w:val="24"/>
          <w:u w:val="single"/>
        </w:rPr>
        <w:t>Permitted Earn-out Payment” means the obligation of the Borrower to make</w:t>
      </w:r>
      <w:r>
        <w:rPr>
          <w:color w:val="0000FF"/>
        </w:rPr>
        <w:t xml:space="preserve"> </w:t>
      </w:r>
      <w:r>
        <w:rPr>
          <w:rFonts w:ascii="Times New Roman;sans-serif" w:hAnsi="Times New Roman;sans-serif"/>
          <w:b w:val="false"/>
          <w:color w:val="0000FF"/>
          <w:sz w:val="24"/>
          <w:u w:val="single"/>
        </w:rPr>
        <w:t>payments with respect to any Permitted Earn-out.</w:t>
      </w:r>
    </w:p>
    <w:p>
      <w:pPr>
        <w:pStyle w:val="TextBody"/>
        <w:bidi w:val="0"/>
        <w:spacing w:lineRule="auto" w:line="288" w:before="240" w:after="283"/>
        <w:ind w:left="0" w:right="0" w:firstLine="720"/>
        <w:jc w:val="left"/>
        <w:rPr/>
      </w:pPr>
      <w:r>
        <w:rPr>
          <w:color w:val="0000FF"/>
          <w:u w:val="single"/>
        </w:rPr>
        <w:t>“</w:t>
      </w:r>
      <w:r>
        <w:rPr>
          <w:rFonts w:ascii="Times New Roman;sans-serif" w:hAnsi="Times New Roman;sans-serif"/>
          <w:b w:val="false"/>
          <w:color w:val="0000FF"/>
          <w:sz w:val="24"/>
          <w:u w:val="single"/>
        </w:rPr>
        <w:t>Permitted Earn-out Payment Conditions” means, on any proposed payment date</w:t>
      </w:r>
      <w:r>
        <w:rPr>
          <w:color w:val="0000FF"/>
        </w:rPr>
        <w:t xml:space="preserve"> </w:t>
      </w:r>
      <w:r>
        <w:rPr>
          <w:rFonts w:ascii="Times New Roman;sans-serif" w:hAnsi="Times New Roman;sans-serif"/>
          <w:b w:val="false"/>
          <w:color w:val="0000FF"/>
          <w:sz w:val="24"/>
          <w:u w:val="single"/>
        </w:rPr>
        <w:t xml:space="preserve">for making a Permitted Earn-out Payment, (i) the Borrower is in </w:t>
      </w:r>
      <w:r>
        <w:rPr>
          <w:rFonts w:ascii="Times New Roman;sans-serif" w:hAnsi="Times New Roman;sans-serif"/>
          <w:b w:val="false"/>
          <w:i/>
          <w:color w:val="0000FF"/>
          <w:sz w:val="24"/>
          <w:u w:val="single"/>
        </w:rPr>
        <w:t xml:space="preserve">pro forma </w:t>
      </w:r>
      <w:r>
        <w:rPr>
          <w:rFonts w:ascii="Times New Roman;sans-serif" w:hAnsi="Times New Roman;sans-serif"/>
          <w:b w:val="false"/>
          <w:color w:val="0000FF"/>
          <w:sz w:val="24"/>
          <w:u w:val="single"/>
        </w:rPr>
        <w:t>compliance</w:t>
      </w:r>
      <w:r>
        <w:rPr>
          <w:color w:val="0000FF"/>
        </w:rPr>
        <w:t xml:space="preserve"> </w:t>
      </w:r>
      <w:r>
        <w:rPr>
          <w:rFonts w:ascii="Times New Roman;sans-serif" w:hAnsi="Times New Roman;sans-serif"/>
          <w:b w:val="false"/>
          <w:color w:val="0000FF"/>
          <w:sz w:val="24"/>
          <w:u w:val="single"/>
        </w:rPr>
        <w:t>with Section 6.31 of this Agreement for the applicable first quarter being tested,</w:t>
      </w:r>
      <w:r>
        <w:rPr>
          <w:color w:val="0000FF"/>
        </w:rPr>
        <w:t xml:space="preserve"> </w:t>
      </w:r>
      <w:r>
        <w:rPr>
          <w:rFonts w:ascii="Times New Roman;sans-serif" w:hAnsi="Times New Roman;sans-serif"/>
          <w:b w:val="false"/>
          <w:color w:val="0000FF"/>
          <w:sz w:val="24"/>
          <w:u w:val="single"/>
        </w:rPr>
        <w:t>determined as if the proposed Permitted Earn-out Payment was made as of the last day of</w:t>
      </w:r>
      <w:r>
        <w:rPr>
          <w:color w:val="0000FF"/>
        </w:rPr>
        <w:t xml:space="preserve"> </w:t>
      </w:r>
      <w:r>
        <w:rPr>
          <w:rFonts w:ascii="Times New Roman;sans-serif" w:hAnsi="Times New Roman;sans-serif"/>
          <w:b w:val="false"/>
          <w:color w:val="0000FF"/>
          <w:sz w:val="24"/>
          <w:u w:val="single"/>
        </w:rPr>
        <w:t>the most recently completed fiscal quarter for which a Compliance Certificate has been</w:t>
      </w:r>
      <w:r>
        <w:rPr>
          <w:color w:val="0000FF"/>
        </w:rPr>
        <w:t xml:space="preserve"> </w:t>
      </w:r>
      <w:r>
        <w:rPr>
          <w:rFonts w:ascii="Times New Roman;sans-serif" w:hAnsi="Times New Roman;sans-serif"/>
          <w:b w:val="false"/>
          <w:color w:val="0000FF"/>
          <w:sz w:val="24"/>
          <w:u w:val="single"/>
        </w:rPr>
        <w:t>delivered, (ii) no Default or Event of Default has occurred and is continuing or could</w:t>
      </w:r>
      <w:r>
        <w:rPr>
          <w:color w:val="0000FF"/>
        </w:rPr>
        <w:t xml:space="preserve"> </w:t>
      </w:r>
      <w:r>
        <w:rPr>
          <w:rFonts w:ascii="Times New Roman;sans-serif" w:hAnsi="Times New Roman;sans-serif"/>
          <w:b w:val="false"/>
          <w:color w:val="0000FF"/>
          <w:sz w:val="24"/>
          <w:u w:val="single"/>
        </w:rPr>
        <w:t xml:space="preserve">result from the making of such Permitted Earn-out Payment, and (iii) the Borrower 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1" w:after="283"/>
        <w:jc w:val="left"/>
        <w:rPr/>
      </w:pPr>
      <w:r>
        <w:rPr>
          <w:rFonts w:ascii="Times New Roman;sans-serif" w:hAnsi="Times New Roman;sans-serif"/>
          <w:b w:val="false"/>
          <w:color w:val="0000FF"/>
          <w:sz w:val="24"/>
          <w:u w:val="single"/>
        </w:rPr>
        <w:t>required to pay the Permitted Earn-out Payment pursuant to and in accordance with, as</w:t>
      </w:r>
      <w:r>
        <w:rPr>
          <w:color w:val="0000FF"/>
        </w:rPr>
        <w:t xml:space="preserve"> </w:t>
      </w:r>
      <w:r>
        <w:rPr>
          <w:rFonts w:ascii="Times New Roman;sans-serif" w:hAnsi="Times New Roman;sans-serif"/>
          <w:b w:val="false"/>
          <w:color w:val="0000FF"/>
          <w:sz w:val="24"/>
          <w:u w:val="single"/>
        </w:rPr>
        <w:t>applicable, the terms and conditions of the respective purchase agreement in connection</w:t>
      </w:r>
      <w:r>
        <w:rPr>
          <w:color w:val="0000FF"/>
        </w:rPr>
        <w:t xml:space="preserve"> </w:t>
      </w:r>
      <w:r>
        <w:rPr>
          <w:rFonts w:ascii="Times New Roman;sans-serif" w:hAnsi="Times New Roman;sans-serif"/>
          <w:b w:val="false"/>
          <w:color w:val="0000FF"/>
          <w:sz w:val="24"/>
          <w:u w:val="single"/>
        </w:rPr>
        <w:t>with Permitted Acquisitions.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natural person, corporation, firm, joint venture, partnership, limited liability company, association, enterprise, trust or other entity or organization or government or political subdivision or any agency, department or instrumentality thereof.</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 xml:space="preserve">means an employee pension benefit plan that is covered by Title IV of ERISA or subject to the minimum funding standards under § 412 of the Code as to which the Borrower or any member of the Controlled Group may have any liability;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Plan shall not include a Multiemployer Plan.</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5975"/>
                <wp:effectExtent l="0" t="0" r="0" b="0"/>
                <wp:wrapNone/>
                <wp:docPr id="45" name="Frame4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Pricing Schedule</w:t>
      </w:r>
      <w:r>
        <w:rPr>
          <w:color w:val="000000"/>
        </w:rPr>
        <w:t xml:space="preserve">” </w:t>
      </w:r>
      <w:r>
        <w:rPr>
          <w:rFonts w:ascii="Times New Roman;sans-serif" w:hAnsi="Times New Roman;sans-serif"/>
          <w:b w:val="false"/>
          <w:color w:val="000000"/>
          <w:sz w:val="24"/>
        </w:rPr>
        <w:t>means the Schedule attached hereto identified as such. “</w:t>
      </w:r>
      <w:r>
        <w:rPr>
          <w:rFonts w:ascii="Times New Roman;sans-serif" w:hAnsi="Times New Roman;sans-serif"/>
          <w:b w:val="false"/>
          <w:color w:val="000000"/>
          <w:sz w:val="24"/>
          <w:u w:val="single"/>
        </w:rPr>
        <w:t>Primary Cash Management Accounts</w:t>
      </w:r>
      <w:r>
        <w:rPr>
          <w:color w:val="000000"/>
        </w:rPr>
        <w:t xml:space="preserve">” </w:t>
      </w:r>
      <w:r>
        <w:rPr>
          <w:rFonts w:ascii="Times New Roman;sans-serif" w:hAnsi="Times New Roman;sans-serif"/>
          <w:b w:val="false"/>
          <w:color w:val="000000"/>
          <w:sz w:val="24"/>
        </w:rPr>
        <w:t>is defined in Section 6.16(b).</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means a rate per annum equal to the prime rate of interest announced from time to time by U.S. Bank or its parent (which is not necessarily the lowest rate charged to any customer), changing when and as said prime rate changes.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Pro Rata Share</w:t>
      </w:r>
      <w:r>
        <w:rPr>
          <w:color w:val="000000"/>
        </w:rPr>
        <w:t xml:space="preserve">” </w:t>
      </w:r>
      <w:r>
        <w:rPr>
          <w:rFonts w:ascii="Times New Roman;sans-serif" w:hAnsi="Times New Roman;sans-serif"/>
          <w:b w:val="false"/>
          <w:color w:val="000000"/>
          <w:sz w:val="24"/>
        </w:rPr>
        <w:t xml:space="preserve">means, with respect to a Lender, a portion equal to a fraction the numerator of which is such Lender’s Commitment and the denominator of which is the Aggregate Commitment,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if all of the Commitments are terminated pursuant to the terms of this Agreement, the “Pro Rata Share” means the percentage obtained by dividing (a) such Lender’s Outstanding Credit Exposure at such time by</w:t>
      </w:r>
    </w:p>
    <w:p>
      <w:pPr>
        <w:pStyle w:val="TextBody"/>
        <w:bidi w:val="0"/>
        <w:spacing w:lineRule="auto" w:line="288" w:before="1" w:after="283"/>
        <w:jc w:val="left"/>
        <w:rPr/>
      </w:pPr>
      <w:r>
        <w:rPr>
          <w:rFonts w:ascii="Times New Roman;sans-serif" w:hAnsi="Times New Roman;sans-serif"/>
          <w:b w:val="false"/>
          <w:color w:val="000000"/>
          <w:sz w:val="24"/>
        </w:rPr>
        <w:t xml:space="preserve">(b) the Aggregate Outstanding Credit Exposure at such time;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when a Defaulting Lender exists, “Pro Rata Share” shall mean the percentage of the Aggregate Commitment (disregarding any Defaulting Lender’s Commitment) represented by such Lender’s Commitment. If the Commitments have terminated or expired, the Pro Rata Shares shall be determined based upon the Commitments most recently in effect, giving effect to any assignments.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Prohibited Transaction</w:t>
      </w:r>
      <w:r>
        <w:rPr>
          <w:color w:val="000000"/>
        </w:rPr>
        <w:t xml:space="preserve">” </w:t>
      </w:r>
      <w:r>
        <w:rPr>
          <w:rFonts w:ascii="Times New Roman;sans-serif" w:hAnsi="Times New Roman;sans-serif"/>
          <w:b w:val="false"/>
          <w:color w:val="000000"/>
          <w:sz w:val="24"/>
        </w:rPr>
        <w:t>has the meanings given in § 4975 of the Code and § 406 of ERISA.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Property</w:t>
      </w:r>
      <w:r>
        <w:rPr>
          <w:color w:val="000000"/>
        </w:rPr>
        <w:t xml:space="preserve">” </w:t>
      </w:r>
      <w:r>
        <w:rPr>
          <w:rFonts w:ascii="Times New Roman;sans-serif" w:hAnsi="Times New Roman;sans-serif"/>
          <w:b w:val="false"/>
          <w:color w:val="000000"/>
          <w:sz w:val="24"/>
        </w:rPr>
        <w:t>of a Person means any and all property, whether real, personal, tangible, intangible or mixed, of such Person, or other assets owned, leased or operated by such Person. For the avoidance of doubt, “Property” of any Person shall not include Equity Interests issued by such Person.</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Purchasers</w:t>
      </w:r>
      <w:r>
        <w:rPr>
          <w:color w:val="000000"/>
        </w:rPr>
        <w:t xml:space="preserve">” </w:t>
      </w:r>
      <w:r>
        <w:rPr>
          <w:rFonts w:ascii="Times New Roman;sans-serif" w:hAnsi="Times New Roman;sans-serif"/>
          <w:b w:val="false"/>
          <w:color w:val="000000"/>
          <w:sz w:val="24"/>
        </w:rPr>
        <w:t>is defined in Section 12.3.1.</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Quotation Date</w:t>
      </w:r>
      <w:r>
        <w:rPr>
          <w:color w:val="000000"/>
        </w:rPr>
        <w:t xml:space="preserve">” </w:t>
      </w:r>
      <w:r>
        <w:rPr>
          <w:rFonts w:ascii="Times New Roman;sans-serif" w:hAnsi="Times New Roman;sans-serif"/>
          <w:b w:val="false"/>
          <w:color w:val="000000"/>
          <w:sz w:val="24"/>
        </w:rPr>
        <w:t>means, in relation to any Interest Period for which an interest rate is to be determined, two Business Days before the first day of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5975"/>
                <wp:effectExtent l="0" t="0" r="0" b="0"/>
                <wp:wrapNone/>
                <wp:docPr id="46" name="Frame4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color w:val="000000"/>
        </w:rPr>
        <w:t>“</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 5390(c)(8)(D).</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is defined in Section 9.16.</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Qualified Receivables Transaction</w:t>
      </w:r>
      <w:r>
        <w:rPr>
          <w:color w:val="000000"/>
        </w:rPr>
        <w:t xml:space="preserve">” </w:t>
      </w:r>
      <w:r>
        <w:rPr>
          <w:rFonts w:ascii="Times New Roman;sans-serif" w:hAnsi="Times New Roman;sans-serif"/>
          <w:b w:val="false"/>
          <w:color w:val="000000"/>
          <w:sz w:val="24"/>
        </w:rPr>
        <w:t>means any transaction or series of transactions entered into by the Borrower or any Subsidiary pursuant to which the Borrower or any Subsidiary may sell, convey or otherwise transfer any accounts or notes receivable and rights related thereto and with respect to which (a) all of the terms and conditions of such transaction or series of transactions, including without limitation the amount and type of any recourse to the Borrower or any Subsidiary with respect to the Property transferred, are acceptable to the Administrative Agent in its reasonable discretion, and (b) the Receivables Transaction Attributed Indebtedness does not exceed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$10,000,000.</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Rate Management Obligations</w:t>
      </w:r>
      <w:r>
        <w:rPr>
          <w:color w:val="000000"/>
        </w:rPr>
        <w:t xml:space="preserve">” </w:t>
      </w:r>
      <w:r>
        <w:rPr>
          <w:rFonts w:ascii="Times New Roman;sans-serif" w:hAnsi="Times New Roman;sans-serif"/>
          <w:b w:val="false"/>
          <w:color w:val="000000"/>
          <w:sz w:val="24"/>
        </w:rPr>
        <w:t>of a Person means any and all obligations of such Person, whether absolute or contingent and howsoever and whensoever created, arising, evidenced or acquired (including all renewals, extensions and modifications thereof and substitutions therefor), under (i) any and all Rate Management Transactions, and (ii) any and all cancellations, buy backs, reversals, terminations or assignments of any Rate Management Transactions.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Rate Management Transaction</w:t>
      </w:r>
      <w:r>
        <w:rPr>
          <w:color w:val="000000"/>
        </w:rPr>
        <w:t xml:space="preserve">” </w:t>
      </w:r>
      <w:r>
        <w:rPr>
          <w:rFonts w:ascii="Times New Roman;sans-serif" w:hAnsi="Times New Roman;sans-serif"/>
          <w:b w:val="false"/>
          <w:color w:val="000000"/>
          <w:sz w:val="24"/>
        </w:rPr>
        <w:t>means any transaction (including an agreement with respect thereto) now existing or hereafter entered by the Borrower or the Subsidiaries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commodity prices, equity prices or other financial measures.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Receivables Transaction Attributed Indebtedness</w:t>
      </w:r>
      <w:r>
        <w:rPr>
          <w:color w:val="000000"/>
        </w:rPr>
        <w:t xml:space="preserve">” </w:t>
      </w:r>
      <w:r>
        <w:rPr>
          <w:rFonts w:ascii="Times New Roman;sans-serif" w:hAnsi="Times New Roman;sans-serif"/>
          <w:b w:val="false"/>
          <w:color w:val="000000"/>
          <w:sz w:val="24"/>
        </w:rPr>
        <w:t>means the amount of obligations outstanding under the legal documents entered into as part of any Qualified Receivables Transaction on any date of determination that would be characterized as principal if such Qualified Receivables Transaction were structured as a secured lending transaction rather than as a purchase.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Recipient</w:t>
      </w:r>
      <w:r>
        <w:rPr>
          <w:color w:val="000000"/>
        </w:rPr>
        <w:t xml:space="preserve">” </w:t>
      </w:r>
      <w:r>
        <w:rPr>
          <w:rFonts w:ascii="Times New Roman;sans-serif" w:hAnsi="Times New Roman;sans-serif"/>
          <w:b w:val="false"/>
          <w:color w:val="000000"/>
          <w:sz w:val="24"/>
        </w:rPr>
        <w:t>means (a) the Administrative Agent, (b) any Lender, and (c) an LC Issuer, as applicable.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Regulation D</w:t>
      </w:r>
      <w:r>
        <w:rPr>
          <w:color w:val="000000"/>
        </w:rPr>
        <w:t xml:space="preserve">” </w:t>
      </w:r>
      <w:r>
        <w:rPr>
          <w:rFonts w:ascii="Times New Roman;sans-serif" w:hAnsi="Times New Roman;sans-serif"/>
          <w:b w:val="false"/>
          <w:color w:val="000000"/>
          <w:sz w:val="24"/>
        </w:rPr>
        <w:t>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5975"/>
                <wp:effectExtent l="0" t="0" r="0" b="0"/>
                <wp:wrapNone/>
                <wp:docPr id="47" name="Frame4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color w:val="000000"/>
        </w:rPr>
        <w:t>“</w:t>
      </w:r>
      <w:r>
        <w:rPr>
          <w:rFonts w:ascii="Times New Roman;sans-serif" w:hAnsi="Times New Roman;sans-serif"/>
          <w:b w:val="false"/>
          <w:color w:val="000000"/>
          <w:sz w:val="24"/>
          <w:u w:val="single"/>
        </w:rPr>
        <w:t>Regulation U</w:t>
      </w:r>
      <w:r>
        <w:rPr>
          <w:color w:val="000000"/>
        </w:rPr>
        <w:t xml:space="preserve">” </w:t>
      </w:r>
      <w:r>
        <w:rPr>
          <w:rFonts w:ascii="Times New Roman;sans-serif" w:hAnsi="Times New Roman;sans-serif"/>
          <w:b w:val="false"/>
          <w:color w:val="000000"/>
          <w:sz w:val="24"/>
        </w:rPr>
        <w:t>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 applicable to member banks of the Federal Reserve System.</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Regulatory Change</w:t>
      </w:r>
      <w:r>
        <w:rPr>
          <w:color w:val="000000"/>
        </w:rPr>
        <w:t xml:space="preserve">” </w:t>
      </w:r>
      <w:r>
        <w:rPr>
          <w:rFonts w:ascii="Times New Roman;sans-serif" w:hAnsi="Times New Roman;sans-serif"/>
          <w:b w:val="false"/>
          <w:color w:val="000000"/>
          <w:sz w:val="24"/>
        </w:rPr>
        <w:t>is defined in Section 3.1.</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Reimbursement Obligations</w:t>
      </w:r>
      <w:r>
        <w:rPr>
          <w:color w:val="000000"/>
        </w:rPr>
        <w:t xml:space="preserve">” </w:t>
      </w:r>
      <w:r>
        <w:rPr>
          <w:rFonts w:ascii="Times New Roman;sans-serif" w:hAnsi="Times New Roman;sans-serif"/>
          <w:b w:val="false"/>
          <w:color w:val="000000"/>
          <w:sz w:val="24"/>
        </w:rPr>
        <w:t>means, at any time, the aggregate of all obligations of the Borrower then outstanding under Section 2.17 to reimburse an LC Issuer for amounts paid by such LC Issuer in respect of any one or more drawings under Facility LCs.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Reportable Event</w:t>
      </w:r>
      <w:r>
        <w:rPr>
          <w:color w:val="000000"/>
        </w:rPr>
        <w:t xml:space="preserve">” </w:t>
      </w:r>
      <w:r>
        <w:rPr>
          <w:rFonts w:ascii="Times New Roman;sans-serif" w:hAnsi="Times New Roman;sans-serif"/>
          <w:b w:val="false"/>
          <w:color w:val="000000"/>
          <w:sz w:val="24"/>
        </w:rPr>
        <w:t xml:space="preserve">means a reportable event as defined in § 4043 of ERISA and the regulations issued under such section, with respect to a Plan, excluding, however, such events as to which the PBGC has, as of the Restatement Date, by regulation waived the requirement of § 4043(a) of ERISA that it be notified within 30 days of the occurrence of such event,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a failure to meet the minimum funding standard of</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 412 of the Code and of § 302 of ERISA shall be a Reportable Event regardless of the issuance of any such waiver of the notice requirement in accordance with either § 4043(a) of ERISA or § 412(d) of the Code.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Reports</w:t>
      </w:r>
      <w:r>
        <w:rPr>
          <w:color w:val="000000"/>
        </w:rPr>
        <w:t xml:space="preserve">” </w:t>
      </w:r>
      <w:r>
        <w:rPr>
          <w:rFonts w:ascii="Times New Roman;sans-serif" w:hAnsi="Times New Roman;sans-serif"/>
          <w:b w:val="false"/>
          <w:color w:val="000000"/>
          <w:sz w:val="24"/>
        </w:rPr>
        <w:t>is defined in Section 9.6(a).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Required Lenders</w:t>
      </w:r>
      <w:r>
        <w:rPr>
          <w:color w:val="000000"/>
        </w:rPr>
        <w:t xml:space="preserve">” </w:t>
      </w:r>
      <w:r>
        <w:rPr>
          <w:rFonts w:ascii="Times New Roman;sans-serif" w:hAnsi="Times New Roman;sans-serif"/>
          <w:b w:val="false"/>
          <w:color w:val="000000"/>
          <w:sz w:val="24"/>
        </w:rPr>
        <w:t>means at least two Lenders (to the extent there are two or more Lenders and excluding any Defaulting Lender) in the aggregate having greater than 66 2/3% of the sum of the Aggregate Commitment (or, if the Aggregate Commitment has been terminated, Lenders in the aggregate holding greater than 66 2/3% of the Aggregate Outstanding Credit Exposure).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Restatement Date</w:t>
      </w:r>
      <w:r>
        <w:rPr>
          <w:color w:val="000000"/>
        </w:rPr>
        <w:t xml:space="preserve">” </w:t>
      </w:r>
      <w:r>
        <w:rPr>
          <w:rFonts w:ascii="Times New Roman;sans-serif" w:hAnsi="Times New Roman;sans-serif"/>
          <w:b w:val="false"/>
          <w:color w:val="000000"/>
          <w:sz w:val="24"/>
        </w:rPr>
        <w:t>means March 31, 2022.</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Restatement Date Funds Flow</w:t>
      </w:r>
      <w:r>
        <w:rPr>
          <w:color w:val="000000"/>
        </w:rPr>
        <w:t xml:space="preserve">” </w:t>
      </w:r>
      <w:r>
        <w:rPr>
          <w:rFonts w:ascii="Times New Roman;sans-serif" w:hAnsi="Times New Roman;sans-serif"/>
          <w:b w:val="false"/>
          <w:color w:val="000000"/>
          <w:sz w:val="24"/>
        </w:rPr>
        <w:t>is defined in Section 4.1.1(n).</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Restricted Payment</w:t>
      </w:r>
      <w:r>
        <w:rPr>
          <w:color w:val="000000"/>
        </w:rPr>
        <w:t xml:space="preserve">” </w:t>
      </w:r>
      <w:r>
        <w:rPr>
          <w:rFonts w:ascii="Times New Roman;sans-serif" w:hAnsi="Times New Roman;sans-serif"/>
          <w:b w:val="false"/>
          <w:color w:val="000000"/>
          <w:sz w:val="24"/>
        </w:rPr>
        <w:t>means (a) any dividend or other distribution (whether in cash, securities or other property) with respect to any Equity Interest in the Borrower and the Subsidiaries, or any payment (whether in cash, securities or other property), including any sinking fund or similar deposit, on account of the purchase, redemption, retirement, acquisition, cancellation or termination of any such Equity Interests in the Borrower and the Subsidiaries or any option, warrant or other right to acquire any such Equity Interest,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any amount paid on account of any Indebtedness, promissory notes, or other liabilities or obligations owed by the Borrower and the Subsidiaries to any holder of Equity Interests in such Person other than the Lenders, but excluding (i) compensation to officers, employees and directors in the ordinary course of business (including any Equity Interests of the Borrower or Subsidiary issued pursuant to an equity incentive compensation plan adopted by the board of managers of the Borrower or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1" w:after="283"/>
        <w:jc w:val="left"/>
        <w:rPr/>
      </w:pPr>
      <w:r>
        <w:rPr>
          <w:rFonts w:ascii="Times New Roman;sans-serif" w:hAnsi="Times New Roman;sans-serif"/>
          <w:b w:val="false"/>
          <w:color w:val="000000"/>
          <w:sz w:val="24"/>
        </w:rPr>
        <w:t>(ii) Subordinated Indebtedness paid in accordance with and subject to the terms of any applicable subordination agreement, or (iii) intercompany Indebtedness owed to the Borrower or a Guarantor</w:t>
      </w:r>
      <w:r>
        <w:rPr>
          <w:strike/>
          <w:color w:val="FF0000"/>
        </w:rPr>
        <w:t xml:space="preserve"> </w:t>
      </w:r>
      <w:r>
        <w:rPr>
          <w:rFonts w:ascii="Times New Roman;sans-serif" w:hAnsi="Times New Roman;sans-serif"/>
          <w:b w:val="false"/>
          <w:strike/>
          <w:color w:val="FF0000"/>
          <w:sz w:val="24"/>
        </w:rPr>
        <w:t>or</w:t>
      </w:r>
      <w:r>
        <w:rPr>
          <w:rFonts w:ascii="Times New Roman;sans-serif" w:hAnsi="Times New Roman;sans-serif"/>
          <w:b w:val="false"/>
          <w:color w:val="0000FF"/>
          <w:sz w:val="24"/>
        </w:rPr>
        <w:t xml:space="preserve">, </w:t>
      </w:r>
      <w:r>
        <w:rPr>
          <w:rFonts w:ascii="Times New Roman;sans-serif" w:hAnsi="Times New Roman;sans-serif"/>
          <w:b w:val="false"/>
          <w:color w:val="000000"/>
          <w:sz w:val="24"/>
        </w:rPr>
        <w:t xml:space="preserve">(c) any amount voluntarily prepaid directly or indirectly on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5975"/>
                <wp:effectExtent l="0" t="0" r="0" b="0"/>
                <wp:wrapNone/>
                <wp:docPr id="48" name="Frame4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account of any Subordinated Indebtedness to the extent not in violation of the terms of the applicable subordination agreement</w:t>
      </w:r>
      <w:r>
        <w:rPr>
          <w:rFonts w:ascii="Times New Roman;sans-serif" w:hAnsi="Times New Roman;sans-serif"/>
          <w:b w:val="false"/>
          <w:color w:val="0000FF"/>
          <w:sz w:val="24"/>
          <w:u w:val="single"/>
        </w:rPr>
        <w:t>, or (d) any amount paid on account of any Permitted Earn-out or</w:t>
      </w:r>
      <w:r>
        <w:rPr>
          <w:color w:val="0000FF"/>
        </w:rPr>
        <w:t xml:space="preserve"> </w:t>
      </w:r>
      <w:r>
        <w:rPr>
          <w:rFonts w:ascii="Times New Roman;sans-serif" w:hAnsi="Times New Roman;sans-serif"/>
          <w:b w:val="false"/>
          <w:color w:val="0000FF"/>
          <w:sz w:val="24"/>
          <w:u w:val="single"/>
        </w:rPr>
        <w:t>any other similar earn-outs or deferred purchase price arrangements, in each case</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Revolving Commitment</w:t>
      </w:r>
      <w:r>
        <w:rPr>
          <w:color w:val="000000"/>
        </w:rPr>
        <w:t xml:space="preserve">” </w:t>
      </w:r>
      <w:r>
        <w:rPr>
          <w:rFonts w:ascii="Times New Roman;sans-serif" w:hAnsi="Times New Roman;sans-serif"/>
          <w:b w:val="false"/>
          <w:color w:val="000000"/>
          <w:sz w:val="24"/>
        </w:rPr>
        <w:t xml:space="preserve">means, for each Lender, the obligation of such Lender to make Revolving Loans to the Borrower, and participate in Facility LCs issued upon the application of the Borrower, in an aggregate amount not exceeding the amount set forth on </w:t>
      </w:r>
      <w:r>
        <w:rPr>
          <w:rFonts w:ascii="Times New Roman;sans-serif" w:hAnsi="Times New Roman;sans-serif"/>
          <w:b w:val="false"/>
          <w:color w:val="000000"/>
          <w:sz w:val="24"/>
          <w:u w:val="single"/>
        </w:rPr>
        <w:t>Schedule 1</w:t>
      </w:r>
      <w:r>
        <w:rPr>
          <w:color w:val="000000"/>
        </w:rPr>
        <w:t xml:space="preserve"> </w:t>
      </w:r>
      <w:r>
        <w:rPr>
          <w:rFonts w:ascii="Times New Roman;sans-serif" w:hAnsi="Times New Roman;sans-serif"/>
          <w:b w:val="false"/>
          <w:color w:val="000000"/>
          <w:sz w:val="24"/>
        </w:rPr>
        <w:t>as its Revolving Commitment, as it may be modified as a result of any assignment that has become effective pursuant to Section 12.3 or as otherwise modified from time to time pursuant to the terms hereof.</w:t>
      </w:r>
    </w:p>
    <w:p>
      <w:pPr>
        <w:pStyle w:val="TextBody"/>
        <w:bidi w:val="0"/>
        <w:spacing w:lineRule="auto" w:line="592" w:before="7" w:after="283"/>
        <w:jc w:val="left"/>
        <w:rPr/>
      </w:pPr>
      <w:r>
        <w:rPr>
          <w:color w:val="000000"/>
        </w:rPr>
        <w:t>“</w:t>
      </w:r>
      <w:r>
        <w:rPr>
          <w:rFonts w:ascii="Times New Roman;sans-serif" w:hAnsi="Times New Roman;sans-serif"/>
          <w:b w:val="false"/>
          <w:color w:val="000000"/>
          <w:sz w:val="24"/>
          <w:u w:val="single"/>
        </w:rPr>
        <w:t>Revolving Commitment Fees</w:t>
      </w:r>
      <w:r>
        <w:rPr>
          <w:color w:val="000000"/>
        </w:rPr>
        <w:t xml:space="preserve">” </w:t>
      </w:r>
      <w:r>
        <w:rPr>
          <w:rFonts w:ascii="Times New Roman;sans-serif" w:hAnsi="Times New Roman;sans-serif"/>
          <w:b w:val="false"/>
          <w:color w:val="000000"/>
          <w:sz w:val="24"/>
        </w:rPr>
        <w:t>shall have the meaning set forth in Section 2.3. “</w:t>
      </w:r>
      <w:r>
        <w:rPr>
          <w:rFonts w:ascii="Times New Roman;sans-serif" w:hAnsi="Times New Roman;sans-serif"/>
          <w:b w:val="false"/>
          <w:color w:val="000000"/>
          <w:sz w:val="24"/>
          <w:u w:val="single"/>
        </w:rPr>
        <w:t>Revolving Loan</w:t>
      </w:r>
      <w:r>
        <w:rPr>
          <w:color w:val="000000"/>
        </w:rPr>
        <w:t xml:space="preserve">” </w:t>
      </w:r>
      <w:r>
        <w:rPr>
          <w:rFonts w:ascii="Times New Roman;sans-serif" w:hAnsi="Times New Roman;sans-serif"/>
          <w:b w:val="false"/>
          <w:color w:val="000000"/>
          <w:sz w:val="24"/>
        </w:rPr>
        <w:t>means, with respect to a Lender, such Lender’s loan made</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its Revolving Commitment set forth in Section 2.1 (or any conversion or continuation thereof).</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Revolving Percentage</w:t>
      </w:r>
      <w:r>
        <w:rPr>
          <w:color w:val="000000"/>
        </w:rPr>
        <w:t xml:space="preserve">” </w:t>
      </w:r>
      <w:r>
        <w:rPr>
          <w:rFonts w:ascii="Times New Roman;sans-serif" w:hAnsi="Times New Roman;sans-serif"/>
          <w:b w:val="false"/>
          <w:color w:val="000000"/>
          <w:sz w:val="24"/>
        </w:rPr>
        <w:t xml:space="preserve">means, with respect to a Lender, the percentage obtained by dividing such Lender’s Revolving Commitment by the Aggregate Commitment,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if all of the Revolving Commitments are terminated pursuant to the terms of this Agreement, the “Revolving Percentage” means the percentage obtained by dividing (a) such Lender’s Outstanding Credit Exposure at such time by (b) the Aggregate Outstanding Credit Exposure at such time;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when a Defaulting Lender exists, “Revolving Percentage” shall mean the percentage of the Aggregate Commitment (disregarding any Defaulting Lender’s Revolving Commitment) represented by such Lender’s Revolving Commitment. If the Revolving Commitments have terminated or expired, the Revolving Percentage shall be determined based upon the Revolving Commitments most recently in effect, giving effect to any assignments.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means Standard and Poor’s Ratings Services, a division of The McGraw Hill Companies, Inc.</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Sale and Leaseback Transaction</w:t>
      </w:r>
      <w:r>
        <w:rPr>
          <w:color w:val="000000"/>
        </w:rPr>
        <w:t xml:space="preserve">” </w:t>
      </w:r>
      <w:r>
        <w:rPr>
          <w:rFonts w:ascii="Times New Roman;sans-serif" w:hAnsi="Times New Roman;sans-serif"/>
          <w:b w:val="false"/>
          <w:color w:val="000000"/>
          <w:sz w:val="24"/>
        </w:rPr>
        <w:t>means any sale or other transfer of Property by any Person with the intent to lease such Property as lessee.</w:t>
      </w:r>
    </w:p>
    <w:p>
      <w:pPr>
        <w:pStyle w:val="TextBody"/>
        <w:bidi w:val="0"/>
        <w:spacing w:lineRule="auto" w:line="288" w:before="240" w:after="283"/>
        <w:jc w:val="both"/>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means sanctions administered or enforced from time to time by the</w:t>
      </w:r>
    </w:p>
    <w:p>
      <w:pPr>
        <w:pStyle w:val="TextBody"/>
        <w:bidi w:val="0"/>
        <w:spacing w:lineRule="auto" w:line="288" w:before="0" w:after="0"/>
        <w:jc w:val="both"/>
        <w:rPr/>
      </w:pPr>
      <w:r>
        <w:rPr>
          <w:rFonts w:ascii="Times New Roman;sans-serif" w:hAnsi="Times New Roman;sans-serif"/>
          <w:b w:val="false"/>
          <w:color w:val="000000"/>
          <w:sz w:val="24"/>
        </w:rPr>
        <w:t xml:space="preserve">U.S. government, including those administered by OFAC, the U.S. Department of State, the United Nations Security Council, the European Union, </w:t>
      </w:r>
      <w:r>
        <w:rPr>
          <w:rFonts w:ascii="Times New Roman;sans-serif" w:hAnsi="Times New Roman;sans-serif"/>
          <w:b w:val="false"/>
          <w:strike/>
          <w:color w:val="FF0000"/>
          <w:sz w:val="24"/>
        </w:rPr>
        <w:t>Her</w:t>
      </w:r>
      <w:r>
        <w:rPr>
          <w:rFonts w:ascii="Times New Roman;sans-serif" w:hAnsi="Times New Roman;sans-serif"/>
          <w:b w:val="false"/>
          <w:color w:val="0000FF"/>
          <w:sz w:val="24"/>
          <w:u w:val="single"/>
        </w:rPr>
        <w:t>His</w:t>
      </w:r>
      <w:r>
        <w:rPr>
          <w:color w:val="0000FF"/>
        </w:rPr>
        <w:t xml:space="preserve"> </w:t>
      </w:r>
      <w:r>
        <w:rPr>
          <w:rFonts w:ascii="Times New Roman;sans-serif" w:hAnsi="Times New Roman;sans-serif"/>
          <w:b w:val="false"/>
          <w:color w:val="000000"/>
          <w:sz w:val="24"/>
        </w:rPr>
        <w:t>Majesty’s Treasury or other relevant sanctions authority.</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Schedule</w:t>
      </w:r>
      <w:r>
        <w:rPr>
          <w:color w:val="000000"/>
        </w:rPr>
        <w:t xml:space="preserve">” </w:t>
      </w:r>
      <w:r>
        <w:rPr>
          <w:rFonts w:ascii="Times New Roman;sans-serif" w:hAnsi="Times New Roman;sans-serif"/>
          <w:b w:val="false"/>
          <w:color w:val="000000"/>
          <w:sz w:val="24"/>
        </w:rPr>
        <w:t>refers to a specific schedule to this Agreement, unless another document is specifically referenced.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5975"/>
                <wp:effectExtent l="0" t="0" r="0" b="0"/>
                <wp:wrapNone/>
                <wp:docPr id="49" name="Frame4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color w:val="000000"/>
        </w:rPr>
        <w:t>“</w:t>
      </w:r>
      <w:r>
        <w:rPr>
          <w:rFonts w:ascii="Times New Roman;sans-serif" w:hAnsi="Times New Roman;sans-serif"/>
          <w:b w:val="false"/>
          <w:color w:val="000000"/>
          <w:sz w:val="24"/>
          <w:u w:val="single"/>
        </w:rPr>
        <w:t>Screen</w:t>
      </w:r>
      <w:r>
        <w:rPr>
          <w:color w:val="000000"/>
        </w:rPr>
        <w:t xml:space="preserve">” </w:t>
      </w:r>
      <w:r>
        <w:rPr>
          <w:rFonts w:ascii="Times New Roman;sans-serif" w:hAnsi="Times New Roman;sans-serif"/>
          <w:b w:val="false"/>
          <w:color w:val="000000"/>
          <w:sz w:val="24"/>
        </w:rPr>
        <w:t>has the meaning provided in the definition of Term SOFR Base Rate.</w:t>
      </w:r>
    </w:p>
    <w:p>
      <w:pPr>
        <w:pStyle w:val="TextBody"/>
        <w:bidi w:val="0"/>
        <w:spacing w:lineRule="auto" w:line="288" w:before="240" w:after="283"/>
        <w:ind w:left="0" w:right="0" w:firstLine="720"/>
        <w:jc w:val="left"/>
        <w:rPr/>
      </w:pPr>
      <w:r>
        <w:rPr>
          <w:color w:val="0000FF"/>
          <w:u w:val="single"/>
        </w:rPr>
        <w:t>“</w:t>
      </w:r>
      <w:r>
        <w:rPr>
          <w:rFonts w:ascii="Times New Roman;sans-serif" w:hAnsi="Times New Roman;sans-serif"/>
          <w:b w:val="false"/>
          <w:color w:val="0000FF"/>
          <w:sz w:val="24"/>
          <w:u w:val="single"/>
        </w:rPr>
        <w:t>Second Amendment” means that certain Joinder and Second Amendment to</w:t>
      </w:r>
      <w:r>
        <w:rPr>
          <w:color w:val="0000FF"/>
        </w:rPr>
        <w:t xml:space="preserve"> </w:t>
      </w:r>
      <w:r>
        <w:rPr>
          <w:rFonts w:ascii="Times New Roman;sans-serif" w:hAnsi="Times New Roman;sans-serif"/>
          <w:b w:val="false"/>
          <w:color w:val="0000FF"/>
          <w:sz w:val="24"/>
          <w:u w:val="single"/>
        </w:rPr>
        <w:t>Second Amended and Restated Credit Agreement dated as of the Second Amendment</w:t>
      </w:r>
      <w:r>
        <w:rPr>
          <w:color w:val="0000FF"/>
        </w:rPr>
        <w:t xml:space="preserve"> </w:t>
      </w:r>
      <w:r>
        <w:rPr>
          <w:rFonts w:ascii="Times New Roman;sans-serif" w:hAnsi="Times New Roman;sans-serif"/>
          <w:b w:val="false"/>
          <w:color w:val="0000FF"/>
          <w:sz w:val="24"/>
          <w:u w:val="single"/>
        </w:rPr>
        <w:t>Effective Date between the Borrower, the Lenders party hereto and U.S. Bank National</w:t>
      </w:r>
      <w:r>
        <w:rPr>
          <w:color w:val="0000FF"/>
        </w:rPr>
        <w:t xml:space="preserve"> </w:t>
      </w:r>
      <w:r>
        <w:rPr>
          <w:rFonts w:ascii="Times New Roman;sans-serif" w:hAnsi="Times New Roman;sans-serif"/>
          <w:b w:val="false"/>
          <w:color w:val="0000FF"/>
          <w:sz w:val="24"/>
          <w:u w:val="single"/>
        </w:rPr>
        <w:t>Association, a national banking association, as an LC Issuer, Swing Line Lender and</w:t>
      </w:r>
      <w:r>
        <w:rPr>
          <w:color w:val="0000FF"/>
        </w:rPr>
        <w:t xml:space="preserve"> </w:t>
      </w:r>
      <w:r>
        <w:rPr>
          <w:rFonts w:ascii="Times New Roman;sans-serif" w:hAnsi="Times New Roman;sans-serif"/>
          <w:b w:val="false"/>
          <w:color w:val="0000FF"/>
          <w:sz w:val="24"/>
          <w:u w:val="single"/>
        </w:rPr>
        <w:t>Administrative Agent.</w:t>
      </w:r>
    </w:p>
    <w:p>
      <w:pPr>
        <w:pStyle w:val="TextBody"/>
        <w:bidi w:val="0"/>
        <w:spacing w:lineRule="auto" w:line="288" w:before="240" w:after="283"/>
        <w:jc w:val="left"/>
        <w:rPr>
          <w:color w:val="0000FF"/>
          <w:u w:val="single"/>
        </w:rPr>
      </w:pPr>
      <w:r>
        <w:rPr>
          <w:color w:val="0000FF"/>
          <w:u w:val="single"/>
        </w:rPr>
        <w:t>“</w:t>
      </w:r>
      <w:r>
        <w:rPr>
          <w:rFonts w:ascii="Times New Roman;sans-serif" w:hAnsi="Times New Roman;sans-serif"/>
          <w:b w:val="false"/>
          <w:color w:val="0000FF"/>
          <w:sz w:val="24"/>
          <w:u w:val="single"/>
        </w:rPr>
        <w:t>Second Amendment Effective Date” means April 25, 2025.</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rPr>
        <w:t>means a numbered section of this Agreement, unless another document is specifically referenced.</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Security Agreement</w:t>
      </w:r>
      <w:r>
        <w:rPr>
          <w:color w:val="000000"/>
        </w:rPr>
        <w:t xml:space="preserve">” </w:t>
      </w:r>
      <w:r>
        <w:rPr>
          <w:rFonts w:ascii="Times New Roman;sans-serif" w:hAnsi="Times New Roman;sans-serif"/>
          <w:b w:val="false"/>
          <w:color w:val="000000"/>
          <w:sz w:val="24"/>
        </w:rPr>
        <w:t>means the Amended and Restated Pledge and Security Agreement dated as of the Restatement Date between the Borrower and each Material Domestic Subsidiary and the Administrative Agent, as amended, restated, supplemented, or otherwise modified from time to time.</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 with respect to any Business Day, a rate per annum equal to the secured overnight financing rate for such Business Day published by the SOFR Administrator on the SOFR Administrator’s Website.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means the Federal Reserve Bank of New York (or a successor administrator of the secured overnight financing rate).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Stated Rate</w:t>
      </w:r>
      <w:r>
        <w:rPr>
          <w:color w:val="000000"/>
        </w:rPr>
        <w:t xml:space="preserve">” </w:t>
      </w:r>
      <w:r>
        <w:rPr>
          <w:rFonts w:ascii="Times New Roman;sans-serif" w:hAnsi="Times New Roman;sans-serif"/>
          <w:b w:val="false"/>
          <w:color w:val="000000"/>
          <w:sz w:val="24"/>
        </w:rPr>
        <w:t>is defined in Section 2.19.</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Subordinated Indebtedness</w:t>
      </w:r>
      <w:r>
        <w:rPr>
          <w:color w:val="000000"/>
        </w:rPr>
        <w:t xml:space="preserve">” </w:t>
      </w:r>
      <w:r>
        <w:rPr>
          <w:rFonts w:ascii="Times New Roman;sans-serif" w:hAnsi="Times New Roman;sans-serif"/>
          <w:b w:val="false"/>
          <w:color w:val="000000"/>
          <w:sz w:val="24"/>
        </w:rPr>
        <w:t>means any Indebtedness the payment of which is subordinated to payment of the Obligations to the written satisfaction of the Required Lenders, in their sole discretion, and none of the principal of which is payable until at least six months after the Facility Termination Date.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of a Person means (i) any corporation more than 50% of the outstanding securities having ordinary voting power of which shall at the time be owned or controlled, directly or indirectly, by such Person or by one or more of its Subsidiaries, or (ii)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shall mean a Subsidiary of the Borrower.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Substantial Portion</w:t>
      </w:r>
      <w:r>
        <w:rPr>
          <w:color w:val="000000"/>
        </w:rPr>
        <w:t xml:space="preserve">” </w:t>
      </w:r>
      <w:r>
        <w:rPr>
          <w:rFonts w:ascii="Times New Roman;sans-serif" w:hAnsi="Times New Roman;sans-serif"/>
          <w:b w:val="false"/>
          <w:color w:val="000000"/>
          <w:sz w:val="24"/>
        </w:rPr>
        <w:t>means, with respect to the Property of the Borrower and its Subsidiaries, Property that represents more than 10% of the consolidated assets of the Borrower and the Subsidiaries as would be shown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5975"/>
                <wp:effectExtent l="0" t="0" r="0" b="0"/>
                <wp:wrapNone/>
                <wp:docPr id="50" name="Frame5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the Borrower and the Subsidiaries as at the beginning of the twelve-month period ending with the month in which such determination is made (or if financial statements have not been delivered hereunder for the month that begins the twelve-month period, then the financial statements delivered hereunder for the quarter ending immediately prior to that month).</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Supported QFC</w:t>
      </w:r>
      <w:r>
        <w:rPr>
          <w:color w:val="000000"/>
        </w:rPr>
        <w:t xml:space="preserve">” </w:t>
      </w:r>
      <w:r>
        <w:rPr>
          <w:rFonts w:ascii="Times New Roman;sans-serif" w:hAnsi="Times New Roman;sans-serif"/>
          <w:b w:val="false"/>
          <w:color w:val="000000"/>
          <w:sz w:val="24"/>
        </w:rPr>
        <w:t>is defined in Section 9.16.</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Swap Counterparty</w:t>
      </w:r>
      <w:r>
        <w:rPr>
          <w:color w:val="000000"/>
        </w:rPr>
        <w:t xml:space="preserve">” </w:t>
      </w:r>
      <w:r>
        <w:rPr>
          <w:rFonts w:ascii="Times New Roman;sans-serif" w:hAnsi="Times New Roman;sans-serif"/>
          <w:b w:val="false"/>
          <w:color w:val="000000"/>
          <w:sz w:val="24"/>
        </w:rPr>
        <w:t>means, with respect to any swap with a Lender or an Affiliate of a Lender, any person or entity that is or becomes a party to such swap.</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Swap Obligation</w:t>
      </w:r>
      <w:r>
        <w:rPr>
          <w:color w:val="000000"/>
        </w:rPr>
        <w:t xml:space="preserve">” </w:t>
      </w:r>
      <w:r>
        <w:rPr>
          <w:rFonts w:ascii="Times New Roman;sans-serif" w:hAnsi="Times New Roman;sans-serif"/>
          <w:b w:val="false"/>
          <w:color w:val="000000"/>
          <w:sz w:val="24"/>
        </w:rPr>
        <w:t>means, with respect to the Borrower or Guarantor, any obligation to pay or perform under any agreement, contract or transaction that constitutes a “swap” within the meaning of section 1a(47) of the Commodity Exchange Act between any Lender or Affiliate of a Lender and one or more Swap Counterparties.</w:t>
      </w:r>
    </w:p>
    <w:p>
      <w:pPr>
        <w:pStyle w:val="TextBody"/>
        <w:bidi w:val="0"/>
        <w:spacing w:lineRule="auto" w:line="288" w:before="241" w:after="283"/>
        <w:jc w:val="left"/>
        <w:rPr/>
      </w:pPr>
      <w:r>
        <w:rPr>
          <w:color w:val="000000"/>
        </w:rPr>
        <w:t>“</w:t>
      </w:r>
      <w:r>
        <w:rPr>
          <w:rFonts w:ascii="Times New Roman;sans-serif" w:hAnsi="Times New Roman;sans-serif"/>
          <w:b w:val="false"/>
          <w:color w:val="000000"/>
          <w:sz w:val="24"/>
          <w:u w:val="single"/>
        </w:rPr>
        <w:t>Swing Line Borrowing Notice</w:t>
      </w:r>
      <w:r>
        <w:rPr>
          <w:color w:val="000000"/>
        </w:rPr>
        <w:t xml:space="preserve">” </w:t>
      </w:r>
      <w:r>
        <w:rPr>
          <w:rFonts w:ascii="Times New Roman;sans-serif" w:hAnsi="Times New Roman;sans-serif"/>
          <w:b w:val="false"/>
          <w:color w:val="000000"/>
          <w:sz w:val="24"/>
        </w:rPr>
        <w:t>is defined in Section 2.21(b).</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Swing Line Lender</w:t>
      </w:r>
      <w:r>
        <w:rPr>
          <w:color w:val="000000"/>
        </w:rPr>
        <w:t xml:space="preserve">” </w:t>
      </w:r>
      <w:r>
        <w:rPr>
          <w:rFonts w:ascii="Times New Roman;sans-serif" w:hAnsi="Times New Roman;sans-serif"/>
          <w:b w:val="false"/>
          <w:color w:val="000000"/>
          <w:sz w:val="24"/>
        </w:rPr>
        <w:t>means U.S. Bank or any other Lender that succeeds to U.S. Bank’s rights and obligations as Swing Line Lender pursuant to the terms of this Agreement.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Swing Line Loan</w:t>
      </w:r>
      <w:r>
        <w:rPr>
          <w:color w:val="000000"/>
        </w:rPr>
        <w:t xml:space="preserve">” </w:t>
      </w:r>
      <w:r>
        <w:rPr>
          <w:rFonts w:ascii="Times New Roman;sans-serif" w:hAnsi="Times New Roman;sans-serif"/>
          <w:b w:val="false"/>
          <w:color w:val="000000"/>
          <w:sz w:val="24"/>
        </w:rPr>
        <w:t>means a Loan made available to the Borrower by the Swing Line Lender pursuant to Section 2.21.</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u w:val="single"/>
        </w:rPr>
        <w:t>Swing Line Sublimit</w:t>
      </w:r>
      <w:r>
        <w:rPr>
          <w:color w:val="000000"/>
        </w:rPr>
        <w:t xml:space="preserve">” </w:t>
      </w:r>
      <w:r>
        <w:rPr>
          <w:rFonts w:ascii="Times New Roman;sans-serif" w:hAnsi="Times New Roman;sans-serif"/>
          <w:b w:val="false"/>
          <w:color w:val="000000"/>
          <w:sz w:val="24"/>
        </w:rPr>
        <w:t>means the maximum principal amount of Swing Line Loans the Swing Line Lender may have outstanding to the Borrower at any one time, which, as of the Restatement Date, is $25,000,000.</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rPr>
        <w:t>means the rate per annum determined by the Administrative Agent as the forward-looking term rate based on SOFR.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Term SOFR Administrator</w:t>
      </w:r>
      <w:r>
        <w:rPr>
          <w:color w:val="000000"/>
        </w:rPr>
        <w:t xml:space="preserve">” </w:t>
      </w:r>
      <w:r>
        <w:rPr>
          <w:rFonts w:ascii="Times New Roman;sans-serif" w:hAnsi="Times New Roman;sans-serif"/>
          <w:b w:val="false"/>
          <w:color w:val="000000"/>
          <w:sz w:val="24"/>
        </w:rPr>
        <w:t>means CME Group Benchmark Administration Ltd. (or a successor administrator of Term SOFR).</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Term SOFR Administrator’s Website</w:t>
      </w:r>
      <w:r>
        <w:rPr>
          <w:color w:val="000000"/>
        </w:rPr>
        <w:t xml:space="preserve">” </w:t>
      </w:r>
      <w:r>
        <w:rPr>
          <w:rFonts w:ascii="Times New Roman;sans-serif" w:hAnsi="Times New Roman;sans-serif"/>
          <w:b w:val="false"/>
          <w:color w:val="000000"/>
          <w:sz w:val="24"/>
        </w:rPr>
        <w:t>meanshttps://www.cmegroup.com/market-data/cme-group-benchmark-administration/ter m-sofr, or any successor source for Term SOFR identified as such by the Term SOFR Administrator from time to time.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Term SOFR Base Rate</w:t>
      </w:r>
      <w:r>
        <w:rPr>
          <w:color w:val="000000"/>
        </w:rPr>
        <w:t xml:space="preserve">” </w:t>
      </w:r>
      <w:r>
        <w:rPr>
          <w:rFonts w:ascii="Times New Roman;sans-serif" w:hAnsi="Times New Roman;sans-serif"/>
          <w:b w:val="false"/>
          <w:color w:val="000000"/>
          <w:sz w:val="24"/>
        </w:rPr>
        <w:t>means, for the relevant Interest Period, the greater of (a) zero and (b) the Term SOFR rate quoted by the Administrative Agent from the Term SOFR Administrator’s Website or the applicable Bloomberg screen (or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5975"/>
                <wp:effectExtent l="0" t="0" r="0" b="0"/>
                <wp:wrapNone/>
                <wp:docPr id="51" name="Frame5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commercially available source providing such quotations as may be selected by the Administrative Agent from time to time) (the “Screen”) for such Interest Period, which shall be the Term SOFR rate published two Business Days before the first day of such Interest Period (such Business Day, the “Determination Date”). If as of 5:00 p.m. (New York time) on any Determination Date, the Term SOFR rate has not been published by the Term SOFR Administrator or on the Screen, then the rate used will be that as published by the Term SOFR Administrator or on the Screen for the first preceding Business Day for which such rate was published on such Screen so long as such first preceding Business Day is not more than three (3) Business Days prior to such Determination Date.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Term SOFR Advance</w:t>
      </w:r>
      <w:r>
        <w:rPr>
          <w:color w:val="000000"/>
        </w:rPr>
        <w:t xml:space="preserve">” </w:t>
      </w:r>
      <w:r>
        <w:rPr>
          <w:rFonts w:ascii="Times New Roman;sans-serif" w:hAnsi="Times New Roman;sans-serif"/>
          <w:b w:val="false"/>
          <w:color w:val="000000"/>
          <w:sz w:val="24"/>
        </w:rPr>
        <w:t>means an Advance that, except as otherwise provided in Section 2.11, bears interest at the applicable Term SOFR Rate.</w:t>
      </w:r>
    </w:p>
    <w:p>
      <w:pPr>
        <w:pStyle w:val="TextBody"/>
        <w:bidi w:val="0"/>
        <w:spacing w:lineRule="auto" w:line="288" w:before="240" w:after="283"/>
        <w:ind w:left="0" w:right="0" w:firstLine="780"/>
        <w:jc w:val="left"/>
        <w:rPr/>
      </w:pPr>
      <w:r>
        <w:rPr>
          <w:color w:val="000000"/>
        </w:rPr>
        <w:t>“</w:t>
      </w:r>
      <w:r>
        <w:rPr>
          <w:rFonts w:ascii="Times New Roman;sans-serif" w:hAnsi="Times New Roman;sans-serif"/>
          <w:b w:val="false"/>
          <w:color w:val="000000"/>
          <w:sz w:val="24"/>
          <w:u w:val="single"/>
        </w:rPr>
        <w:t>Term SOFR Loan</w:t>
      </w:r>
      <w:r>
        <w:rPr>
          <w:color w:val="000000"/>
        </w:rPr>
        <w:t xml:space="preserve">” </w:t>
      </w:r>
      <w:r>
        <w:rPr>
          <w:rFonts w:ascii="Times New Roman;sans-serif" w:hAnsi="Times New Roman;sans-serif"/>
          <w:b w:val="false"/>
          <w:color w:val="000000"/>
          <w:sz w:val="24"/>
        </w:rPr>
        <w:t>means a Loan that, except as otherwise provided in Section 2.9, bears interest at the applicable Term SOFR Rate other than pursuant to clause (iv) of the definition of Alternate Base Rate.</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Term SOFR Rate</w:t>
      </w:r>
      <w:r>
        <w:rPr>
          <w:color w:val="000000"/>
        </w:rPr>
        <w:t xml:space="preserve">” </w:t>
      </w:r>
      <w:r>
        <w:rPr>
          <w:rFonts w:ascii="Times New Roman;sans-serif" w:hAnsi="Times New Roman;sans-serif"/>
          <w:b w:val="false"/>
          <w:color w:val="000000"/>
          <w:sz w:val="24"/>
        </w:rPr>
        <w:t xml:space="preserve">means, for the relevant Interest Period, the sum of (a) the </w:t>
      </w:r>
      <w:r>
        <w:rPr>
          <w:rFonts w:ascii="Times New Roman;sans-serif" w:hAnsi="Times New Roman;sans-serif"/>
          <w:b w:val="false"/>
          <w:strike/>
          <w:color w:val="FF0000"/>
          <w:sz w:val="24"/>
        </w:rPr>
        <w:t>Adjusted</w:t>
      </w:r>
      <w:r>
        <w:rPr>
          <w:color w:val="FF0000"/>
        </w:rPr>
        <w:t xml:space="preserve"> </w:t>
      </w:r>
      <w:r>
        <w:rPr>
          <w:rFonts w:ascii="Times New Roman;sans-serif" w:hAnsi="Times New Roman;sans-serif"/>
          <w:b w:val="false"/>
          <w:color w:val="000000"/>
          <w:sz w:val="24"/>
        </w:rPr>
        <w:t xml:space="preserve">Term SOFR </w:t>
      </w:r>
      <w:r>
        <w:rPr>
          <w:rFonts w:ascii="Times New Roman;sans-serif" w:hAnsi="Times New Roman;sans-serif"/>
          <w:b w:val="false"/>
          <w:color w:val="0000FF"/>
          <w:sz w:val="24"/>
          <w:u w:val="single"/>
        </w:rPr>
        <w:t>Base</w:t>
      </w:r>
      <w:r>
        <w:rPr>
          <w:color w:val="0000FF"/>
        </w:rPr>
        <w:t xml:space="preserve"> </w:t>
      </w:r>
      <w:r>
        <w:rPr>
          <w:rFonts w:ascii="Times New Roman;sans-serif" w:hAnsi="Times New Roman;sans-serif"/>
          <w:b w:val="false"/>
          <w:color w:val="000000"/>
          <w:sz w:val="24"/>
        </w:rPr>
        <w:t>Rate applicable to such Interest Period, plus (b) the Applicable Margin.</w:t>
      </w:r>
    </w:p>
    <w:p>
      <w:pPr>
        <w:pStyle w:val="TextBody"/>
        <w:bidi w:val="0"/>
        <w:spacing w:lineRule="auto" w:line="288" w:before="240" w:after="283"/>
        <w:ind w:left="0" w:right="0" w:firstLine="780"/>
        <w:jc w:val="left"/>
        <w:rPr/>
      </w:pPr>
      <w:r>
        <w:rPr>
          <w:color w:val="000000"/>
        </w:rPr>
        <w:t>“</w:t>
      </w:r>
      <w:r>
        <w:rPr>
          <w:rFonts w:ascii="Times New Roman;sans-serif" w:hAnsi="Times New Roman;sans-serif"/>
          <w:b w:val="false"/>
          <w:color w:val="000000"/>
          <w:sz w:val="24"/>
          <w:u w:val="single"/>
        </w:rPr>
        <w:t>Total Cash Flow Leverage Ratio</w:t>
      </w:r>
      <w:r>
        <w:rPr>
          <w:color w:val="000000"/>
        </w:rPr>
        <w:t xml:space="preserve">” </w:t>
      </w:r>
      <w:r>
        <w:rPr>
          <w:rFonts w:ascii="Times New Roman;sans-serif" w:hAnsi="Times New Roman;sans-serif"/>
          <w:b w:val="false"/>
          <w:color w:val="000000"/>
          <w:sz w:val="24"/>
        </w:rPr>
        <w:t>means, for any period of determination, the ratio of (a) Total Funded Debt (net of domestic cash on hand in excess of $10,000,000</w:t>
      </w:r>
      <w:r>
        <w:rPr>
          <w:strike/>
          <w:color w:val="FF0000"/>
        </w:rPr>
        <w:t xml:space="preserve"> </w:t>
      </w:r>
      <w:r>
        <w:rPr>
          <w:rFonts w:ascii="Times New Roman;sans-serif" w:hAnsi="Times New Roman;sans-serif"/>
          <w:b w:val="false"/>
          <w:strike/>
          <w:color w:val="FF0000"/>
          <w:sz w:val="24"/>
        </w:rPr>
        <w:t>and</w:t>
      </w:r>
      <w:r>
        <w:rPr>
          <w:color w:val="FF0000"/>
        </w:rPr>
        <w:t xml:space="preserve"> </w:t>
      </w:r>
      <w:r>
        <w:rPr>
          <w:rFonts w:ascii="Times New Roman;sans-serif" w:hAnsi="Times New Roman;sans-serif"/>
          <w:b w:val="false"/>
          <w:strike/>
          <w:color w:val="FF0000"/>
          <w:sz w:val="24"/>
        </w:rPr>
        <w:t>to the extent such cash does not exceed an additional $25,000,000</w:t>
      </w:r>
      <w:r>
        <w:rPr>
          <w:rFonts w:ascii="Times New Roman;sans-serif" w:hAnsi="Times New Roman;sans-serif"/>
          <w:b w:val="false"/>
          <w:color w:val="000000"/>
          <w:sz w:val="24"/>
        </w:rPr>
        <w:t>) to (b) EBITDA.</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Total Funded Debt</w:t>
      </w:r>
      <w:r>
        <w:rPr>
          <w:color w:val="000000"/>
        </w:rPr>
        <w:t xml:space="preserve">” </w:t>
      </w:r>
      <w:r>
        <w:rPr>
          <w:rFonts w:ascii="Times New Roman;sans-serif" w:hAnsi="Times New Roman;sans-serif"/>
          <w:b w:val="false"/>
          <w:color w:val="000000"/>
          <w:sz w:val="24"/>
        </w:rPr>
        <w:t xml:space="preserve">means, as of any date of determination, without duplication, the sum of (a) outstanding borrowings under this Agreement, plus (b) the undrawn face amount of issued and outstanding Facility LCs and all other LC Obligations, in each case that are outstanding on such date (less any amounts deposited by the Borrower to cash collateralize such LC Obligations), plus, (c) the aggregate outstanding principal balance of all other interest-bearing Consolidated Indebtedness including Capitalized Leases and Subordinated Indebtedness, </w:t>
      </w:r>
      <w:r>
        <w:rPr>
          <w:rFonts w:ascii="Times New Roman;sans-serif" w:hAnsi="Times New Roman;sans-serif"/>
          <w:b w:val="false"/>
          <w:color w:val="0000FF"/>
          <w:sz w:val="24"/>
          <w:u w:val="single"/>
        </w:rPr>
        <w:t>(d) Permitted Earn-out Payments, but only to the extent</w:t>
      </w:r>
      <w:r>
        <w:rPr>
          <w:color w:val="0000FF"/>
        </w:rPr>
        <w:t xml:space="preserve"> </w:t>
      </w:r>
      <w:r>
        <w:rPr>
          <w:rFonts w:ascii="Times New Roman;sans-serif" w:hAnsi="Times New Roman;sans-serif"/>
          <w:b w:val="false"/>
          <w:color w:val="0000FF"/>
          <w:sz w:val="24"/>
          <w:u w:val="single"/>
        </w:rPr>
        <w:t>constituting Indebtedness,</w:t>
      </w:r>
      <w:r>
        <w:rPr>
          <w:color w:val="0000FF"/>
        </w:rPr>
        <w:t xml:space="preserve"> </w:t>
      </w:r>
      <w:r>
        <w:rPr>
          <w:rFonts w:ascii="Times New Roman;sans-serif" w:hAnsi="Times New Roman;sans-serif"/>
          <w:b w:val="false"/>
          <w:color w:val="000000"/>
          <w:sz w:val="24"/>
        </w:rPr>
        <w:t>plus (d) Contingent Obligations covering any of the indebtedness listed in clauses (a), (b) or (c) of this definition (without duplication).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Clause (a) of this definition shall be calculated based on the outstanding Aggregate Outstanding Credit Exposure with respect to such Loans for such quarter, as determined on the last Business Day of the applicable Fiscal Quarter.</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is defined in Section 12.4.</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u w:val="single"/>
        </w:rPr>
        <w:t>Type</w:t>
      </w:r>
      <w:r>
        <w:rPr>
          <w:color w:val="000000"/>
        </w:rPr>
        <w:t xml:space="preserve">” </w:t>
      </w:r>
      <w:r>
        <w:rPr>
          <w:rFonts w:ascii="Times New Roman;sans-serif" w:hAnsi="Times New Roman;sans-serif"/>
          <w:b w:val="false"/>
          <w:color w:val="000000"/>
          <w:sz w:val="24"/>
        </w:rPr>
        <w:t>means, with respect to any Advance, its nature as a Base Rate Advance or a Term SOFR Advance and with respect to any Loan, its nature as a Base Rate Loan or a Term SOFR Loan.</w:t>
      </w:r>
    </w:p>
    <w:p>
      <w:pPr>
        <w:pStyle w:val="TextBody"/>
        <w:bidi w:val="0"/>
        <w:spacing w:lineRule="auto" w:line="288" w:before="240" w:after="283"/>
        <w:ind w:left="0" w:right="0" w:firstLine="780"/>
        <w:jc w:val="left"/>
        <w:rPr/>
      </w:pPr>
      <w:r>
        <w:rPr>
          <w:color w:val="000000"/>
        </w:rPr>
        <w:t>“</w:t>
      </w:r>
      <w:r>
        <w:rPr>
          <w:rFonts w:ascii="Times New Roman;sans-serif" w:hAnsi="Times New Roman;sans-serif"/>
          <w:b w:val="false"/>
          <w:color w:val="000000"/>
          <w:sz w:val="24"/>
          <w:u w:val="single"/>
        </w:rPr>
        <w:t>U.S. Bank</w:t>
      </w:r>
      <w:r>
        <w:rPr>
          <w:color w:val="000000"/>
        </w:rPr>
        <w:t xml:space="preserve">” </w:t>
      </w:r>
      <w:r>
        <w:rPr>
          <w:rFonts w:ascii="Times New Roman;sans-serif" w:hAnsi="Times New Roman;sans-serif"/>
          <w:b w:val="false"/>
          <w:color w:val="000000"/>
          <w:sz w:val="24"/>
        </w:rPr>
        <w:t>means U.S. Bank National Association, a national banking association, in its individual capacity, and its successors.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5975"/>
                <wp:effectExtent l="0" t="0" r="0" b="0"/>
                <wp:wrapNone/>
                <wp:docPr id="52" name="Frame5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color w:val="000000"/>
        </w:rPr>
        <w:t>“</w:t>
      </w:r>
      <w:r>
        <w:rPr>
          <w:rFonts w:ascii="Times New Roman;sans-serif" w:hAnsi="Times New Roman;sans-serif"/>
          <w:b w:val="false"/>
          <w:color w:val="000000"/>
          <w:sz w:val="24"/>
          <w:u w:val="single"/>
        </w:rPr>
        <w:t>U.S. Bank Fee Letter</w:t>
      </w:r>
      <w:r>
        <w:rPr>
          <w:color w:val="000000"/>
        </w:rPr>
        <w:t xml:space="preserve">” </w:t>
      </w:r>
      <w:r>
        <w:rPr>
          <w:rFonts w:ascii="Times New Roman;sans-serif" w:hAnsi="Times New Roman;sans-serif"/>
          <w:b w:val="false"/>
          <w:color w:val="000000"/>
          <w:sz w:val="24"/>
        </w:rPr>
        <w:t>means that certain fee letter dated as of the Restatement Date between U.S. Bank and the Borrower with respect to fees payable in connection with this Agreement.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U.S. Person</w:t>
      </w:r>
      <w:r>
        <w:rPr>
          <w:color w:val="000000"/>
        </w:rPr>
        <w:t xml:space="preserve">” </w:t>
      </w:r>
      <w:r>
        <w:rPr>
          <w:rFonts w:ascii="Times New Roman;sans-serif" w:hAnsi="Times New Roman;sans-serif"/>
          <w:b w:val="false"/>
          <w:color w:val="000000"/>
          <w:sz w:val="24"/>
        </w:rPr>
        <w:t>means any Person that is a “United States Person” as defined in Section 7701(a)(30) of the Code.</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U.S. Special Resolution Regimes</w:t>
      </w:r>
      <w:r>
        <w:rPr>
          <w:color w:val="000000"/>
        </w:rPr>
        <w:t xml:space="preserve">” </w:t>
      </w:r>
      <w:r>
        <w:rPr>
          <w:rFonts w:ascii="Times New Roman;sans-serif" w:hAnsi="Times New Roman;sans-serif"/>
          <w:b w:val="false"/>
          <w:color w:val="000000"/>
          <w:sz w:val="24"/>
        </w:rPr>
        <w:t>is defined in Section 9.16. “</w:t>
      </w:r>
      <w:r>
        <w:rPr>
          <w:rFonts w:ascii="Times New Roman;sans-serif" w:hAnsi="Times New Roman;sans-serif"/>
          <w:b w:val="false"/>
          <w:color w:val="000000"/>
          <w:sz w:val="24"/>
          <w:u w:val="single"/>
        </w:rPr>
        <w:t>U.S. Tax Compliance Certificate</w:t>
      </w:r>
      <w:r>
        <w:rPr>
          <w:color w:val="000000"/>
        </w:rPr>
        <w:t xml:space="preserve">” </w:t>
      </w:r>
      <w:r>
        <w:rPr>
          <w:rFonts w:ascii="Times New Roman;sans-serif" w:hAnsi="Times New Roman;sans-serif"/>
          <w:b w:val="false"/>
          <w:color w:val="000000"/>
          <w:sz w:val="24"/>
        </w:rPr>
        <w:t>is defined in Section 3.5(g).</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4"/>
          <w:u w:val="single"/>
        </w:rPr>
        <w:t>UETA</w:t>
      </w:r>
      <w:r>
        <w:rPr>
          <w:color w:val="000000"/>
        </w:rPr>
        <w:t xml:space="preserve">” </w:t>
      </w:r>
      <w:r>
        <w:rPr>
          <w:rFonts w:ascii="Times New Roman;sans-serif" w:hAnsi="Times New Roman;sans-serif"/>
          <w:b w:val="false"/>
          <w:color w:val="000000"/>
          <w:sz w:val="24"/>
        </w:rPr>
        <w:t>means the Uniform Electronic Transactions Act as in effect in the State of New York, as amended from time to time, and any successor statute, and any regulations promulgated thereunder from time to time.</w:t>
      </w:r>
    </w:p>
    <w:p>
      <w:pPr>
        <w:pStyle w:val="TextBody"/>
        <w:bidi w:val="0"/>
        <w:spacing w:lineRule="auto" w:line="288" w:before="240" w:after="283"/>
        <w:ind w:left="0" w:right="0" w:firstLine="775"/>
        <w:jc w:val="both"/>
        <w:rPr/>
      </w:pPr>
      <w:r>
        <w:rPr>
          <w:color w:val="000000"/>
        </w:rPr>
        <w:t>“</w:t>
      </w:r>
      <w:r>
        <w:rPr>
          <w:rFonts w:ascii="Times New Roman;sans-serif" w:hAnsi="Times New Roman;sans-serif"/>
          <w:b w:val="false"/>
          <w:color w:val="000000"/>
          <w:sz w:val="24"/>
          <w:u w:val="single"/>
        </w:rPr>
        <w:t>UK Financial Institution</w:t>
      </w:r>
      <w:r>
        <w:rPr>
          <w:color w:val="000000"/>
        </w:rPr>
        <w:t xml:space="preserve">” </w:t>
      </w:r>
      <w:r>
        <w:rPr>
          <w:rFonts w:ascii="Times New Roman;sans-serif" w:hAnsi="Times New Roman;sans-serif"/>
          <w:b w:val="false"/>
          <w:color w:val="000000"/>
          <w:sz w:val="24"/>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u w:val="single"/>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4"/>
          <w:u w:val="single"/>
        </w:rPr>
        <w:t>Unpaid Drawings</w:t>
      </w:r>
      <w:r>
        <w:rPr>
          <w:color w:val="000000"/>
        </w:rPr>
        <w:t xml:space="preserve">” </w:t>
      </w:r>
      <w:r>
        <w:rPr>
          <w:rFonts w:ascii="Times New Roman;sans-serif" w:hAnsi="Times New Roman;sans-serif"/>
          <w:b w:val="false"/>
          <w:color w:val="000000"/>
          <w:sz w:val="24"/>
        </w:rPr>
        <w:t>is defined in Section 2.17.6.</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val="false"/>
          <w:color w:val="000000"/>
          <w:sz w:val="24"/>
          <w:u w:val="single"/>
        </w:rPr>
        <w:t>Wholly-Owned Subsidiary</w:t>
      </w:r>
      <w:r>
        <w:rPr>
          <w:color w:val="000000"/>
        </w:rPr>
        <w:t xml:space="preserve">” </w:t>
      </w:r>
      <w:r>
        <w:rPr>
          <w:rFonts w:ascii="Times New Roman;sans-serif" w:hAnsi="Times New Roman;sans-serif"/>
          <w:b w:val="false"/>
          <w:color w:val="000000"/>
          <w:sz w:val="24"/>
        </w:rPr>
        <w:t>of a Person means (i) any Subsidiary of which 100% of the beneficial ownership interests are at the time owned or controlled, directly or indirectly, by such Person or one or more Wholly-Owned Subsidiaries of such Person, 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any partnership, limited liability company, association, joint venture or similar business organization of which 100% of the beneficial ownership interests are at the time so owned or controlled.</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Withholding Agent</w:t>
      </w:r>
      <w:r>
        <w:rPr>
          <w:color w:val="000000"/>
        </w:rPr>
        <w:t xml:space="preserve">” </w:t>
      </w:r>
      <w:r>
        <w:rPr>
          <w:rFonts w:ascii="Times New Roman;sans-serif" w:hAnsi="Times New Roman;sans-serif"/>
          <w:b w:val="false"/>
          <w:color w:val="000000"/>
          <w:sz w:val="24"/>
        </w:rPr>
        <w:t>means the Borrower or any Guarantor and the Administrative Agent.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Working Capital Adjustments</w:t>
      </w:r>
      <w:r>
        <w:rPr>
          <w:color w:val="000000"/>
        </w:rPr>
        <w:t xml:space="preserve">” </w:t>
      </w:r>
      <w:r>
        <w:rPr>
          <w:rFonts w:ascii="Times New Roman;sans-serif" w:hAnsi="Times New Roman;sans-serif"/>
          <w:b w:val="false"/>
          <w:color w:val="000000"/>
          <w:sz w:val="24"/>
        </w:rPr>
        <w:t>means customary working capital adjustments required to be paid by the Borrower or its Subsidiaries in connection with a Permitted Acquisition.</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5975"/>
                <wp:effectExtent l="0" t="0" r="0" b="0"/>
                <wp:wrapNone/>
                <wp:docPr id="53" name="Frame5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definitions apply equally to both the singular and plural forms of the defined terms.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Loan Classes</w:t>
      </w:r>
      <w:r>
        <w:rPr>
          <w:rFonts w:ascii="Times New Roman;sans-serif" w:hAnsi="Times New Roman;sans-serif"/>
          <w:b w:val="false"/>
          <w:color w:val="000000"/>
          <w:sz w:val="24"/>
        </w:rPr>
        <w:t>. For purposes of this Agreement, Loans may be classified and referred to by Class (e.g., a “Revolving Loan”) or by Type (e.g., a “Term SOFR Loan”) or by Class and Type (e.g., a “Term SOFR Revolving Loan”). Advances also may be classified and referred to by Class (e.g., a “Revolving Advance”) or by Type (e.g., a “Term SOFR Advance”) or by Class and Type (e.g., a “Term SOFR Revolving Advance”).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Computation of Time Periods</w:t>
      </w:r>
      <w:r>
        <w:rPr>
          <w:rFonts w:ascii="Times New Roman;sans-serif" w:hAnsi="Times New Roman;sans-serif"/>
          <w:b w:val="false"/>
          <w:color w:val="000000"/>
          <w:sz w:val="24"/>
        </w:rPr>
        <w:t>. In this Agreement, in the computation of a period of time from a specified date to a later specified date, unless otherwise stated the word “from” means “from and including” and the words “to” and “until” mean “to but excluding.”</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Accounting</w:t>
      </w:r>
      <w:r>
        <w:rPr>
          <w:rFonts w:ascii="Times New Roman;sans-serif" w:hAnsi="Times New Roman;sans-serif"/>
          <w:b w:val="false"/>
          <w:color w:val="000000"/>
          <w:sz w:val="24"/>
        </w:rPr>
        <w:t>. Except as provided to the contrary herein, all accounting terms used herein shall be interpreted and all accounting determinations hereunder shall be made in accordance with GAAP in a manner consistent with that used in preparing the financial statements referred to in Section 5.4, except that any calculation or determination to be made on a consolidated basis shall be made for the Borrower and all Subsidiaries, including any that are unconsolidated on the Borrower’s audited financial statements. Notwithstanding any other provision herein, all terms of an accounting or financial nature used herein shall be construed, and all computations of amounts and ratios referred to herein shall be made, without giving effect to</w:t>
      </w:r>
    </w:p>
    <w:p>
      <w:pPr>
        <w:pStyle w:val="TextBody"/>
        <w:bidi w:val="0"/>
        <w:spacing w:lineRule="auto" w:line="288" w:before="0" w:after="0"/>
        <w:jc w:val="left"/>
        <w:rPr/>
      </w:pPr>
      <w:r>
        <w:rPr>
          <w:rFonts w:ascii="Times New Roman;sans-serif" w:hAnsi="Times New Roman;sans-serif"/>
          <w:b w:val="false"/>
          <w:color w:val="000000"/>
          <w:sz w:val="24"/>
        </w:rPr>
        <w:t xml:space="preserve">(a) any election under Accounting Standards Codification Section 825-10-25 (or any other Accounting Standards Codification or Financial Accounting Standard having a similar result or effect) to value any Indebtedness or other liabilities of the Borrower or any Subsidiary at “fair value,” as defined therein, or (b) any treatment of Indebtedness in respect of convertible debt instruments under Financial Accounting Standards Codification Subtopic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in any Loan Document, and the Borrower, the Administrative Agent or the Required Lenders so request, the Administrative Agent, the Lenders and the Borrower shall negotiate in good faith to amend such ratio or requirement to preserve the original intent thereof in light of such change (subject to the approval of the Required Lenders), </w:t>
      </w:r>
      <w:r>
        <w:rPr>
          <w:rFonts w:ascii="Times New Roman;sans-serif" w:hAnsi="Times New Roman;sans-serif"/>
          <w:b w:val="false"/>
          <w:i/>
          <w:color w:val="000000"/>
          <w:sz w:val="24"/>
        </w:rPr>
        <w:t xml:space="preserve">but </w:t>
      </w:r>
      <w:r>
        <w:rPr>
          <w:rFonts w:ascii="Times New Roman;sans-serif" w:hAnsi="Times New Roman;sans-serif"/>
          <w:b w:val="false"/>
          <w:color w:val="000000"/>
          <w:sz w:val="24"/>
        </w:rPr>
        <w:t>until so amended, such ratio or requirement shall continue to be computed in accordance with GAAP before such change and the Borrower shall provide to the Administrative Agent and the Lenders reconciliation statements showing the difference in such calculation, together with the delivery of monthly, quarterly and annual financial statements required hereunder. In addition, notwithstanding any other provision herein, the definitions set forth in this Agreement and any financial calculations required by the Loan Documents shall be computed to exclude any change to lease accounting rules as a result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5975"/>
                <wp:effectExtent l="0" t="0" r="0" b="0"/>
                <wp:wrapNone/>
                <wp:docPr id="54" name="Frame5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Accounting Standards Board Accounting Standards Codification 842 (Leases) from those in effect pursuant to Financial Accounting Standards Board Accounting Standards Codification 840 (Leases) and other related lease accounting guidance.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Other Definitional Terms; Interpretative Provisions</w:t>
      </w:r>
      <w:r>
        <w:rPr>
          <w:rFonts w:ascii="Times New Roman;sans-serif" w:hAnsi="Times New Roman;sans-serif"/>
          <w:b w:val="false"/>
          <w:color w:val="000000"/>
          <w:sz w:val="24"/>
        </w:rPr>
        <w:t>. The words “hereof,” “herein” and “hereunder” and words of similar import refer to this Agreement as a whole and not to any particular provision. References to Sections, Articles, Exhibits, and Schedules are to this Agreement unless otherwise expressly provided. The words “include,” “includes” and “including” shall be deemed to be followed by the phrase “without limitation.” The terms “shall” and “will” have the same meaning as the term “must.” Unless the context otherwise clearly requires, “or” has the inclusive meaning represented by the phrase “and/or.” All covenants, terms, definitions or other provisions incorporated by reference to other agreements are incorporated into this Agreement as if fully set forth herein, and such incorporation includes all necessary definitions and related provisions from such other agreements, but includes only amendments thereto agreed to by the Lenders, and survives any termination of such other agreements until the Obligations are irrevocably paid in full (other than inchoate indemnity obligations and Obligations that have been Cash Collateralized or otherwise addressed to the reasonable satisfaction of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 all Letters of Credit have expired without renewal or been returned to applicable Issuing Banks, and the Commitments are terminated. Any reference to any Law includes all statutory and regulatory provisions consolidating, amending, replacing or interpreting such Law and, unless otherwise specified, refers to such Law as amended, modified, supplemented, replaced, or succeeded from time to time. References to any document, instrument or agreement (a) include all exhibits, schedules and other attachments thereto, (b) include all documents, instruments or agreements issued or executed in replacement thereof, to the extent permitted hereby and (c) mean such document, instrument or agreement, or replacement or predecessor thereto, as amended, supplemented, restated or otherwise modified from time to time to the extent not otherwise stated herein or prohibited hereby and in effect at any given time.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Divisions</w:t>
      </w:r>
      <w:r>
        <w:rPr>
          <w:rFonts w:ascii="Times New Roman;sans-serif" w:hAnsi="Times New Roman;sans-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Term SOFR Notification</w:t>
      </w:r>
      <w:r>
        <w:rPr>
          <w:rFonts w:ascii="Times New Roman;sans-serif" w:hAnsi="Times New Roman;sans-serif"/>
          <w:b w:val="false"/>
          <w:color w:val="000000"/>
          <w:sz w:val="24"/>
        </w:rPr>
        <w:t>. The interest rate on Term SOFR Advances is determined by reference to the Term SOFR Base Rate, which is derived from Term SOFR. Section 3.3(b) provides a mechanism for (a) determining an alternative rate of interest if Term SOFR is no longer available or in the other circumstances set forth in Section 3.3(b), and (b) modifying this Agreement to give effect to such alternative rate of interest. The Administrative Agent does not warrant or accept any responsibility for, and shall not have any liability with respect to, the administration, submission or any other matter related to Term SOFR or other rates in the definition of Term SOFR Base Rate or with respect to any alternative or successor rate thereto, or replacement rate thereof (including any Benchmark Replacement), including without limitation, whether any such alternative, successor or replacement reference rate (including any Benchmark Replacement), as it may or may not be adjusted pursuant to Section 3.3(b), will have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5975"/>
                <wp:effectExtent l="0" t="0" r="0" b="0"/>
                <wp:wrapNone/>
                <wp:docPr id="55" name="Frame5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value as, or be economically equivalent to, the Term SOFR Base Rate. The Administrative Agent and its affiliates or other related entities may engage in transactions that affect the calculation of Alternate Base Rate, Term SOFR, the Term SOFR Base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Base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8" w:after="283"/>
        <w:jc w:val="left"/>
        <w:rPr/>
      </w:pPr>
      <w:r>
        <w:rPr/>
      </w:r>
    </w:p>
    <w:p>
      <w:pPr>
        <w:pStyle w:val="TextBody"/>
        <w:bidi w:val="0"/>
        <w:spacing w:lineRule="auto" w:line="288" w:before="1" w:after="283"/>
        <w:jc w:val="center"/>
        <w:rPr>
          <w:rFonts w:ascii="Times New Roman;sans-serif" w:hAnsi="Times New Roman;sans-serif"/>
          <w:b/>
          <w:color w:val="000000"/>
          <w:sz w:val="24"/>
        </w:rPr>
      </w:pPr>
      <w:r>
        <w:rPr>
          <w:rFonts w:ascii="Times New Roman;sans-serif" w:hAnsi="Times New Roman;sans-serif"/>
          <w:b/>
          <w:color w:val="000000"/>
          <w:sz w:val="24"/>
        </w:rPr>
        <w:t>ARTICLE II. THE CREDITS</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Commitment</w:t>
      </w:r>
      <w:r>
        <w:rPr>
          <w:rFonts w:ascii="Times New Roman;sans-serif" w:hAnsi="Times New Roman;sans-serif"/>
          <w:b w:val="false"/>
          <w:color w:val="000000"/>
          <w:sz w:val="24"/>
        </w:rPr>
        <w:t>.</w:t>
      </w:r>
    </w:p>
    <w:p>
      <w:pPr>
        <w:pStyle w:val="TextBody"/>
        <w:bidi w:val="0"/>
        <w:spacing w:lineRule="auto" w:line="288" w:before="240" w:after="283"/>
        <w:ind w:left="0" w:right="0" w:hanging="264"/>
        <w:jc w:val="left"/>
        <w:rPr/>
      </w:pPr>
      <w:r>
        <w:rPr>
          <w:rFonts w:ascii="Times New Roman;sans-serif" w:hAnsi="Times New Roman;sans-serif"/>
          <w:b w:val="false"/>
          <w:strike/>
          <w:color w:val="FF0000"/>
          <w:sz w:val="24"/>
        </w:rPr>
        <w:t>(a)</w:t>
      </w:r>
      <w:r>
        <w:rPr>
          <w:strike/>
          <w:color w:val="FF0000"/>
        </w:rPr>
        <w:t xml:space="preserve"> </w:t>
      </w:r>
      <w:r>
        <w:rPr>
          <w:rFonts w:ascii="Times New Roman;sans-serif" w:hAnsi="Times New Roman;sans-serif"/>
          <w:b w:val="false"/>
          <w:strike/>
          <w:color w:val="FF0000"/>
          <w:sz w:val="24"/>
          <w:u w:val="single"/>
        </w:rPr>
        <w:t>Revolving Credit</w:t>
      </w:r>
      <w:r>
        <w:rPr>
          <w:rFonts w:ascii="Times New Roman;sans-serif" w:hAnsi="Times New Roman;sans-serif"/>
          <w:b w:val="false"/>
          <w:strike/>
          <w:color w:val="FF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FF"/>
          <w:sz w:val="24"/>
        </w:rPr>
        <w:t>(a)</w:t>
      </w:r>
      <w:r>
        <w:rPr>
          <w:rFonts w:ascii="Times New Roman;sans-serif" w:hAnsi="Times New Roman;sans-serif"/>
          <w:b w:val="false"/>
          <w:strike/>
          <w:color w:val="FF0000"/>
          <w:sz w:val="24"/>
        </w:rPr>
        <w:t>(i) As of the Restatement Date</w:t>
      </w:r>
      <w:r>
        <w:rPr>
          <w:rFonts w:ascii="Times New Roman;sans-serif" w:hAnsi="Times New Roman;sans-serif"/>
          <w:b w:val="false"/>
          <w:color w:val="0000FF"/>
          <w:sz w:val="24"/>
          <w:u w:val="single"/>
        </w:rPr>
        <w:t>Revolving Credit. Immediately prior</w:t>
      </w:r>
      <w:r>
        <w:rPr>
          <w:color w:val="0000FF"/>
        </w:rPr>
        <w:t xml:space="preserve"> </w:t>
      </w:r>
      <w:r>
        <w:rPr>
          <w:rFonts w:ascii="Times New Roman;sans-serif" w:hAnsi="Times New Roman;sans-serif"/>
          <w:b w:val="false"/>
          <w:color w:val="0000FF"/>
          <w:sz w:val="24"/>
          <w:u w:val="single"/>
        </w:rPr>
        <w:t>to giving effect to the Second Amendment</w:t>
      </w:r>
      <w:r>
        <w:rPr>
          <w:rFonts w:ascii="Times New Roman;sans-serif" w:hAnsi="Times New Roman;sans-serif"/>
          <w:b w:val="false"/>
          <w:color w:val="000000"/>
          <w:sz w:val="24"/>
        </w:rPr>
        <w:t xml:space="preserve">, the aggregate outstanding principal amount of the </w:t>
      </w:r>
      <w:r>
        <w:rPr>
          <w:strike/>
          <w:color w:val="FF0000"/>
        </w:rPr>
        <w:t>“</w:t>
      </w:r>
      <w:r>
        <w:rPr>
          <w:rFonts w:ascii="Times New Roman;sans-serif" w:hAnsi="Times New Roman;sans-serif"/>
          <w:b w:val="false"/>
          <w:color w:val="000000"/>
          <w:sz w:val="24"/>
        </w:rPr>
        <w:t>Revolving Loans</w:t>
      </w:r>
      <w:r>
        <w:rPr>
          <w:strike/>
          <w:color w:val="FF0000"/>
        </w:rPr>
        <w:t xml:space="preserve">” </w:t>
      </w:r>
      <w:r>
        <w:rPr>
          <w:rFonts w:ascii="Times New Roman;sans-serif" w:hAnsi="Times New Roman;sans-serif"/>
          <w:b w:val="false"/>
          <w:strike/>
          <w:color w:val="FF0000"/>
          <w:sz w:val="24"/>
        </w:rPr>
        <w:t>(as defined in the Existing Credit Agreement,</w:t>
      </w:r>
      <w:r>
        <w:rPr>
          <w:color w:val="FF0000"/>
        </w:rPr>
        <w:t xml:space="preserve"> </w:t>
      </w:r>
      <w:r>
        <w:rPr>
          <w:rFonts w:ascii="Times New Roman;sans-serif" w:hAnsi="Times New Roman;sans-serif"/>
          <w:b w:val="false"/>
          <w:strike/>
          <w:color w:val="FF0000"/>
          <w:sz w:val="24"/>
        </w:rPr>
        <w:t>hereinafter, the “</w:t>
      </w:r>
      <w:r>
        <w:rPr>
          <w:rFonts w:ascii="Times New Roman;sans-serif" w:hAnsi="Times New Roman;sans-serif"/>
          <w:b w:val="false"/>
          <w:strike/>
          <w:color w:val="FF0000"/>
          <w:sz w:val="24"/>
          <w:u w:val="single"/>
        </w:rPr>
        <w:t>Existing Revolving Loans</w:t>
      </w:r>
      <w:r>
        <w:rPr>
          <w:strike/>
          <w:color w:val="FF0000"/>
        </w:rPr>
        <w:t>”</w:t>
      </w:r>
      <w:r>
        <w:rPr>
          <w:rFonts w:ascii="Times New Roman;sans-serif" w:hAnsi="Times New Roman;sans-serif"/>
          <w:b w:val="false"/>
          <w:strike/>
          <w:color w:val="FF0000"/>
          <w:sz w:val="24"/>
        </w:rPr>
        <w:t>)</w:t>
      </w:r>
      <w:r>
        <w:rPr>
          <w:color w:val="FF0000"/>
        </w:rPr>
        <w:t xml:space="preserve"> </w:t>
      </w:r>
      <w:r>
        <w:rPr>
          <w:rFonts w:ascii="Times New Roman;sans-serif" w:hAnsi="Times New Roman;sans-serif"/>
          <w:b w:val="false"/>
          <w:color w:val="000000"/>
          <w:sz w:val="24"/>
        </w:rPr>
        <w:t xml:space="preserve">and the unpaid accrued interest and fees thereon </w:t>
      </w:r>
      <w:r>
        <w:rPr>
          <w:rFonts w:ascii="Times New Roman;sans-serif" w:hAnsi="Times New Roman;sans-serif"/>
          <w:b w:val="false"/>
          <w:strike/>
          <w:color w:val="FF0000"/>
          <w:sz w:val="24"/>
        </w:rPr>
        <w:t>(collectively, the “</w:t>
      </w:r>
      <w:r>
        <w:rPr>
          <w:rFonts w:ascii="Times New Roman;sans-serif" w:hAnsi="Times New Roman;sans-serif"/>
          <w:b w:val="false"/>
          <w:strike/>
          <w:color w:val="FF0000"/>
          <w:sz w:val="24"/>
          <w:u w:val="single"/>
        </w:rPr>
        <w:t>Existing Revolving Interest and Fees</w:t>
      </w:r>
      <w:r>
        <w:rPr>
          <w:strike/>
          <w:color w:val="FF0000"/>
        </w:rPr>
        <w:t xml:space="preserve">” </w:t>
      </w:r>
      <w:r>
        <w:rPr>
          <w:rFonts w:ascii="Times New Roman;sans-serif" w:hAnsi="Times New Roman;sans-serif"/>
          <w:b w:val="false"/>
          <w:strike/>
          <w:color w:val="FF0000"/>
          <w:sz w:val="24"/>
        </w:rPr>
        <w:t>and together</w:t>
      </w:r>
      <w:r>
        <w:rPr>
          <w:color w:val="FF0000"/>
        </w:rPr>
        <w:t xml:space="preserve"> </w:t>
      </w:r>
      <w:r>
        <w:rPr>
          <w:rFonts w:ascii="Times New Roman;sans-serif" w:hAnsi="Times New Roman;sans-serif"/>
          <w:b w:val="false"/>
          <w:strike/>
          <w:color w:val="FF0000"/>
          <w:sz w:val="24"/>
        </w:rPr>
        <w:t>with Existing Revolving Loans, the “</w:t>
      </w:r>
      <w:r>
        <w:rPr>
          <w:rFonts w:ascii="Times New Roman;sans-serif" w:hAnsi="Times New Roman;sans-serif"/>
          <w:b w:val="false"/>
          <w:strike/>
          <w:color w:val="FF0000"/>
          <w:sz w:val="24"/>
          <w:u w:val="single"/>
        </w:rPr>
        <w:t>Outstanding Revolving Loan Obligations</w:t>
      </w:r>
      <w:r>
        <w:rPr>
          <w:strike/>
          <w:color w:val="FF0000"/>
        </w:rPr>
        <w:t>”</w:t>
      </w:r>
      <w:r>
        <w:rPr>
          <w:rFonts w:ascii="Times New Roman;sans-serif" w:hAnsi="Times New Roman;sans-serif"/>
          <w:b w:val="false"/>
          <w:strike/>
          <w:color w:val="FF0000"/>
          <w:sz w:val="24"/>
        </w:rPr>
        <w:t>)</w:t>
      </w:r>
      <w:r>
        <w:rPr>
          <w:color w:val="FF0000"/>
        </w:rPr>
        <w:t xml:space="preserve"> </w:t>
      </w:r>
      <w:r>
        <w:rPr>
          <w:rFonts w:ascii="Times New Roman;sans-serif" w:hAnsi="Times New Roman;sans-serif"/>
          <w:b w:val="false"/>
          <w:color w:val="000000"/>
          <w:sz w:val="24"/>
        </w:rPr>
        <w:t xml:space="preserve">are set forth on Part I of Schedule 2.1. Subject to the terms of this Agreement and in reliance on the representations and warranties of the Borrower herein, each of the parties hereto hereby agrees that </w:t>
      </w:r>
      <w:r>
        <w:rPr>
          <w:rFonts w:ascii="Times New Roman;sans-serif" w:hAnsi="Times New Roman;sans-serif"/>
          <w:b w:val="false"/>
          <w:strike/>
          <w:color w:val="FF0000"/>
          <w:sz w:val="24"/>
        </w:rPr>
        <w:t>the Existing</w:t>
      </w:r>
      <w:r>
        <w:rPr>
          <w:rFonts w:ascii="Times New Roman;sans-serif" w:hAnsi="Times New Roman;sans-serif"/>
          <w:b w:val="false"/>
          <w:color w:val="0000FF"/>
          <w:sz w:val="24"/>
          <w:u w:val="single"/>
        </w:rPr>
        <w:t>such</w:t>
      </w:r>
      <w:r>
        <w:rPr>
          <w:color w:val="0000FF"/>
        </w:rPr>
        <w:t xml:space="preserve"> </w:t>
      </w:r>
      <w:r>
        <w:rPr>
          <w:rFonts w:ascii="Times New Roman;sans-serif" w:hAnsi="Times New Roman;sans-serif"/>
          <w:b w:val="false"/>
          <w:color w:val="000000"/>
          <w:sz w:val="24"/>
        </w:rPr>
        <w:t>Revolving Loans</w:t>
      </w:r>
      <w:r>
        <w:rPr>
          <w:rFonts w:ascii="Times New Roman;sans-serif" w:hAnsi="Times New Roman;sans-serif"/>
          <w:b w:val="false"/>
          <w:color w:val="0000FF"/>
          <w:sz w:val="24"/>
          <w:u w:val="single"/>
        </w:rPr>
        <w:t>, unpaid</w:t>
      </w:r>
      <w:r>
        <w:rPr>
          <w:color w:val="0000FF"/>
        </w:rPr>
        <w:t xml:space="preserve"> </w:t>
      </w:r>
      <w:r>
        <w:rPr>
          <w:rFonts w:ascii="Times New Roman;sans-serif" w:hAnsi="Times New Roman;sans-serif"/>
          <w:b w:val="false"/>
          <w:color w:val="0000FF"/>
          <w:sz w:val="24"/>
          <w:u w:val="single"/>
        </w:rPr>
        <w:t>accrued interest and fees</w:t>
      </w:r>
      <w:r>
        <w:rPr>
          <w:color w:val="0000FF"/>
        </w:rPr>
        <w:t xml:space="preserve"> </w:t>
      </w:r>
      <w:r>
        <w:rPr>
          <w:rFonts w:ascii="Times New Roman;sans-serif" w:hAnsi="Times New Roman;sans-serif"/>
          <w:b w:val="false"/>
          <w:color w:val="000000"/>
          <w:sz w:val="24"/>
        </w:rPr>
        <w:t xml:space="preserve">(to the extent not repaid on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w:t>
      </w:r>
      <w:r>
        <w:rPr>
          <w:color w:val="0000FF"/>
        </w:rPr>
        <w:t xml:space="preserve"> </w:t>
      </w:r>
      <w:r>
        <w:rPr>
          <w:rFonts w:ascii="Times New Roman;sans-serif" w:hAnsi="Times New Roman;sans-serif"/>
          <w:b w:val="false"/>
          <w:color w:val="0000FF"/>
          <w:sz w:val="24"/>
          <w:u w:val="single"/>
        </w:rPr>
        <w:t>Amendment Effective</w:t>
      </w:r>
      <w:r>
        <w:rPr>
          <w:color w:val="0000FF"/>
        </w:rPr>
        <w:t xml:space="preserve"> </w:t>
      </w:r>
      <w:r>
        <w:rPr>
          <w:rFonts w:ascii="Times New Roman;sans-serif" w:hAnsi="Times New Roman;sans-serif"/>
          <w:b w:val="false"/>
          <w:color w:val="000000"/>
          <w:sz w:val="24"/>
        </w:rPr>
        <w:t xml:space="preserve">Date) shall be, from and following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w:t>
      </w:r>
      <w:r>
        <w:rPr>
          <w:color w:val="0000FF"/>
        </w:rPr>
        <w:t xml:space="preserve"> </w:t>
      </w:r>
      <w:r>
        <w:rPr>
          <w:rFonts w:ascii="Times New Roman;sans-serif" w:hAnsi="Times New Roman;sans-serif"/>
          <w:b w:val="false"/>
          <w:color w:val="0000FF"/>
          <w:sz w:val="24"/>
          <w:u w:val="single"/>
        </w:rPr>
        <w:t>Amendment Effective</w:t>
      </w:r>
      <w:r>
        <w:rPr>
          <w:color w:val="0000FF"/>
        </w:rPr>
        <w:t xml:space="preserve"> </w:t>
      </w:r>
      <w:r>
        <w:rPr>
          <w:rFonts w:ascii="Times New Roman;sans-serif" w:hAnsi="Times New Roman;sans-serif"/>
          <w:b w:val="false"/>
          <w:color w:val="000000"/>
          <w:sz w:val="24"/>
        </w:rPr>
        <w:t xml:space="preserve">Date, continued and </w:t>
      </w:r>
      <w:r>
        <w:rPr>
          <w:rFonts w:ascii="Times New Roman;sans-serif" w:hAnsi="Times New Roman;sans-serif"/>
          <w:b w:val="false"/>
          <w:strike/>
          <w:color w:val="FF0000"/>
          <w:sz w:val="24"/>
        </w:rPr>
        <w:t>reconstituted as the Revolving Loans</w:t>
      </w:r>
      <w:r>
        <w:rPr>
          <w:color w:val="FF0000"/>
        </w:rPr>
        <w:t xml:space="preserve"> </w:t>
      </w:r>
      <w:r>
        <w:rPr>
          <w:rFonts w:ascii="Times New Roman;sans-serif" w:hAnsi="Times New Roman;sans-serif"/>
          <w:b w:val="false"/>
          <w:strike/>
          <w:color w:val="FF0000"/>
          <w:sz w:val="24"/>
        </w:rPr>
        <w:t>and any Existing Revolving Interest and Fees not repaid on the Restatement Date</w:t>
      </w:r>
      <w:r>
        <w:rPr>
          <w:color w:val="FF0000"/>
        </w:rPr>
        <w:t xml:space="preserve"> </w:t>
      </w:r>
      <w:r>
        <w:rPr>
          <w:rFonts w:ascii="Times New Roman;sans-serif" w:hAnsi="Times New Roman;sans-serif"/>
          <w:b w:val="false"/>
          <w:color w:val="000000"/>
          <w:sz w:val="24"/>
        </w:rPr>
        <w:t>shall be due and payable under this Agreement.</w:t>
      </w:r>
    </w:p>
    <w:p>
      <w:pPr>
        <w:pStyle w:val="TextBody"/>
        <w:bidi w:val="0"/>
        <w:spacing w:lineRule="auto" w:line="288" w:before="240" w:after="283"/>
        <w:ind w:left="0" w:right="0" w:firstLine="720"/>
        <w:jc w:val="left"/>
        <w:rPr/>
      </w:pPr>
      <w:r>
        <w:rPr>
          <w:rFonts w:ascii="Times New Roman;sans-serif" w:hAnsi="Times New Roman;sans-serif"/>
          <w:b w:val="false"/>
          <w:strike/>
          <w:color w:val="FF0000"/>
          <w:sz w:val="24"/>
        </w:rPr>
        <w:t>(ii)</w:t>
      </w:r>
      <w:r>
        <w:rPr>
          <w:color w:val="FF0000"/>
        </w:rPr>
        <w:t xml:space="preserve"> </w:t>
      </w:r>
      <w:r>
        <w:rPr>
          <w:rFonts w:ascii="Times New Roman;sans-serif" w:hAnsi="Times New Roman;sans-serif"/>
          <w:b w:val="false"/>
          <w:color w:val="000000"/>
          <w:sz w:val="24"/>
        </w:rPr>
        <w:t xml:space="preserve">Subject to the terms and conditions hereof, the allocation of the Revolving Loans under this Agreement on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 Amendment Effective</w:t>
      </w:r>
      <w:r>
        <w:rPr>
          <w:color w:val="0000FF"/>
        </w:rPr>
        <w:t xml:space="preserve"> </w:t>
      </w:r>
      <w:r>
        <w:rPr>
          <w:rFonts w:ascii="Times New Roman;sans-serif" w:hAnsi="Times New Roman;sans-serif"/>
          <w:b w:val="false"/>
          <w:color w:val="000000"/>
          <w:sz w:val="24"/>
        </w:rPr>
        <w:t xml:space="preserve">Date shall be as set forth on Part 2 of Schedule 2.1, and each Lender severally agrees (A) that all of the </w:t>
      </w:r>
      <w:r>
        <w:rPr>
          <w:rFonts w:ascii="Times New Roman;sans-serif" w:hAnsi="Times New Roman;sans-serif"/>
          <w:b w:val="false"/>
          <w:strike/>
          <w:color w:val="FF0000"/>
          <w:sz w:val="24"/>
        </w:rPr>
        <w:t>Existing</w:t>
      </w:r>
      <w:r>
        <w:rPr>
          <w:color w:val="FF0000"/>
        </w:rPr>
        <w:t xml:space="preserve"> </w:t>
      </w:r>
      <w:r>
        <w:rPr>
          <w:rFonts w:ascii="Times New Roman;sans-serif" w:hAnsi="Times New Roman;sans-serif"/>
          <w:b w:val="false"/>
          <w:color w:val="000000"/>
          <w:sz w:val="24"/>
        </w:rPr>
        <w:t xml:space="preserve">Revolving Loans (to the extent not repaid on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w:t>
      </w:r>
      <w:r>
        <w:rPr>
          <w:color w:val="0000FF"/>
        </w:rPr>
        <w:t xml:space="preserve"> </w:t>
      </w:r>
      <w:r>
        <w:rPr>
          <w:rFonts w:ascii="Times New Roman;sans-serif" w:hAnsi="Times New Roman;sans-serif"/>
          <w:b w:val="false"/>
          <w:color w:val="0000FF"/>
          <w:sz w:val="24"/>
          <w:u w:val="single"/>
        </w:rPr>
        <w:t>Amendment Effective</w:t>
      </w:r>
      <w:r>
        <w:rPr>
          <w:color w:val="0000FF"/>
        </w:rPr>
        <w:t xml:space="preserve"> </w:t>
      </w:r>
      <w:r>
        <w:rPr>
          <w:rFonts w:ascii="Times New Roman;sans-serif" w:hAnsi="Times New Roman;sans-serif"/>
          <w:b w:val="false"/>
          <w:color w:val="000000"/>
          <w:sz w:val="24"/>
        </w:rPr>
        <w:t xml:space="preserve">Date) owed to such Lender </w:t>
      </w:r>
      <w:r>
        <w:rPr>
          <w:rFonts w:ascii="Times New Roman;sans-serif" w:hAnsi="Times New Roman;sans-serif"/>
          <w:b w:val="false"/>
          <w:color w:val="0000FF"/>
          <w:sz w:val="24"/>
          <w:u w:val="single"/>
        </w:rPr>
        <w:t>immediately prior to giving effect to the</w:t>
      </w:r>
      <w:r>
        <w:rPr>
          <w:color w:val="0000FF"/>
        </w:rPr>
        <w:t xml:space="preserve"> </w:t>
      </w:r>
      <w:r>
        <w:rPr>
          <w:rFonts w:ascii="Times New Roman;sans-serif" w:hAnsi="Times New Roman;sans-serif"/>
          <w:b w:val="false"/>
          <w:color w:val="0000FF"/>
          <w:sz w:val="24"/>
          <w:u w:val="single"/>
        </w:rPr>
        <w:t xml:space="preserve">Second Amendment, </w:t>
      </w:r>
      <w:r>
        <w:rPr>
          <w:rFonts w:ascii="Times New Roman;sans-serif" w:hAnsi="Times New Roman;sans-serif"/>
          <w:b w:val="false"/>
          <w:color w:val="000000"/>
          <w:sz w:val="24"/>
        </w:rPr>
        <w:t xml:space="preserve">shall remain outstanding and shall be deemed to be continuing Revolving Loans and (B) to provide a revolving credit facility available as loans </w:t>
      </w:r>
      <w:r>
        <w:rPr>
          <w:rFonts w:ascii="Times New Roman;sans-serif" w:hAnsi="Times New Roman;sans-serif"/>
          <w:b w:val="false"/>
          <w:strike/>
          <w:color w:val="FF0000"/>
          <w:sz w:val="24"/>
        </w:rPr>
        <w:t>(collectively with the Existing Revolving Loans (to the extent not repaid on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5975"/>
                <wp:effectExtent l="0" t="0" r="0" b="0"/>
                <wp:wrapNone/>
                <wp:docPr id="56" name="Frame5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strike/>
          <w:color w:val="FF0000"/>
          <w:sz w:val="24"/>
        </w:rPr>
        <w:t>Restatement Date), each, a “</w:t>
      </w:r>
      <w:r>
        <w:rPr>
          <w:rFonts w:ascii="Times New Roman;sans-serif" w:hAnsi="Times New Roman;sans-serif"/>
          <w:b w:val="false"/>
          <w:strike/>
          <w:color w:val="FF0000"/>
          <w:sz w:val="24"/>
          <w:u w:val="single"/>
        </w:rPr>
        <w:t>Revolving Loan</w:t>
      </w:r>
      <w:r>
        <w:rPr>
          <w:strike/>
          <w:color w:val="FF0000"/>
        </w:rPr>
        <w:t xml:space="preserve">” </w:t>
      </w:r>
      <w:r>
        <w:rPr>
          <w:rFonts w:ascii="Times New Roman;sans-serif" w:hAnsi="Times New Roman;sans-serif"/>
          <w:b w:val="false"/>
          <w:strike/>
          <w:color w:val="FF0000"/>
          <w:sz w:val="24"/>
        </w:rPr>
        <w:t>and, collectively, the “</w:t>
      </w:r>
      <w:r>
        <w:rPr>
          <w:rFonts w:ascii="Times New Roman;sans-serif" w:hAnsi="Times New Roman;sans-serif"/>
          <w:b w:val="false"/>
          <w:strike/>
          <w:color w:val="FF0000"/>
          <w:sz w:val="24"/>
          <w:u w:val="single"/>
        </w:rPr>
        <w:t>Revolving Loans</w:t>
      </w:r>
      <w:r>
        <w:rPr>
          <w:strike/>
          <w:color w:val="FF0000"/>
        </w:rPr>
        <w:t>”</w:t>
      </w:r>
      <w:r>
        <w:rPr>
          <w:rFonts w:ascii="Times New Roman;sans-serif" w:hAnsi="Times New Roman;sans-serif"/>
          <w:b w:val="false"/>
          <w:strike/>
          <w:color w:val="FF0000"/>
          <w:sz w:val="24"/>
        </w:rPr>
        <w:t>)</w:t>
      </w:r>
      <w:r>
        <w:rPr>
          <w:color w:val="FF0000"/>
        </w:rPr>
        <w:t xml:space="preserve"> </w:t>
      </w:r>
      <w:r>
        <w:rPr>
          <w:rFonts w:ascii="Times New Roman;sans-serif" w:hAnsi="Times New Roman;sans-serif"/>
          <w:b w:val="false"/>
          <w:color w:val="000000"/>
          <w:sz w:val="24"/>
        </w:rPr>
        <w:t xml:space="preserve">to the Borrower on a revolving basis and participate in Facility LCs issued upon the request of the Borrower, at any time and from time to time during the period from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 Amendment Effective</w:t>
      </w:r>
      <w:r>
        <w:rPr>
          <w:color w:val="0000FF"/>
        </w:rPr>
        <w:t xml:space="preserve"> </w:t>
      </w:r>
      <w:r>
        <w:rPr>
          <w:rFonts w:ascii="Times New Roman;sans-serif" w:hAnsi="Times New Roman;sans-serif"/>
          <w:b w:val="false"/>
          <w:color w:val="000000"/>
          <w:sz w:val="24"/>
        </w:rPr>
        <w:t>Date to the Facility Termination Date, during which period the Borrower may borrow, repay and reborrow in accordance with the provisions hereof, provided that, after giving effect to the making of each Revolving Loan and the issuance of each Facility LC, (i) such Credit Extension would not cause the Aggregate Outstanding Credit Exposure to exceed the Aggregate Commitment, and (ii) the Dollar amount of such Lender’s Outstanding Credit Exposure shall not exceed its Revolving Commitment. The Revolving Commitments shall expire on the Facility Termination Date. The LC Issuers shall issue Facility LCs on the terms and conditions set forth in Section 2.17. The Revolving Loans and any portion of the balance thereof may be made, obtained, and maintained at the election of the Borrower, but subject to the limitations hereof, as Base Rate Advances or Term SOFR Advances as the Borrower elects in its notice of borrowing, continuation, or conversion.</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Aggregate Commitment</w:t>
      </w:r>
      <w:r>
        <w:rPr>
          <w:rFonts w:ascii="Times New Roman;sans-serif" w:hAnsi="Times New Roman;sans-serif"/>
          <w:b w:val="false"/>
          <w:color w:val="000000"/>
          <w:sz w:val="24"/>
        </w:rPr>
        <w:t>. If at any time the Dollar amount of the Aggregate Outstanding Credit Exposure exceeds the then current Aggregate Commitment, the Borrower shall promptly, and in any event within one Business Day, make a payment on Revolving Loans, Swing Line Loans, or Reimbursement Obligations sufficient to eliminate such excess. Any such payments shall be applied to the Revolving Loans first against Base Rate Advances and then to Term SOFR Advances in order starting with the Term SOFR Advances having the shortest time to the end of the applicable Interest Period. If, after payment of all outstanding Revolving Loans, the Aggregate Outstanding Credit Exposure still exceeds the Aggregate Commitment, the remaining amount paid by the Borrower shall be Cash Collateral.</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Revolving Loan Repayment; Facility Termination Date</w:t>
      </w:r>
      <w:r>
        <w:rPr>
          <w:rFonts w:ascii="Times New Roman;sans-serif" w:hAnsi="Times New Roman;sans-serif"/>
          <w:b w:val="false"/>
          <w:color w:val="000000"/>
          <w:sz w:val="24"/>
        </w:rPr>
        <w:t>. The Aggregate Outstanding Credit Exposure and all other unpaid Obligations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 shall be paid in full by the Borrower on the Facility Termination Date.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Ratable Loans; Types of Advances</w:t>
      </w:r>
      <w:r>
        <w:rPr>
          <w:rFonts w:ascii="Times New Roman;sans-serif" w:hAnsi="Times New Roman;sans-serif"/>
          <w:b w:val="false"/>
          <w:color w:val="000000"/>
          <w:sz w:val="24"/>
        </w:rPr>
        <w:t>. Each Advance hereunder (other than any Swing Line Loan) shall consist of Revolving Loans made from the several Lenders ratably according to their Revolving Percentages. The Advances may be Base Rate Advances or Term SOFR Advances, or a combination thereof, selected by the Borrower in accordance with Sections 2.6, 2.7 and 2.8, or Swing Line Loans selected by the Borrower in accordance with Section 2.21.</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Commitment Fee</w:t>
      </w:r>
      <w:r>
        <w:rPr>
          <w:rFonts w:ascii="Times New Roman;sans-serif" w:hAnsi="Times New Roman;sans-serif"/>
          <w:b w:val="false"/>
          <w:color w:val="000000"/>
          <w:sz w:val="24"/>
        </w:rPr>
        <w:t>. The Borrower agrees to pay to the Administrative Agent for the account of each Lender according to its Revolving Percentage a commitment fee at a per annum rate equal to the Applicable Fee Rate on the average daily Available Aggregate Commitment from the Restatement Date to and including the Facility Termination Date, payable on the last day of each Fiscal Quarter and on the Facility Termination Date (the “</w:t>
      </w:r>
      <w:r>
        <w:rPr>
          <w:rFonts w:ascii="Times New Roman;sans-serif" w:hAnsi="Times New Roman;sans-serif"/>
          <w:b w:val="false"/>
          <w:color w:val="000000"/>
          <w:sz w:val="24"/>
          <w:u w:val="single"/>
        </w:rPr>
        <w:t>Revolving Commitment Fee</w:t>
      </w:r>
      <w:r>
        <w:rPr>
          <w:color w:val="000000"/>
        </w:rPr>
        <w:t>”</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5975"/>
                <wp:effectExtent l="0" t="0" r="0" b="0"/>
                <wp:wrapNone/>
                <wp:docPr id="57" name="Frame5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Swing Line Loans shall not count as usage of the Aggregate Commitment for the purpose of calculating the commitment fee due hereunder with respect to any Lender other than the Swing Line Lender, except to the extent another Lender’s participation in such Swing Line Loans has been funded by such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Minimum Amount of Each Advance</w:t>
      </w:r>
      <w:r>
        <w:rPr>
          <w:rFonts w:ascii="Times New Roman;sans-serif" w:hAnsi="Times New Roman;sans-serif"/>
          <w:b w:val="false"/>
          <w:color w:val="000000"/>
          <w:sz w:val="24"/>
        </w:rPr>
        <w:t xml:space="preserve">. Each Term SOFR Advance shall be in the minimum amount of $250,000, or if more, in integral multiples of $100,000 above $250,000 and each Base Rate Advance (other than an Advance to repay Swing Line Loans) shall be in the minimum amount of $250,000, or if more, in integral multiples of $100,000 above $250,000,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any Base Rate Advance in respect of a Revolving Loan may be in the amount of the then current Available Aggregate Commitment.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Reductions in Aggregate Commitment; Optional Principal Payments</w:t>
      </w:r>
      <w:r>
        <w:rPr>
          <w:rFonts w:ascii="Times New Roman;sans-serif" w:hAnsi="Times New Roman;sans-serif"/>
          <w:b w:val="false"/>
          <w:color w:val="000000"/>
          <w:sz w:val="24"/>
        </w:rPr>
        <w:t xml:space="preserve">. The Borrower may permanently reduce the Aggregate Commitment in whole, or in part ratably among the Lenders in the minimum amount of $500,000, upon at least three Business Days’ written notice to the Administrative Agent, which notice shall specify the amount of any such reduction,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amount of the Aggregate Commitment may not be reduced below the Aggregate Outstanding Credit Exposure. Upon termination of the Revolving Commitments pursuant to this Section, no further Swing Line Loans shall be permitted and the Borrower shall pay to the Administrative Agent for the account of the Lenders the full amount of all outstanding Revolving Loans and Swing Line Loans, all accrued and unpaid interest thereon, all unpaid Revolving Commitment Fees, and LC Fees accrued to the date of such termination, any indemnities payable with respect to Revolving Loans or Swing Line Loans pursuant to</w:t>
      </w:r>
    </w:p>
    <w:p>
      <w:pPr>
        <w:pStyle w:val="TextBody"/>
        <w:bidi w:val="0"/>
        <w:spacing w:lineRule="auto" w:line="288" w:before="1" w:after="283"/>
        <w:jc w:val="left"/>
        <w:rPr/>
      </w:pPr>
      <w:r>
        <w:rPr>
          <w:rFonts w:ascii="Times New Roman;sans-serif" w:hAnsi="Times New Roman;sans-serif"/>
          <w:b w:val="false"/>
          <w:color w:val="000000"/>
          <w:sz w:val="24"/>
        </w:rPr>
        <w:t>Section 3.4 and all other unpaid Obligations in connection with any Revolving Loans or Swing Line Loans. The Borrower may from time to time pay, without penalty or premium, all outstanding Base Rate Advances (other than Swing Line Loans), or, in a minimum aggregate amount of $250,000, or if more, in integral multiples of $100,000 above $250,000, any portion of the outstanding Base Rate Advances (other than Swing Line Loans) upon same day notice to the Administrative Agent. The Borrower may at any time pay, without penalty or premium, all outstanding Swing Line Loans, or any portion of the outstanding Swing Line Loans, with notice to the Administrative Agent and the Swing Line Lender by 11:00 a.m. (Minneapolis time) on the date of repayment. The Borrower may from time to time pay, subject to the payment of any funding indemnification amounts required by Section 3.4 but without penalty or premium, all outstanding Term SOFR Advances, or, in a minimum aggregate amount of $250,000 or if more, in integral multiples of $100,000 above $250,000 (or such lesser amount to the extent such payment is made in connection with any overnight sweep account with the Administrative Agent), any portion of the outstanding Term SOFR Advances upon three Business Days’ prior notice to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 Amounts paid or prepaid on the Revolving Loans under this Section shall be for the account of each Lender in proportion to its share of outstanding Revolving Loans. Any optional prepayments that the Administrative Agent receives after 2:00 p.m. (Minneapolis time) shall be deemed to have been received on the next Business Day.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Method of Selecting Types and Interest Periods for New Advances</w:t>
      </w:r>
      <w:r>
        <w:rPr>
          <w:rFonts w:ascii="Times New Roman;sans-serif" w:hAnsi="Times New Roman;sans-serif"/>
          <w:b w:val="false"/>
          <w:color w:val="000000"/>
          <w:sz w:val="24"/>
        </w:rPr>
        <w:t xml:space="preserve">. The Borrower shall select the Type of Advance and, in the case of each Term SOFR Advance, the Interest Period applicable thereto from time to time. The Borrower shall give the Administrative Agent irrevocable notice in the form 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Borrowing Notice</w:t>
      </w:r>
      <w:r>
        <w:rPr>
          <w:color w:val="000000"/>
        </w:rPr>
        <w:t>”</w:t>
      </w:r>
      <w:r>
        <w:rPr>
          <w:rFonts w:ascii="Times New Roman;sans-serif" w:hAnsi="Times New Roman;sans-serif"/>
          <w:b w:val="false"/>
          <w:color w:val="000000"/>
          <w:sz w:val="24"/>
        </w:rPr>
        <w:t>) not later than 12:00 p.m.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5975"/>
                <wp:effectExtent l="0" t="0" r="0" b="0"/>
                <wp:wrapNone/>
                <wp:docPr id="58" name="Frame5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(Minneapolis time) on the Borrowing Date of each Base Rate Advance (other than a Swing Line Loan) and three Business Days before the Borrowing Date for each Term SOFR Advance, specifying:</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(a)the Borrowing Date, which shall be a Business Day, of such Advance,</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(b)the aggregate amount of such Advance,</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(c)the Type of Advance selected, and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(d)in the case of each Term SOFR Advance, the Interest Period applicable thereto;</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 later than 2:00 p.m. (Minneapolis time) on each Borrowing Date, each Lender shall make available its Loan or Loans in funds immediately available to the Administrative Agent at its address specified pursuant to Article XIII. The Administrative Agent will make the funds so received from the Lenders available to the applicable Borrower pursuant to the Borrowing Notice.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Conversion and Continuation of Outstanding Advances</w:t>
      </w:r>
      <w:r>
        <w:rPr>
          <w:rFonts w:ascii="Times New Roman;sans-serif" w:hAnsi="Times New Roman;sans-serif"/>
          <w:b w:val="false"/>
          <w:color w:val="000000"/>
          <w:sz w:val="24"/>
        </w:rPr>
        <w:t>. Base Rate Advances (other than Swing Line Loans) shall continue as Base Rate Advances unless and until such Base Rate Advances are converted into Term SOFR Advances pursuant to this Section or are repaid in accordance with Section 2.5. Each Term SOFR Advance denominated in Dollars shall continue as a Term SOFR Advance until the end of the then applicable Interest Period therefor, at which time such Term SOFR Advance shall be automatically converted into a Base Rate Advance unless (x) such Term SOFR Advance is or was repaid in accordance with Section 2.5 or (y) the Borrower has given the Administrative Agent a Conversion/Continuation Notice (as defined below) requesting that, at the end of such Interest Period, such Term SOFR Advance continue as a Term SOFR Advance for the same or another Interest Period. Subject to the terms of</w:t>
      </w:r>
    </w:p>
    <w:p>
      <w:pPr>
        <w:pStyle w:val="TextBody"/>
        <w:bidi w:val="0"/>
        <w:spacing w:lineRule="auto" w:line="288" w:before="0" w:after="0"/>
        <w:jc w:val="left"/>
        <w:rPr/>
      </w:pPr>
      <w:r>
        <w:rPr>
          <w:rFonts w:ascii="Times New Roman;sans-serif" w:hAnsi="Times New Roman;sans-serif"/>
          <w:b w:val="false"/>
          <w:color w:val="000000"/>
          <w:sz w:val="24"/>
        </w:rPr>
        <w:t>Section 2.4, the Borrower may elect from time to time to convert all or any part of a Base Rate Advance (other than a Swing Line Loan) into a Term SOFR Advance. The Borrower shall give the Administrative Agent irrevocable notice (a “</w:t>
      </w:r>
      <w:r>
        <w:rPr>
          <w:rFonts w:ascii="Times New Roman;sans-serif" w:hAnsi="Times New Roman;sans-serif"/>
          <w:b w:val="false"/>
          <w:color w:val="000000"/>
          <w:sz w:val="24"/>
          <w:u w:val="single"/>
        </w:rPr>
        <w:t>Conversion/Continuation Notice</w:t>
      </w:r>
      <w:r>
        <w:rPr>
          <w:color w:val="000000"/>
        </w:rPr>
        <w:t>”</w:t>
      </w:r>
      <w:r>
        <w:rPr>
          <w:rFonts w:ascii="Times New Roman;sans-serif" w:hAnsi="Times New Roman;sans-serif"/>
          <w:b w:val="false"/>
          <w:color w:val="000000"/>
          <w:sz w:val="24"/>
        </w:rPr>
        <w:t>) of each conversion of a Base Rate Advance into a Term SOFR Advance, conversion of a Term SOFR Advance to a Base Rate Advance, or continuation of a Term SOFR Advance not later than 12:00 p.m. (Minneapolis time) at least three Business Days prior to the date of the requested conversion or continuation, specifying:</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(a)the requested date, which shall be a Business Day, of such conversion or continuation,</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(b)the amount and Type of the Advance that is to be converted or continued,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(c)the amount of such Advance that is to be converted into or continued as 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Term SOFR Advance and the duration of the Interest Period applicable thereto.</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Agreement, any Lender may exchange, continue or roll over all or a portion of its Loans in connection with any refinancing, extension, loan extension, loan modification or similar transaction permitted by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5975"/>
                <wp:effectExtent l="0" t="0" r="0" b="0"/>
                <wp:wrapNone/>
                <wp:docPr id="59" name="Frame5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a cashless settlement mechanism approved by the Borrower, the Administrative Agent and such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Interest Rates</w:t>
      </w:r>
      <w:r>
        <w:rPr>
          <w:rFonts w:ascii="Times New Roman;sans-serif" w:hAnsi="Times New Roman;sans-serif"/>
          <w:b w:val="false"/>
          <w:color w:val="000000"/>
          <w:sz w:val="24"/>
        </w:rPr>
        <w:t xml:space="preserve">. Each Base Rate Advance (other than a Swing Line Loan) shall bear interest on the outstanding principal amount thereof, for each day from and including the date such Advance is made or is automatically converted from a Term SOFR Advance into a Base Rate Advance pursuant to Section 2.7, to but excluding the date it becomes due or is converted into a Term SOFR Advance pursuant to Section 2.7, at a rate per annum equal to the Base Rate for such day;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a Base Rate Advance is due as a result of an Event of Default or is otherwise outstanding during the continuance of an Event of Default, the Base Rate shall continue to apply thereto plus such other amounts as required under Section 2.9. Changes in the rate of interest on the portion of any Advance maintained as a Base Rate Advance will take effect simultaneously with each change in the Base Rate. Each Swing Line Loan shall bear interest on the outstanding principal amount thereof, for each day from and including the day such Swing Line Loan is made to but excluding the date it is paid, at a rate per annum equal to either the Base Rate for such day or if elected by Borrower, at the Term SOFR Rate for a one month Interest Period on such day. Each Term SOFR Advance shall bear interest on the outstanding principal amount thereof from and including the first day of the Interest Period applicable thereto to (but not including) the last day of such Interest Period at the interest rate reasonably determined by the Administrative Agent as applicable to such Term SOFR Advance based upon the Borrower’s selections under Sections 2.6 and 2.7 and otherwise in accordance with the terms hereof. No Interest Period may end after the Facility Termination Date. Notwithstanding anything to the contrary in this Agreement, without the prior written consent of the Required Lenders, the Borrower shall not maintain more than six Term SOFR Advances at any time.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Rates Applicable After Event of Default</w:t>
      </w:r>
      <w:r>
        <w:rPr>
          <w:rFonts w:ascii="Times New Roman;sans-serif" w:hAnsi="Times New Roman;sans-serif"/>
          <w:b w:val="false"/>
          <w:color w:val="000000"/>
          <w:sz w:val="24"/>
        </w:rPr>
        <w:t xml:space="preserve">. Notwithstanding anything to the contrary in Section 2.6, 2.7, or 2.8, during the continuance of a Default or Event of Default, the Required Lenders may, at their option, by notice to the Borrower (which notice may be revoked at the option of all of the Lenders), declare that no Advance may be made as, converted into or continued as a Term SOFR Advance until such Default or Event of Default is cured or waived. During the continuance of an Event of Default, the Required Lenders may, at their option, by notice to the Borrower (which notice and implementation of the Default Rate may be revoked at the option of all of the Lenders), declare that (i) each Term SOFR Advance shall bear interest for the remainder of the applicable Interest Period at the rate otherwise applicable to such Interest Period plus 2% per annum, (ii) each Base Rate Advance shall bear interest at a rate per annum equal to the Base Rate in effect from time to time plus 2% per annum, and (iii) the LC Fee shall be increased by 2% per annum,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during the continuance of an Event of Default under Section 7.2, 7.6 or 7.7, the 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cured or waived, the interest rate applicable to Advances and the LC Fee shall revert to the rates applicable prior to the occurrence of an Event of Default. Notwithstanding anything herein to the contrary, failure by the Administrative Agent to deliver written notice of an election to declare that the interest rates set forth in clauses (i) and (ii) above and the increase in the LC Fee set forth in clause (iii) above shall be so increased on the date of the occurrence of the applicable Event of Default shall not limit or restrict the Administrative Agent from declaring that interest rates set forth in clauses (i) and (ii) above and the increase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5975"/>
                <wp:effectExtent l="0" t="0" r="0" b="0"/>
                <wp:wrapNone/>
                <wp:docPr id="60" name="Frame6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LC Fee set forth in clause (iii) above shall be so increased as of the date of the occurrence of the applicable Event of Default, so long as (x) the Administrative Agent delivers notice of such election within 90 days of obtaining knowledge of such Event of Default, and (y) such Event of Default is continuing at the time of such election.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Method of Payment</w:t>
      </w:r>
      <w:r>
        <w:rPr>
          <w:rFonts w:ascii="Times New Roman;sans-serif" w:hAnsi="Times New Roman;sans-serif"/>
          <w:b w:val="false"/>
          <w:color w:val="000000"/>
          <w:sz w:val="24"/>
        </w:rPr>
        <w:t>. Each Advance shall be repaid and each payment of interest thereon shall be paid in Dollars. All payments of the Obligations hereunder shall be made, without setoff, deduction or counterclaim, in immediately available funds to the Administrative Agent at the Administrative Agent’s address specified pursuant to Article XIII, or at any other Lending Installation of the Administrative Agent specified in writing by the Administrative Agent to the Borrower (which written notice shall be delivered to Borrower at least one Business Day prior to the due date of the applicable payment) by 12:00 p.m. (Minneapolis time) on the date when due and shall (except (i) with respect to payments of Swing Line Loans, (ii) in the case of Reimbursement Obligations for which the LC Issuers have not been fully indemnified by the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or at any Lending Installation specified in a notice received by the Administrative Agent from such Lender. The Administrative Agent is hereby authorized to charge the account of the Borrower maintained with U.S. Bank for each payment of principal, interest, Reimbursement Obligations and fees as it becomes due hereunder. Each reference to the Administrative Agent in this Section shall also be deemed to refer, and shall apply equally, to the LC Issuers, in the case of payments required to be made by the Borrower to the LC Issuers pursuant to Section 2.17.6.</w:t>
      </w:r>
    </w:p>
    <w:p>
      <w:pPr>
        <w:pStyle w:val="TextBody"/>
        <w:bidi w:val="0"/>
        <w:spacing w:lineRule="auto" w:line="288" w:before="241" w:after="283"/>
        <w:ind w:left="0" w:right="0" w:hanging="720"/>
        <w:jc w:val="left"/>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Evidence of Indebtedness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(iii) the original stated amount of each Facility LC and the amount of LC Obligations outstanding at any time and (iv) the amount of any sum received by the Administrative Agent hereunder from the Borrower and each Lender’s share thereof.</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(c)The entries in the accounts maintained pursuant to paragraphs (a) and (b) above shall be </w:t>
      </w:r>
      <w:r>
        <w:rPr>
          <w:rFonts w:ascii="Times New Roman;sans-serif" w:hAnsi="Times New Roman;sans-serif"/>
          <w:b w:val="false"/>
          <w:i/>
          <w:color w:val="000000"/>
          <w:sz w:val="24"/>
        </w:rPr>
        <w:t xml:space="preserve">prima facie </w:t>
      </w:r>
      <w:r>
        <w:rPr>
          <w:rFonts w:ascii="Times New Roman;sans-serif" w:hAnsi="Times New Roman;sans-serif"/>
          <w:b w:val="false"/>
          <w:color w:val="000000"/>
          <w:sz w:val="24"/>
        </w:rPr>
        <w:t xml:space="preserve">evidence of the existence and amounts of the Obligations therein recorded;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failure of the Administrative Agent or any Lender to maintain such accounts or any error therein shall not in any manner affect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5975"/>
                <wp:effectExtent l="0" t="0" r="0" b="0"/>
                <wp:wrapNone/>
                <wp:docPr id="61" name="Frame6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joint and several obligation of the Borrower to repay the Obligations in accordance with their terms.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(d)Any Lender may request that its Revolving Loans be evidenced by a promissory note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xml:space="preserve">, or, in the case of the Swing Line Lender, that its Swing Line Loans be evidenced by a promissory note substantially in the form of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Note</w:t>
      </w:r>
      <w:r>
        <w:rPr>
          <w:color w:val="000000"/>
        </w:rPr>
        <w:t>”</w:t>
      </w:r>
      <w:r>
        <w:rPr>
          <w:rFonts w:ascii="Times New Roman;sans-serif" w:hAnsi="Times New Roman;sans-serif"/>
          <w:b w:val="false"/>
          <w:color w:val="000000"/>
          <w:sz w:val="24"/>
        </w:rPr>
        <w:t>), which Notes in the case of Lenders that are party to the Existing Credit Agreement shall amend and restate on the Restatement Date the promissory notes issued under the Existing Credit Agreement for the Revolving Loans (defined in the Existing Credit Agreement) and the Swing Line Loans (as defined in the Existing Credit Agreement), respectively. By each Lender’s signature to this Agreement, such Lender agrees to such amendment and restatement. In such event, the Borrower shall prepare, execute and deliver to such Lender such Notes payable to such Lender. Thereafter, the Loans evidenced by such Note and interest thereon shall at all times (prior to any assignment pursuant to Section 12.3) be represented by one or more Notes payable to the payee named therein, except to the extent that any such Lender subsequently returns any such Note for cancellation and requests that such Loans once again be evidenced as described in clauses (b)(i) and (ii) above.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Telephonic Notices</w:t>
      </w:r>
      <w:r>
        <w:rPr>
          <w:rFonts w:ascii="Times New Roman;sans-serif" w:hAnsi="Times New Roman;sans-serif"/>
          <w:b w:val="false"/>
          <w:color w:val="000000"/>
          <w:sz w:val="24"/>
        </w:rPr>
        <w:t>. The Borrower hereby authorizes the Lenders and the Administrative Agent to extend, convert or continue Advances, effect selections of Types of Advances and transfer funds based on telephonic notices made by any person or persons the Administrative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Administrative Agent a written confirmation (which may be an e-mail confirmation) of each telephonic notice authenticated by an Authorized Officer. If the written confirmation differs in any material respect from the action taken by the Administrative Agent and the Lenders, the records of the Administrative Agent and the Lenders shall govern absent manifest error.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Interest Payment Dates; Interest and Fee Basis</w:t>
      </w:r>
      <w:r>
        <w:rPr>
          <w:rFonts w:ascii="Times New Roman;sans-serif" w:hAnsi="Times New Roman;sans-serif"/>
          <w:b w:val="false"/>
          <w:color w:val="000000"/>
          <w:sz w:val="24"/>
        </w:rPr>
        <w:t>. Interest accrued on each Base Rate Advance shall be payable in arrears quarterly on the first Business Day of each quarter commencing with the first such date after the Fiscal Quarter ending April 3, 2022 and at maturity. Interest accrued on each Term SOFR Advance shall be payable on the last Business Day of its applicable Interest Period, on any date on which the Term SOFR Advance is prepaid, whether by acceleration or otherwise, and at maturity. Interest accrued on each Term SOFR Advance having an Interest Period longer than three months shall also be payable on the last Business Day of each three-month interval during such Interest Period. Interest accrued pursuant to Section 2.9 shall be payable on demand. Interest on all Advances and fees shall be calculated for actual days elapsed on the basis of a 360-day year, except that interest computed by reference to the Base Rate based on the Prime Rate shall be calculated for actual days elapsed on the basis of a 365/366-day year. Interest shall be payable for the day an Advance is made but not for the day of any payment on the amount paid if payment is received prior to noon (local time) at the place of payment. If any payment of principal of or interest on an Advance becomes due on a day that is not a Business Day, such payment shall be made on the next succeeding Business Day; provided that if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5975"/>
                <wp:effectExtent l="0" t="0" r="0" b="0"/>
                <wp:wrapNone/>
                <wp:docPr id="62" name="Frame6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succeeding Business Day is in the next calendar month, such payment shall be made on the immediately preceding Business Day.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Notification of Advances, Interest Rates, Prepayments and Commitment</w:t>
      </w:r>
      <w:r>
        <w:rPr>
          <w:color w:val="000000"/>
        </w:rPr>
        <w:t xml:space="preserve"> </w:t>
      </w:r>
      <w:r>
        <w:rPr>
          <w:rFonts w:ascii="Times New Roman;sans-serif" w:hAnsi="Times New Roman;sans-serif"/>
          <w:b w:val="false"/>
          <w:color w:val="000000"/>
          <w:sz w:val="24"/>
          <w:u w:val="single"/>
        </w:rPr>
        <w:t>Reductions</w:t>
      </w:r>
      <w:r>
        <w:rPr>
          <w:rFonts w:ascii="Times New Roman;sans-serif" w:hAnsi="Times New Roman;sans-serif"/>
          <w:b w:val="false"/>
          <w:color w:val="000000"/>
          <w:sz w:val="24"/>
        </w:rPr>
        <w:t>. Promptly after receipt thereof, the Administrative Agent will notify each Lender of the contents of each Aggregate Commitment reduction notice, Borrowing Notice, Swing Line Borrowing Notice, Conversion/Continuation Notice and repayment notice. Promptly after notice from the applicable LC Issuer, the Administrative Agent will notify each Lender of the contents of each request for issuance of a Facility LC hereunder. The Administrative Agent will notify each Lender of the interest rate applicable to each Term SOFR Advance promptly upon determination of such interest rate and will give each Lender prompt notice of each change in the Base Rate.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Lending Installations</w:t>
      </w:r>
      <w:r>
        <w:rPr>
          <w:rFonts w:ascii="Times New Roman;sans-serif" w:hAnsi="Times New Roman;sans-serif"/>
          <w:b w:val="false"/>
          <w:color w:val="000000"/>
          <w:sz w:val="24"/>
        </w:rPr>
        <w:t>. Each Lender may book its Advances and its participation in any LC Obligations, and an LC Issuer may book the Facility LCs, at any Lending Installation selected by such Lender or such LC Issuer, as the case may be, and any Lender or the LC Issuer may change its Lending Installation from time to time. All terms of this Agreement shall apply to any such Lending Installation, and the Loans, Facility LCs, participations in LC Obligations and any Notes issued hereunder shall be deemed held by each Lender or each LC Issuer, as the case may be, for the benefit of any such Lending Installation. Each Lender and each LC Issuer may, by written notice to the Administrative Agent and the Borrower in accordance with Article XIII, designate replacement or additional Lending Installations through which it will make Loans or issue Facility LCs and for whose account Loan payments or payments with respect to Facility LCs are to be made.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Non-Receipt of Funds by the Administrative Agent</w:t>
      </w:r>
      <w:r>
        <w:rPr>
          <w:rFonts w:ascii="Times New Roman;sans-serif" w:hAnsi="Times New Roman;sans-serif"/>
          <w:b w:val="false"/>
          <w:color w:val="000000"/>
          <w:sz w:val="24"/>
        </w:rPr>
        <w:t>. Unless the Borrower or a Lender, as the case may be, notifies 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the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from and including the date such amount was so made available by the Administrative Agent until the date the Administrative Agent recovers such amount at a rate per annum equal to (x) in the case of payment by a Lender, the Federal Funds Effective Rate for such day for the first three days and, thereafter, the interest rate applicable to the relevant Loan or (y) in the case of payment by the Borrower, the interest rate applicable to the relevant Loan.</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Facility LCs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1.17.1</w:t>
      </w:r>
      <w:r>
        <w:rPr>
          <w:rFonts w:ascii="Times New Roman;sans-serif" w:hAnsi="Times New Roman;sans-serif"/>
          <w:b w:val="false"/>
          <w:color w:val="000000"/>
          <w:sz w:val="24"/>
          <w:u w:val="single"/>
        </w:rPr>
        <w:t>Issuance</w:t>
      </w:r>
      <w:r>
        <w:rPr>
          <w:rFonts w:ascii="Times New Roman;sans-serif" w:hAnsi="Times New Roman;sans-serif"/>
          <w:b w:val="false"/>
          <w:color w:val="000000"/>
          <w:sz w:val="24"/>
        </w:rPr>
        <w:t>. Each LC Issuer hereby agrees, on the terms and conditions set forth in this Agreement, to issue (or continue) Letters of Credit denominated in Dollars (each, a “</w:t>
      </w:r>
      <w:r>
        <w:rPr>
          <w:rFonts w:ascii="Times New Roman;sans-serif" w:hAnsi="Times New Roman;sans-serif"/>
          <w:b w:val="false"/>
          <w:color w:val="000000"/>
          <w:sz w:val="24"/>
          <w:u w:val="single"/>
        </w:rPr>
        <w:t>Facility LC</w:t>
      </w:r>
      <w:r>
        <w:rPr>
          <w:color w:val="000000"/>
        </w:rPr>
        <w:t>”</w:t>
      </w:r>
      <w:r>
        <w:rPr>
          <w:rFonts w:ascii="Times New Roman;sans-serif" w:hAnsi="Times New Roman;sans-serif"/>
          <w:b w:val="false"/>
          <w:color w:val="000000"/>
          <w:sz w:val="24"/>
        </w:rPr>
        <w:t>) and to renew, extend, increase, decrease or otherwise modify 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5975"/>
                <wp:effectExtent l="0" t="0" r="0" b="0"/>
                <wp:wrapNone/>
                <wp:docPr id="63" name="Frame6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Facility LC (“</w:t>
      </w:r>
      <w:r>
        <w:rPr>
          <w:rFonts w:ascii="Times New Roman;sans-serif" w:hAnsi="Times New Roman;sans-serif"/>
          <w:b w:val="false"/>
          <w:color w:val="000000"/>
          <w:sz w:val="24"/>
          <w:u w:val="single"/>
        </w:rPr>
        <w:t>Modify</w:t>
      </w:r>
      <w:r>
        <w:rPr>
          <w:rFonts w:ascii="Times New Roman;sans-serif" w:hAnsi="Times New Roman;sans-serif"/>
          <w:b w:val="false"/>
          <w:color w:val="000000"/>
          <w:sz w:val="24"/>
        </w:rPr>
        <w:t>,” and each such action a “</w:t>
      </w:r>
      <w:r>
        <w:rPr>
          <w:rFonts w:ascii="Times New Roman;sans-serif" w:hAnsi="Times New Roman;sans-serif"/>
          <w:b w:val="false"/>
          <w:color w:val="000000"/>
          <w:sz w:val="24"/>
          <w:u w:val="single"/>
        </w:rPr>
        <w:t>Modification</w:t>
      </w:r>
      <w:r>
        <w:rPr>
          <w:color w:val="000000"/>
        </w:rPr>
        <w:t>”</w:t>
      </w:r>
      <w:r>
        <w:rPr>
          <w:rFonts w:ascii="Times New Roman;sans-serif" w:hAnsi="Times New Roman;sans-serif"/>
          <w:b w:val="false"/>
          <w:color w:val="000000"/>
          <w:sz w:val="24"/>
        </w:rPr>
        <w:t xml:space="preserve">), from time to time from and including the Restatement Date and prior to the Facility Termination Date upon the request of the Borrower;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immediately after each such Facility LC is issued or Modified, (i) the aggregate Dollar amount of the outstanding LC Obligations shall not exceed $10,000,000 and (ii) the Aggregate Outstanding Credit Exposure shall not exceed the Aggregate Commitment; and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further that no LC Issuer shall be required to issue any Facility LC if (A) any binding order, judgment or decree of any Governmental Authority or arbitrator by its terms purports to enjoin or restrain such LC Issuer from issuing such Facility LC, or any legal requirement of general application applicable to such LC Issuer or any request or directive (whether or not having the force of law) from any governmental or public body authority with jurisdiction over the LC Issuer prohibits, or requests that such LC Issuer refrain from, the issuance of Letters of Credit or such Facility LC or imposes upon such LC Issuer with respect to such Facility LC any restriction, reserve or capital requirement (for which such LC Issuer is not otherwise compensated hereunder) not in effect on the Restatement Date, or imposes upon such LC Issuer any unreimbursed loss, cost, or expense that was not applicable on the Restatement Date and that such LC Issuer in good faith deems material to it; (B) the issuance of such Facility LC would violate any legal requirements or one or more policies of such LC Issuer applicable to Letters of Credit; (C) such Facility LC is to be denominated in a currency other than Dollars, (D) such Facility LC contains any provision for automatic reinstatement of the stated amount after any drawing thereunder, or (E) a default of any Lender’s reimbursement obligations under Section 2.17.5 exists or any Lender at such time is a Defaulting Lender, unless arrangements satisfactory to such LC Issuer have been entered into to eliminate such LC Issuer’s risk with respect to the participation in Facility LCs of such Defaulting Lender or Lenders, which may include requiring the Borrower to post cash collateral with the Administrative Agent in an amount equal to each Defaulting Lender’s pro rata share (based on such Lender’s Revolving Percentage) of all LC Obligations. No Facility LC shall have an expiry date later than the earlier of (x) the fifth Business Day prior to the Facility Termination Date and (y) one year after its issuance.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1.17.2</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Upon the issuance or Modification by a LC Issuer of a Facility LC, such LC Issuer shall be deemed, without further action by any party hereto, to have unconditionally and irrevocably sold to each Lender, and each Lender shall be deemed, without further action by any party hereto, to have unconditionally and irrevocably purchased from such LC Issuer, a participation in such Facility LC (and each Modification thereof) and the related LC Obligations in proportion to its Revolving Percentage.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1.17.3</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Subject to Section 2.17.1, the Borrower shall give the Administrative Agent notice prior to 12:00 p.m. (Minneapolis time) at least three Business Days prior to the proposed date of issuance or Modification of each Facility LC, specifying the LC Issuer,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applicable LC Issuer and each Lender of the contents thereof and of the amount of such Lender’s participation in such proposed Facility LC. The issuance or Modification by an LC Issuer of any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5975"/>
                <wp:effectExtent l="0" t="0" r="0" b="0"/>
                <wp:wrapNone/>
                <wp:docPr id="64" name="Frame6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LC shall, in addition to the conditions precedent set forth in Article IV, be subject to the conditions precedent that such Facility LC shall be satisfactory to such LC Issuer and that the Borrower shall have executed and delivered such application agreement and/or such other instruments and agreements relating to such Facility LC as such LC Issuer shall have reasonably requested (each, a “</w:t>
      </w:r>
      <w:r>
        <w:rPr>
          <w:rFonts w:ascii="Times New Roman;sans-serif" w:hAnsi="Times New Roman;sans-serif"/>
          <w:b w:val="false"/>
          <w:color w:val="000000"/>
          <w:sz w:val="24"/>
          <w:u w:val="single"/>
        </w:rPr>
        <w:t>Facility LC Application</w:t>
      </w:r>
      <w:r>
        <w:rPr>
          <w:color w:val="000000"/>
        </w:rPr>
        <w:t>”</w:t>
      </w:r>
      <w:r>
        <w:rPr>
          <w:rFonts w:ascii="Times New Roman;sans-serif" w:hAnsi="Times New Roman;sans-serif"/>
          <w:b w:val="false"/>
          <w:color w:val="000000"/>
          <w:sz w:val="24"/>
        </w:rPr>
        <w:t xml:space="preserve">). The applicable LC Issuer shall have no independent duty to ascertain whether the conditions set forth in Article IV have been satisfied;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such LC Issuer shall not issue a Facility LC if, on or before the proposed date of issuance, such LC Issuer has received notice from the Administrative Agent or the Required Lenders that any such condition has not been satisfied or waived. In the event of any conflict between the terms of this Agreement and the terms of any Facility LC Application, the terms of this Agreement shall control.</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1.17.4</w:t>
      </w:r>
      <w:r>
        <w:rPr>
          <w:rFonts w:ascii="Times New Roman;sans-serif" w:hAnsi="Times New Roman;sans-serif"/>
          <w:b w:val="false"/>
          <w:color w:val="000000"/>
          <w:sz w:val="24"/>
          <w:u w:val="single"/>
        </w:rPr>
        <w:t>LC Fees</w:t>
      </w:r>
      <w:r>
        <w:rPr>
          <w:rFonts w:ascii="Times New Roman;sans-serif" w:hAnsi="Times New Roman;sans-serif"/>
          <w:b w:val="false"/>
          <w:color w:val="000000"/>
          <w:sz w:val="24"/>
        </w:rPr>
        <w: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(a)The Borrower shall pay to the applicable LC Issuer with respect to each Facility LC, a nonrefundable fronting fee in an amount equal to 0.125% per annum of the face amount of each such Facility LC (the “</w:t>
      </w:r>
      <w:r>
        <w:rPr>
          <w:rFonts w:ascii="Times New Roman;sans-serif" w:hAnsi="Times New Roman;sans-serif"/>
          <w:b w:val="false"/>
          <w:color w:val="000000"/>
          <w:sz w:val="24"/>
          <w:u w:val="single"/>
        </w:rPr>
        <w:t>LC Fronting Fees</w:t>
      </w:r>
      <w:r>
        <w:rPr>
          <w:color w:val="000000"/>
        </w:rPr>
        <w:t>”</w:t>
      </w:r>
      <w:r>
        <w:rPr>
          <w:rFonts w:ascii="Times New Roman;sans-serif" w:hAnsi="Times New Roman;sans-serif"/>
          <w:b w:val="false"/>
          <w:color w:val="000000"/>
          <w:sz w:val="24"/>
        </w:rPr>
        <w:t>), and such LC Fronting Fees shall be due and payable on the date of the issuance (or renewal, if applicable) of each Facility LC.</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(b)The Borrower shall pay to the Administrative Agent, for the account of the Lenders ratably in accordance with their respective Revolving Percentage, with respect to each Facility LC, a letter of credit fee at a per annum rate equal to the Applicable Margin for Term SOFR Loans in effect from time to time on the original face amount of the Facility LC for the period from the date of issuance to the scheduled expiration date of such Facility LC, such fee to be payable in arrears on the last day of each Fiscal Quarter (the “</w:t>
      </w:r>
      <w:r>
        <w:rPr>
          <w:rFonts w:ascii="Times New Roman;sans-serif" w:hAnsi="Times New Roman;sans-serif"/>
          <w:b w:val="false"/>
          <w:color w:val="000000"/>
          <w:sz w:val="24"/>
          <w:u w:val="single"/>
        </w:rPr>
        <w:t>LC Fee</w:t>
      </w:r>
      <w:r>
        <w:rPr>
          <w:color w:val="000000"/>
        </w:rPr>
        <w:t>”</w:t>
      </w:r>
      <w:r>
        <w:rPr>
          <w:rFonts w:ascii="Times New Roman;sans-serif" w:hAnsi="Times New Roman;sans-serif"/>
          <w:b w:val="false"/>
          <w:color w:val="000000"/>
          <w:sz w:val="24"/>
        </w:rPr>
        <w:t>). The Borrower shall also pay to the applicable LC Issuer for its own account on demand all amendment, drawing and other fees regularly charged by such LC Issuer to its letter of credit customers and all out-of-pocket expenses reasonably incurred by such LC Issuer in connection with the issuance, Modification, administration or payment of any Facility LC.</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1.17.5</w:t>
      </w:r>
      <w:r>
        <w:rPr>
          <w:rFonts w:ascii="Times New Roman;sans-serif" w:hAnsi="Times New Roman;sans-serif"/>
          <w:b w:val="false"/>
          <w:color w:val="000000"/>
          <w:sz w:val="24"/>
          <w:u w:val="single"/>
        </w:rPr>
        <w:t>Administration; Reimbursement by Lenders</w:t>
      </w:r>
      <w:r>
        <w:rPr>
          <w:rFonts w:ascii="Times New Roman;sans-serif" w:hAnsi="Times New Roman;sans-serif"/>
          <w:b w:val="false"/>
          <w:color w:val="000000"/>
          <w:sz w:val="24"/>
        </w:rPr>
        <w:t>. Upon receipt of any demand for payment under any Facility LC from the beneficiary of such Facility LC, the applicable LC Issuer shall notify the Administrative Agent and the Administrative Agent shall promptly notify the Borrower and each other Lender as to the amount to be paid by such LC Issuer as a result of such demand and the proposed payment date (the “</w:t>
      </w:r>
      <w:r>
        <w:rPr>
          <w:rFonts w:ascii="Times New Roman;sans-serif" w:hAnsi="Times New Roman;sans-serif"/>
          <w:b w:val="false"/>
          <w:color w:val="000000"/>
          <w:sz w:val="24"/>
          <w:u w:val="single"/>
        </w:rPr>
        <w:t>LC Payment</w:t>
      </w:r>
      <w:r>
        <w:rPr>
          <w:color w:val="000000"/>
        </w:rPr>
        <w:t xml:space="preserve"> </w:t>
      </w:r>
      <w:r>
        <w:rPr>
          <w:rFonts w:ascii="Times New Roman;sans-serif" w:hAnsi="Times New Roman;sans-serif"/>
          <w:b w:val="false"/>
          <w:color w:val="000000"/>
          <w:sz w:val="24"/>
          <w:u w:val="single"/>
        </w:rPr>
        <w:t>Date</w:t>
      </w:r>
      <w:r>
        <w:rPr>
          <w:color w:val="000000"/>
        </w:rPr>
        <w:t>”</w:t>
      </w:r>
      <w:r>
        <w:rPr>
          <w:rFonts w:ascii="Times New Roman;sans-serif" w:hAnsi="Times New Roman;sans-serif"/>
          <w:b w:val="false"/>
          <w:color w:val="000000"/>
          <w:sz w:val="24"/>
        </w:rPr>
        <w:t>). The responsibility of the applicable LC Issuer to the Borrower and each Lender shall be only to determine that the documents (including each demand for payment) delivered under each Facility LC in connection with such presentment are in conformity in all material respects with such Facility LC. The applicable LC Issuer shall endeavor to exercise the same care in the issuance and administration of the Facility LCs as it does with respect to Letters of Credit in which no participations are granted, it being understood that in the absence of any gross negligence or willful misconduct by such LC Issuer, each Lender shall be unconditionally and irrevocably liable, without regard to any Event of Default or any condition precedent whatsoever, to reimburse such LC Issuer on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15975"/>
                <wp:effectExtent l="0" t="0" r="0" b="0"/>
                <wp:wrapNone/>
                <wp:docPr id="65" name="Frame6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(i) such Lender’s Revolving Percentage of the amount of each payment made by such LC Issuer under each Facility LC to the extent such amount is not reimbursed by the Borrower pursuant to Section 2.17.6 below and there is not Cash Collateral to cover the same, plus (ii) interest on the foregoing amount to be reimbursed by such Lender, for each day from the date of such LC Issuer’s demand for such reimbursement (or, if such demand is made after 12:00 p.m. (Minneapolis time) on such date, from the next succeeding Business Day) to the date on which such Lender pays the amount to be reimbursed by it, at a rate of interest per annum equal to the Federal Funds Effective Rate for the first three days and, thereafter, at a rate of interest equal to the rate applicable to Base Rate Advances.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1.17.6</w:t>
      </w:r>
      <w:r>
        <w:rPr>
          <w:rFonts w:ascii="Times New Roman;sans-serif" w:hAnsi="Times New Roman;sans-serif"/>
          <w:b w:val="false"/>
          <w:color w:val="000000"/>
          <w:sz w:val="24"/>
          <w:u w:val="single"/>
        </w:rPr>
        <w:t>Reimbursement by Borrower</w:t>
      </w:r>
      <w:r>
        <w:rPr>
          <w:rFonts w:ascii="Times New Roman;sans-serif" w:hAnsi="Times New Roman;sans-serif"/>
          <w:b w:val="false"/>
          <w:color w:val="000000"/>
          <w:sz w:val="24"/>
        </w:rPr>
        <w:t xml:space="preserve">. The Borrower shall be irrevocably and unconditionally obligated to reimburse the applicable LC Issuer on or before the applicable LC Payment Date for any amounts required to be paid by such LC Issuer upon any drawing under any Facility LC, without presentment, demand, protest or other formalities of any kind;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neither the Borrower nor any Lender shall hereby be precluded from asserting any claim for direct (but not consequential) damages suffered by the Borrower or such Lender to the extent, but only to the extent, caused by (i) the willful misconduct or gross negligence of such LC Issuer in determining whether a request presented under any Facility LC complied with the terms of such Facility LC or (ii) such LC Issuer’s failure to pay under any Facility LC issued by it after the presentation to it of a request complying with the terms and conditions of such Facility LC. All such amounts paid by the applicable LC Issuer and remaining unpaid by the Borrower (“</w:t>
      </w:r>
      <w:r>
        <w:rPr>
          <w:rFonts w:ascii="Times New Roman;sans-serif" w:hAnsi="Times New Roman;sans-serif"/>
          <w:b w:val="false"/>
          <w:color w:val="000000"/>
          <w:sz w:val="24"/>
          <w:u w:val="single"/>
        </w:rPr>
        <w:t>Unpaid</w:t>
      </w:r>
      <w:r>
        <w:rPr>
          <w:color w:val="000000"/>
        </w:rPr>
        <w:t xml:space="preserve"> </w:t>
      </w:r>
      <w:r>
        <w:rPr>
          <w:rFonts w:ascii="Times New Roman;sans-serif" w:hAnsi="Times New Roman;sans-serif"/>
          <w:b w:val="false"/>
          <w:color w:val="000000"/>
          <w:sz w:val="24"/>
          <w:u w:val="single"/>
        </w:rPr>
        <w:t>Drawings</w:t>
      </w:r>
      <w:r>
        <w:rPr>
          <w:color w:val="000000"/>
        </w:rPr>
        <w:t>”</w:t>
      </w:r>
      <w:r>
        <w:rPr>
          <w:rFonts w:ascii="Times New Roman;sans-serif" w:hAnsi="Times New Roman;sans-serif"/>
          <w:b w:val="false"/>
          <w:color w:val="000000"/>
          <w:sz w:val="24"/>
        </w:rPr>
        <w:t>) shall bear interest, payable on demand, for each day until paid at a rate per annum equal to (x) the rate applicable to Base Rate Advances for such day if such day falls on or before the applicable LC Payment Date and (y) the sum of 2% plus the rate applicable to Base Rate Advances for such day if such day falls after such LC Payment Date. The applicable LC Issuer will pay to each Lender ratably in accordance with its Revolving Percentage all amounts received by it from the Borrower for application in payment, in whole or in part, of the Reimbursement Obligation in respect of any Facility LC issued by such LC Issuer, but only to the extent such Lender has made payment to such LC Issuer in respect of such Facility LC pursuant to Section 2.17.5. Subject to the terms and conditions of this Agreement (including without limitation the submission of a Borrowing Notice in compliance with Section 2.6 and the satisfaction of the applicable conditions precedent set forth in Article IV), the Borrower may request an Advance hereunder for the purpose of satisfying any Reimbursement Obligation.</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1.17.7</w:t>
      </w:r>
      <w:r>
        <w:rPr>
          <w:rFonts w:ascii="Times New Roman;sans-serif" w:hAnsi="Times New Roman;sans-serif"/>
          <w:b w:val="false"/>
          <w:color w:val="000000"/>
          <w:sz w:val="24"/>
          <w:u w:val="single"/>
        </w:rPr>
        <w:t>Obligations Absolute</w:t>
      </w:r>
      <w:r>
        <w:rPr>
          <w:rFonts w:ascii="Times New Roman;sans-serif" w:hAnsi="Times New Roman;sans-serif"/>
          <w:b w:val="false"/>
          <w:color w:val="000000"/>
          <w:sz w:val="24"/>
        </w:rPr>
        <w:t>. The Borrower’s obligations under this Section shall be absolute and unconditional under any and all circumstances and irrespective of any setoff, counterclaim or defense to payment that the Borrower may have or have had against any LC Issuer, any Lender or any beneficiary of a Facility LC. The Borrower further agrees with the LC Issuers and the Lenders that the LC Issuers and the Lenders shall not be responsible for, and the Borrower’s Reimbursement Obligation in respect of any Facility LC shall not be affected by, among other things, the validity or genuineness of documents or of any endorsements thereon, even if such documents in fact prove to be in any or all respects invalid, fraudulent or forged, or any dispute between or among the Borrower, any of its Affiliates, the beneficiary of any Facility LC or any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15975"/>
                <wp:effectExtent l="0" t="0" r="0" b="0"/>
                <wp:wrapNone/>
                <wp:docPr id="66" name="Frame6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institution or other party to whom any Facility LC may be transferred or any claims or defenses whatsoever of the Borrower or of any of its Affiliates against the beneficiary of any Facility LC or any such transferee. No LC Issuer shall </w:t>
      </w:r>
      <w:r>
        <w:rPr>
          <w:rFonts w:ascii="Times New Roman;sans-serif" w:hAnsi="Times New Roman;sans-serif"/>
          <w:b w:val="false"/>
          <w:strike/>
          <w:color w:val="FF0000"/>
          <w:sz w:val="24"/>
        </w:rPr>
        <w:t>not</w:t>
      </w:r>
      <w:r>
        <w:rPr>
          <w:color w:val="FF0000"/>
        </w:rPr>
        <w:t xml:space="preserve"> </w:t>
      </w:r>
      <w:r>
        <w:rPr>
          <w:rFonts w:ascii="Times New Roman;sans-serif" w:hAnsi="Times New Roman;sans-serif"/>
          <w:b w:val="false"/>
          <w:color w:val="000000"/>
          <w:sz w:val="24"/>
        </w:rPr>
        <w:t>be liable for any error, omission, interruption or delay in transmission, dispatch or delivery of any message or advice, however transmitted, in connection with any Facility LC except to the extent determined in a final non-appealable judgment by a court of competent jurisdiction to be attributable to the gross negligence or willful misconduct of such LC Issuer. The Borrower agrees that any action taken or omitted by any LC Issuer or any Lender under or in connection with each Facility LC and the related drafts and documents, if done without gross negligence or willful misconduct, shall be binding upon the Borrower and shall not put any LC Issuer or any Lender under any liability to the Borrower. Nothing in this Section is intended to limit the right of the Borrower to make a claim against an LC Issuer for damages as contemplated by the proviso to the first sentence of Section 2.17.6.</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1.17.8</w:t>
      </w:r>
      <w:r>
        <w:rPr>
          <w:rFonts w:ascii="Times New Roman;sans-serif" w:hAnsi="Times New Roman;sans-serif"/>
          <w:b w:val="false"/>
          <w:color w:val="000000"/>
          <w:sz w:val="24"/>
          <w:u w:val="single"/>
        </w:rPr>
        <w:t>Actions of LC Issuer</w:t>
      </w:r>
      <w:r>
        <w:rPr>
          <w:rFonts w:ascii="Times New Roman;sans-serif" w:hAnsi="Times New Roman;sans-serif"/>
          <w:b w:val="false"/>
          <w:color w:val="000000"/>
          <w:sz w:val="24"/>
        </w:rPr>
        <w:t>. Each LC Issuer shall be entitled to rely, and shall be fully protected in relying, upon any Facility LC, draft, writing, resolution, notice, consent, certificate, affidavit, letter, cablegram, telegram, telecopy, telex, teletype or electronic mail message, statement, order or other document it reasonably believes to be genuine and correct and to have been signed, sent or made by the proper Person or Persons, and upon advice and statements of legal counsel, independent accountants and other experts selected by such LC Issuer. Each LC Issuer shall be fully justified in failing or refusing to take any action under this Agreement unless it first receives such advice or concurrence of the Required Lenders as it reasonably deems appropriate or it is first indemnified to its reasonable satisfaction by the Lenders against any and all liability and expense that may be incurred by it by reason of taking or continuing to take any such action. Notwithstanding any other provision of this Section, each LC Issuer shall in all cases be fully protected by the Lenders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1.17.9</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The Borrower agrees to indemnify and hold harmless each Lender, each LC Issuer and the Administrative Agent, and their respective directors, officers, agents and employees, from and against any and all claims and damages, losses, liabilities, costs or expenses that such Lender, such LC Issuer or the Administrative Agent may incur (or that may be claimed against such Lender, such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that such LC Issuer may incur by reason of or in connection with (i) the failure of any other Lender to fulfill or comply with its obligations to such LC Issuer hereunder (but nothing herein shall affect any rights the Borrower may have against any Defaulting Lender) or (ii) by reason of or on account of such LC Issuer issuing any Facility LC that specifies that the term “Beneficiary” included therein includes any successor by operation of law of the named Beneficiary, but which Facility LC does not require that any drawing by any such successor Beneficiary be accompanied by a copy of a legal document, satisfactory to such LC Issuer, evidencing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15975"/>
                <wp:effectExtent l="0" t="0" r="0" b="0"/>
                <wp:wrapNone/>
                <wp:docPr id="67" name="Frame6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appointment of such successor Beneficiary;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Borrower shall not be required to indemnify any Lender, any LC Issuer or the Administrative Agent for any claims, damages, losses, liabilities, costs or expenses to the extent, but only to the extent, caused by (x) the willful misconduct or gross negligence of such LC Issuer in determining whether a request presented under any Facility LC complied with the terms of such Facility LC or (y) such LC Issuer’s failure to pay under any Facility LC after the presentation to it of a request complying with the terms and conditions of such Facility LC. Nothing in this Section is intended to limit the obligations of the Borrower under any other provision of this Agreement.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1.17.10</w:t>
      </w:r>
      <w:r>
        <w:rPr>
          <w:rFonts w:ascii="Times New Roman;sans-serif" w:hAnsi="Times New Roman;sans-serif"/>
          <w:b w:val="false"/>
          <w:color w:val="000000"/>
          <w:sz w:val="24"/>
          <w:u w:val="single"/>
        </w:rPr>
        <w:t>Lenders’ Indemnification</w:t>
      </w:r>
      <w:r>
        <w:rPr>
          <w:rFonts w:ascii="Times New Roman;sans-serif" w:hAnsi="Times New Roman;sans-serif"/>
          <w:b w:val="false"/>
          <w:color w:val="000000"/>
          <w:sz w:val="24"/>
        </w:rPr>
        <w:t>. Each Lender shall, in accordance with its Revolving Percentage, indemnify each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such LC Issuer’s failure to pay under any Facility LC after the presentation to it of a request complying with the terms and conditions of the Facility LC) that such indemnitees may suffer or incur in connection with this Section or any action taken or omitted by such indemnitees hereunder.</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1.17.11</w:t>
      </w:r>
      <w:r>
        <w:rPr>
          <w:rFonts w:ascii="Times New Roman;sans-serif" w:hAnsi="Times New Roman;sans-serif"/>
          <w:b w:val="false"/>
          <w:color w:val="000000"/>
          <w:sz w:val="24"/>
          <w:u w:val="single"/>
        </w:rPr>
        <w:t>Cash Collateral</w:t>
      </w:r>
      <w:r>
        <w:rPr>
          <w:rFonts w:ascii="Times New Roman;sans-serif" w:hAnsi="Times New Roman;sans-serif"/>
          <w:b w:val="false"/>
          <w:color w:val="000000"/>
          <w:sz w:val="24"/>
        </w:rPr>
        <w:t>. At any time that there is a Defaulting Lender, within one Business Day following the written request of the Administrative Agent or the applicable LC Issuer (with a copy to the Administrative Agent), the Borrower shall Cash Collateralize the applicable LC Issuer’s Fronting Exposure with respect to such Defaulting Lender (determined after giving effect to Section 2.20(a)(iv) and any Cash Collateral provided by such Defaulting Lender pursuant to Section 2.20(a)(ii)) in an amount not less than the Minimum Collateral Amount.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Grant of Security Interest</w:t>
      </w:r>
      <w:r>
        <w:rPr>
          <w:rFonts w:ascii="Times New Roman;sans-serif" w:hAnsi="Times New Roman;sans-serif"/>
          <w:b w:val="false"/>
          <w:color w:val="000000"/>
          <w:sz w:val="24"/>
        </w:rPr>
        <w:t>. The Borrower, and to the extent provided by any Defaulting Lender, such Defaulting Lender, hereby grant to the Administrative Agent, for the benefit of the LC Issuers, and agree to maintain, a first-priority security interest in all such Cash Collateral as security for the Defaulting Lenders’ obligation to fund participations in respect of LC Obligations, to be applied pursuant to Section 2.17.11(b). If at any time the Administrative Agent determines that Cash Collateral is subject to any right or claim of any Person other than the Administrative Agent and the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Application</w:t>
      </w:r>
      <w:r>
        <w:rPr>
          <w:rFonts w:ascii="Times New Roman;sans-serif" w:hAnsi="Times New Roman;sans-serif"/>
          <w:b w:val="false"/>
          <w:color w:val="000000"/>
          <w:sz w:val="24"/>
        </w:rPr>
        <w:t>. Notwithstanding anything to the contrary in this Agreement, Cash Collateral provided under this Section 2.17.11 or 2.20 in respect of Letters of Credit shall be applied to the satisfaction of the Defaulting Lender’s obligation to fund participations in respect of LC Obligations (including, as to Cash Collateral provided by a Defaulting Lender, any interest accrued on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15975"/>
                <wp:effectExtent l="0" t="0" r="0" b="0"/>
                <wp:wrapNone/>
                <wp:docPr id="68" name="Frame6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obligation) for which the Cash Collateral was so provided, prior to any other application of such property as may otherwise be provided for herein.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of Requirement</w:t>
      </w:r>
      <w:r>
        <w:rPr>
          <w:rFonts w:ascii="Times New Roman;sans-serif" w:hAnsi="Times New Roman;sans-serif"/>
          <w:b w:val="false"/>
          <w:color w:val="000000"/>
          <w:sz w:val="24"/>
        </w:rPr>
        <w:t>. Cash Collateral (or the appropriate portion thereof) provided to reduce the applicable LC Issuer’s Fronting Exposure shall no longer be required to be held as Cash Collateral pursuant to this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2.17.11 following (A) the elimination of the applicable Fronting Exposure (including by the termination of Defaulting Lender status of the applicable Lender), or (B) the determination by the Administrative Agent and the applicable LC Issuer that there exists excess Cash Collateral; provided that, subject to Section 2.20, the Person providing Cash Collateral and the applicable LC Issuer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1.17.12</w:t>
      </w:r>
      <w:r>
        <w:rPr>
          <w:rFonts w:ascii="Times New Roman;sans-serif" w:hAnsi="Times New Roman;sans-serif"/>
          <w:b w:val="false"/>
          <w:color w:val="000000"/>
          <w:sz w:val="24"/>
          <w:u w:val="single"/>
        </w:rPr>
        <w:t>Rights as a Lender</w:t>
      </w:r>
      <w:r>
        <w:rPr>
          <w:rFonts w:ascii="Times New Roman;sans-serif" w:hAnsi="Times New Roman;sans-serif"/>
          <w:b w:val="false"/>
          <w:color w:val="000000"/>
          <w:sz w:val="24"/>
        </w:rPr>
        <w:t>. In its capacity as a Lender, each LC Issuer shall have the same rights and obligations as any other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1.17.13</w:t>
      </w:r>
      <w:r>
        <w:rPr>
          <w:rFonts w:ascii="Times New Roman;sans-serif" w:hAnsi="Times New Roman;sans-serif"/>
          <w:b w:val="false"/>
          <w:color w:val="000000"/>
          <w:sz w:val="24"/>
          <w:u w:val="single"/>
        </w:rPr>
        <w:t>Separate Reimbursement Agreement</w:t>
      </w:r>
      <w:r>
        <w:rPr>
          <w:rFonts w:ascii="Times New Roman;sans-serif" w:hAnsi="Times New Roman;sans-serif"/>
          <w:b w:val="false"/>
          <w:color w:val="000000"/>
          <w:sz w:val="24"/>
        </w:rPr>
        <w:t>. In the event an LC Issuer enters into a separate reimbursement agreement with the Borrower covering the Facility LCs and the terms of such reimbursement agreement conflict with or contradict the terms of this Agreement, the terms of this Agreement shall control.</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Replacement of Lender</w:t>
      </w:r>
      <w:r>
        <w:rPr>
          <w:rFonts w:ascii="Times New Roman;sans-serif" w:hAnsi="Times New Roman;sans-serif"/>
          <w:b w:val="false"/>
          <w:color w:val="000000"/>
          <w:sz w:val="24"/>
        </w:rPr>
        <w:t>. If the Borrower is required pursuant to Section 3.1, 3.2 or</w:t>
      </w:r>
    </w:p>
    <w:p>
      <w:pPr>
        <w:pStyle w:val="TextBody"/>
        <w:bidi w:val="0"/>
        <w:spacing w:lineRule="auto" w:line="288" w:before="0" w:after="0"/>
        <w:jc w:val="left"/>
        <w:rPr/>
      </w:pPr>
      <w:r>
        <w:rPr>
          <w:rFonts w:ascii="Times New Roman;sans-serif" w:hAnsi="Times New Roman;sans-serif"/>
          <w:b w:val="false"/>
          <w:color w:val="000000"/>
          <w:sz w:val="24"/>
        </w:rPr>
        <w:t>3.5 to make any additional payment to any Lender, if any Lender’s obligation to make or continue, or to convert Base Rate Advances into, Term SOFR Advances is suspended pursuant to Section 3.2(b) or 3.3, or if any Lender declines to approve an amendment or waiver approved by the Required Lenders but that otherwise requires unanimous consent of the Lenders, or if any Lender becomes a Defaulting Lender (any Lender so affected an “</w:t>
      </w:r>
      <w:r>
        <w:rPr>
          <w:rFonts w:ascii="Times New Roman;sans-serif" w:hAnsi="Times New Roman;sans-serif"/>
          <w:b w:val="false"/>
          <w:color w:val="000000"/>
          <w:sz w:val="24"/>
          <w:u w:val="single"/>
        </w:rPr>
        <w:t>Affected Lender</w:t>
      </w:r>
      <w:r>
        <w:rPr>
          <w:color w:val="000000"/>
        </w:rPr>
        <w:t>”</w:t>
      </w:r>
      <w:r>
        <w:rPr>
          <w:rFonts w:ascii="Times New Roman;sans-serif" w:hAnsi="Times New Roman;sans-serif"/>
          <w:b w:val="false"/>
          <w:color w:val="000000"/>
          <w:sz w:val="24"/>
        </w:rPr>
        <w:t xml:space="preserve">), the Borrower may elect, upon such default or declination or if such amounts continue to be charged or such suspension is still effective, to replace such Affected Lender as a Lender party to this Agreement;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Borrower shall have elected to replace such Lender within 90 days of the date of the occurrence of the event or circumstance that gives rise to the right of the Borrower to elect to replace such Lender;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no Default or Event of Default shall have occurred and be continuing at the time of such replacement, and </w:t>
      </w:r>
      <w:r>
        <w:rPr>
          <w:rFonts w:ascii="Times New Roman;sans-serif" w:hAnsi="Times New Roman;sans-serif"/>
          <w:b w:val="false"/>
          <w:i/>
          <w:color w:val="000000"/>
          <w:sz w:val="24"/>
        </w:rPr>
        <w:t xml:space="preserve">provided further </w:t>
      </w:r>
      <w:r>
        <w:rPr>
          <w:rFonts w:ascii="Times New Roman;sans-serif" w:hAnsi="Times New Roman;sans-serif"/>
          <w:b w:val="false"/>
          <w:color w:val="000000"/>
          <w:sz w:val="24"/>
        </w:rPr>
        <w:t xml:space="preserve">that, concurrently with such replacement, (i) another bank or other entity that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the Advances and other Obligations due to the Affected Lender pursuant to an assignment substantially in the form of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to become a Lender for all purposes under this Agreement, to assume all obligations of the Affected Lender to be terminated as of such date and to comply with the requirements of Section 12.3 applicable to assignments, and (ii) the Borrower shall pay to such Affected Lender in same day funds on the day of such replacement (A) all interest, fees and other amounts then accrued but unpaid to such Affected Lender by the Borrower hereunder to and including the date of termination, including without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15975"/>
                <wp:effectExtent l="0" t="0" r="0" b="0"/>
                <wp:wrapNone/>
                <wp:docPr id="69" name="Frame6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limitation payments due to such Affected Lender under Sections 3.1, 3.2 and 3.5, and (B) an amount, if any, equal to the payment that would have been due to such Lender on the day of such replacement under Section 3.4 had the Loans of such Affected Lender been prepaid on such date rather than sold to the replacement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Limitation of Interest</w:t>
      </w:r>
      <w:r>
        <w:rPr>
          <w:rFonts w:ascii="Times New Roman;sans-serif" w:hAnsi="Times New Roman;sans-serif"/>
          <w:b w:val="false"/>
          <w:color w:val="000000"/>
          <w:sz w:val="24"/>
        </w:rPr>
        <w:t xml:space="preserve">. The Borrower, the Administrative Agent and the Lenders intend to strictly comply with all applicable laws, including applicable usury laws. Accordingly, the provisions of this Section shall govern and control over every other provision of this Agreement or any other Loan Document that conflicts or is inconsistent with this Section, even if such provision declares that it controls. As used in this Section, the term “interest” includes the aggregate of all charges, fees, benefits or other compensation that constitute interest under applicable law,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to the maximum extent permitted by applicable law, (a) any</w:t>
      </w:r>
    </w:p>
    <w:p>
      <w:pPr>
        <w:pStyle w:val="TextBody"/>
        <w:bidi w:val="0"/>
        <w:spacing w:lineRule="auto" w:line="288" w:before="0" w:after="0"/>
        <w:jc w:val="left"/>
        <w:rPr/>
      </w:pPr>
      <w:r>
        <w:rPr>
          <w:rFonts w:ascii="Times New Roman;sans-serif" w:hAnsi="Times New Roman;sans-serif"/>
          <w:b w:val="false"/>
          <w:color w:val="000000"/>
          <w:sz w:val="24"/>
        </w:rPr>
        <w:t>non-principal payment shall be characterized as an expense or as compensation for something other than the use, forbearance or detention of money and not as interest, and (b) all interest at any time contracted for, reserved, charged or received shall be amortized, prorated, allocated and spread, in equal parts during the full term of the Obligations. In no event shall the Borrower or any other Person be obligated to pay, or any Lender have any right or privilege to reserve, receive or retain, (x) any interest in excess of the maximum amount of nonusurious interest permitted under the applicable laws (if any) of the United States or of any applicable state, or (y) total interest in excess of the amount such Lender could lawfully have contracted for, reserved, received, retained or charged had the interest been calculated for the full term of the Obligations at the Highest Lawful Rate. On each day, if any, that the interest rate (the “</w:t>
      </w:r>
      <w:r>
        <w:rPr>
          <w:rFonts w:ascii="Times New Roman;sans-serif" w:hAnsi="Times New Roman;sans-serif"/>
          <w:b w:val="false"/>
          <w:color w:val="000000"/>
          <w:sz w:val="24"/>
          <w:u w:val="single"/>
        </w:rPr>
        <w:t>Stated Rate</w:t>
      </w:r>
      <w:r>
        <w:rPr>
          <w:color w:val="000000"/>
        </w:rPr>
        <w:t>”</w:t>
      </w:r>
      <w:r>
        <w:rPr>
          <w:rFonts w:ascii="Times New Roman;sans-serif" w:hAnsi="Times New Roman;sans-serif"/>
          <w:b w:val="false"/>
          <w:color w:val="000000"/>
          <w:sz w:val="24"/>
        </w:rPr>
        <w:t xml:space="preserv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that would have accrued if there were no such ceiling rate as is imposed by this sentence. Thereafter, interest shall accrue at the Stated Rate unless and until the Stated Rate again exceeds the Highest Lawful Rate, at which time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of this Agreement or any other Loan Document that directly or indirectly relate to interest shall ever be construed without reference to this Section, or be construed to create a contract to pay for the use, forbearance or detention of money at an interest rate in excess of the Highest Lawful Rate. If the term of any Obligation is shortened by reason of acceleration of maturity as a result of any Event of Default or by any other cause, or by reason of any required or permitted prepayment, and if for that (or any other) reason any Lender at any time, including but not limited to the stated maturity, is owed or receives (and/or has received) interest in excess of interest calculated at the Highest Lawful Rate, then and in any such event all of any such excess interest shall be canceled automatically as of the date of such acceleration, prepayment or other event, and, if such excess interest has been paid to such Lender, it shall be credited </w:t>
      </w:r>
      <w:r>
        <w:rPr>
          <w:rFonts w:ascii="Times New Roman;sans-serif" w:hAnsi="Times New Roman;sans-serif"/>
          <w:b w:val="false"/>
          <w:i/>
          <w:color w:val="000000"/>
          <w:sz w:val="24"/>
        </w:rPr>
        <w:t xml:space="preserve">pro tanto </w:t>
      </w:r>
      <w:r>
        <w:rPr>
          <w:rFonts w:ascii="Times New Roman;sans-serif" w:hAnsi="Times New Roman;sans-serif"/>
          <w:b w:val="false"/>
          <w:color w:val="000000"/>
          <w:sz w:val="24"/>
        </w:rPr>
        <w:t>against the then-outstanding principal balance of the Borrower’s obligations to such Lender, effective as of the date or dates when the event occurs that causes it to be excess interest, until such excess is exhausted or all of such principal has been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15975"/>
                <wp:effectExtent l="0" t="0" r="0" b="0"/>
                <wp:wrapNone/>
                <wp:docPr id="70" name="Frame7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fully paid and satisfied, whichever occurs first, and any remaining balance of such excess shall be promptly refunded to its payor.</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Defaulting Lender Adjustments</w:t>
      </w:r>
      <w:r>
        <w:rPr>
          <w:rFonts w:ascii="Times New Roman;sans-serif" w:hAnsi="Times New Roman;sans-serif"/>
          <w:b w:val="false"/>
          <w:color w:val="000000"/>
          <w:sz w:val="24"/>
        </w:rPr>
        <w:t>. Notwithstanding anything to the contrary contained in this Agreement, if any Lender becomes a Defaulting Lender, then, until such Lender is no longer a Defaulting Lender, to the extent permitted by applicable law:</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Waivers and Amendments</w:t>
      </w:r>
      <w:r>
        <w:rPr>
          <w:rFonts w:ascii="Times New Roman;sans-serif" w:hAnsi="Times New Roman;sans-serif"/>
          <w:b w:val="false"/>
          <w:color w:val="000000"/>
          <w:sz w:val="24"/>
        </w:rPr>
        <w:t>. Such Defaulting Lender’s right to approve or disapprove any amendment, waiver or consent with respect to this Agreement shall be restricted as set forth in the definition of “Required Lenders.”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Defaulting Lender Waterfall</w:t>
      </w:r>
      <w:r>
        <w:rPr>
          <w:rFonts w:ascii="Times New Roman;sans-serif" w:hAnsi="Times New Roman;sans-serif"/>
          <w:b w:val="false"/>
          <w:color w:val="000000"/>
          <w:sz w:val="24"/>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payment of any amounts owing by such Defaulting Lender to the Administrative Agent hereunder;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payment on a pro rata basis of any amounts owing by such Defaulting Lender to the LC Issuers or Swing Line Lender hereunder;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Cash Collateralize the LC Issuers’ Fronting Exposure with respect to such Defaulting Lender in accordance with Section 2.17.11;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Facility LCs, in accordance with Section 2.17.11; </w:t>
      </w:r>
      <w:r>
        <w:rPr>
          <w:rFonts w:ascii="Times New Roman;sans-serif" w:hAnsi="Times New Roman;sans-serif"/>
          <w:b w:val="false"/>
          <w:i/>
          <w:color w:val="000000"/>
          <w:sz w:val="24"/>
        </w:rPr>
        <w:t>sixth</w:t>
      </w:r>
      <w:r>
        <w:rPr>
          <w:rFonts w:ascii="Times New Roman;sans-serif" w:hAnsi="Times New Roman;sans-serif"/>
          <w:b w:val="false"/>
          <w:color w:val="000000"/>
          <w:sz w:val="24"/>
        </w:rPr>
        <w:t xml:space="preserve">, to the payment of any amounts owing to the Lenders, the LC Issuers, or the Swing Line Lender as a result of any judgment of a court of competent jurisdiction obtained by any Lender, any LC Issuer, or the Swing Line Lenders against such Defaulting Lender as a result of such Defaulting Lender’s breach of its obligations under this Agreement; </w:t>
      </w:r>
      <w:r>
        <w:rPr>
          <w:rFonts w:ascii="Times New Roman;sans-serif" w:hAnsi="Times New Roman;sans-serif"/>
          <w:b w:val="false"/>
          <w:i/>
          <w:color w:val="000000"/>
          <w:sz w:val="24"/>
        </w:rPr>
        <w:t>seventh</w:t>
      </w:r>
      <w:r>
        <w:rPr>
          <w:rFonts w:ascii="Times New Roman;sans-serif" w:hAnsi="Times New Roman;sans-serif"/>
          <w:b w:val="false"/>
          <w:color w:val="000000"/>
          <w:sz w:val="24"/>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ans-serif" w:hAnsi="Times New Roman;sans-serif"/>
          <w:b w:val="false"/>
          <w:i/>
          <w:color w:val="000000"/>
          <w:sz w:val="24"/>
        </w:rPr>
        <w:t>eighth</w:t>
      </w:r>
      <w:r>
        <w:rPr>
          <w:rFonts w:ascii="Times New Roman;sans-serif" w:hAnsi="Times New Roman;sans-serif"/>
          <w:b w:val="false"/>
          <w:color w:val="000000"/>
          <w:sz w:val="24"/>
        </w:rPr>
        <w:t xml:space="preserve">, to such Defaulting Lender or as otherwise directed by a court of competent 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(x) such payment is a payment of the principal amount of any Loans or LC Obligations in respect of which such Defaulting Lender has not fully funded its appropriate share, and (y) such Loans were made or the related Facility LCs were issued at a time when the conditions set forth in Section 4.2 were satisfied or waived, such payment shall be applied solely to pay the Loans of,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15975"/>
                <wp:effectExtent l="0" t="0" r="0" b="0"/>
                <wp:wrapNone/>
                <wp:docPr id="71" name="Frame7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under the applicable facility without giving effect to Section 2.20(a)(iv). Any payments, prepayments or other amounts paid or payable to a Defaulting Lender that are applied (or held) to pay amounts owed by a Defaulting Lender or to post Cash Collateral pursuant to this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2.20(a)(ii) shall be deemed paid to and redirected by such Defaulting Lender, and each Lender irrevocably consents hereto.</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Certain Fees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0"/>
        </w:rPr>
        <w:t>No Defaulting Lender shall be entitled to receive any fees pursuant to Section 2.3 for any period during which that Lender is a Defaulting Lender (and the Borrower shall not be required to pay any such fee that otherwise would have been required to have been paid to that Defaulting Lender).</w:t>
      </w:r>
    </w:p>
    <w:p>
      <w:pPr>
        <w:pStyle w:val="TextBody"/>
        <w:bidi w:val="0"/>
        <w:spacing w:before="12"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(B)Each Defaulting Lender shall be entitled to receive LC Fees for any period during which that Lender is a Defaulting Lender only to the extent allocable to its Revolving Percentage of the stated amount of Facility LCs for which it has provided Cash Collateral pursuant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2.17.11.</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(C)With respect to any LC Fee not required to be paid to any Defaulting Lender pursuant to Section 2.20(a)(iii)(B), the Borrower shall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 pay to each Non-Defaulting Lender that portion of any such fee otherwise payable to such Defaulting Lender with respect to such Defaulting Lender’s participation in LC Obligations or Swing Line Loans that has been reallocated to such Non-Defaulting Lender pursuant to Section 2.20(a)(iv), (2) pay to each LC Issuer and Swing Line Lender, as applicable, the amount of any such fee otherwise payable to such Defaulting Lender to the extent allocable to such LC Issuer’s or Swing Line Lender’s Fronting Exposure to such Defaulting Lender, and (3) not be required to pay the remaining amount of any such fee.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Reallocation of Participations to Reduce Fronting Exposure</w:t>
      </w:r>
      <w:r>
        <w:rPr>
          <w:rFonts w:ascii="Times New Roman;sans-serif" w:hAnsi="Times New Roman;sans-serif"/>
          <w:b w:val="false"/>
          <w:color w:val="000000"/>
          <w:sz w:val="24"/>
        </w:rPr>
        <w:t>. All or any part of such Defaulting Lender’s participation in LC Obligations and Swing Line Loans shall be reallocated among the Non-Defaulting Lenders in accordance with their respective Revolving Percentages (calculated without regard to such Defaulting Lender’s Revolving Commitment) but only to the extent that (A) the conditions set forth in Section 4.2 are satisfied at the time of such reallocation (and, unless the Borrower has otherwise notified the Administrative Agent at such time, the Borrower shall be deemed to have represented and warranted that such conditions are satisfied at such time), and (B) such reallocation does not cause the Aggregate Outstanding Credit Exposure of any Non-Defaulting Lender to exceed such Non-Defaulting Lender’s Revolving Commitment. Subject to Section 9.15, no reallocation hereunder shall constitute a waiver or release of any claim of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15975"/>
                <wp:effectExtent l="0" t="0" r="0" b="0"/>
                <wp:wrapNone/>
                <wp:docPr id="72" name="Frame7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Cash Collateral, Repayment of Swing Line Loans</w:t>
      </w:r>
      <w:r>
        <w:rPr>
          <w:rFonts w:ascii="Times New Roman;sans-serif" w:hAnsi="Times New Roman;sans-serif"/>
          <w:b w:val="false"/>
          <w:color w:val="000000"/>
          <w:sz w:val="24"/>
        </w:rPr>
        <w:t>. If the reallocation described in Section 2.20(a)(iv) cannot, or can only partially, be effected, the Borrower shall, without prejudice to any right or remedy available to it hereunder or under law, (A) first, prepay Swing Line Loans in an amount equal to the Swing Line Lender’s Fronting Exposure and (B) second, Cash Collateralize each LC Issuer’s Fronting Exposure in accordance with the procedures set forth in Section 2.17.11.</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Defaulting Lender Cure</w:t>
      </w:r>
      <w:r>
        <w:rPr>
          <w:rFonts w:ascii="Times New Roman;sans-serif" w:hAnsi="Times New Roman;sans-serif"/>
          <w:b w:val="false"/>
          <w:color w:val="000000"/>
          <w:sz w:val="24"/>
        </w:rPr>
        <w:t xml:space="preserve">. If the Borrower, the Administrative Agent, the Swing 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Commitments under the applicable facility (without giving effect to Section 2.20(a)(iv)), whereupon such Lender will cease to be a Defaulting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adjustments will be made retroactively with respect to fees accrued or payments made by or on behalf of the Borrower while that Lender was a Defaulting Lender;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New Swing Line Loans/Facility LCs</w:t>
      </w:r>
      <w:r>
        <w:rPr>
          <w:rFonts w:ascii="Times New Roman;sans-serif" w:hAnsi="Times New Roman;sans-serif"/>
          <w:b w:val="false"/>
          <w:color w:val="000000"/>
          <w:sz w:val="24"/>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renew or increase any Facility LC unless it is satisfied that it will have no Fronting Exposure after giving effect thereto.</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Swing Line Loans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Amount of Swing Line Loans</w:t>
      </w:r>
      <w:r>
        <w:rPr>
          <w:rFonts w:ascii="Times New Roman;sans-serif" w:hAnsi="Times New Roman;sans-serif"/>
          <w:b w:val="false"/>
          <w:color w:val="000000"/>
          <w:sz w:val="24"/>
        </w:rPr>
        <w:t>. Upon the satisfaction of the conditions precedent set forth in Sections 4.2 and, if such Swing Line Loan is to be made on the Restatement Date, the satisfaction of the conditions precedent set forth in Section 4.1, from and including the Restatement Date and prior to the Facility Termination Date, the Swing Line Lender may, at its option and in its sole discretion, on the terms and conditions set forth in this Agreement, make Swing Line Loans in Dollars to the Borrower from time to time in an aggregate principal amount not to exceed the Swing Line Sublimit, provided that the Aggregate Outstanding Credit Exposure shall not at any time exceed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15975"/>
                <wp:effectExtent l="0" t="0" r="0" b="0"/>
                <wp:wrapNone/>
                <wp:docPr id="73" name="Frame7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Aggregate Commitment, and provided further that at no time shall the sum of (i) the Swing Line Loans,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the outstanding Revolving Loans made by the Swing Line Lender pursuant to Section 2.1,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(iii) the Swing Line Lender’s Revolving Percentage of the LC Obligations, exceed the Swing Line Lender’s Revolving Commitment at such time. Subject to the terms of this Agreement (including without limitation the discretion of the Swing Line Lender), the Borrower may borrow, repay and reborrow Swing Line Loans at any time prior to the Facility Termination Date.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Borrowing Notice</w:t>
      </w:r>
      <w:r>
        <w:rPr>
          <w:rFonts w:ascii="Times New Roman;sans-serif" w:hAnsi="Times New Roman;sans-serif"/>
          <w:b w:val="false"/>
          <w:color w:val="000000"/>
          <w:sz w:val="24"/>
        </w:rPr>
        <w:t>. The Borrower shall deliver to the Administrative Agent and the Swing Line Lender irrevocable notice (a “</w:t>
      </w:r>
      <w:r>
        <w:rPr>
          <w:rFonts w:ascii="Times New Roman;sans-serif" w:hAnsi="Times New Roman;sans-serif"/>
          <w:b w:val="false"/>
          <w:color w:val="000000"/>
          <w:sz w:val="24"/>
          <w:u w:val="single"/>
        </w:rPr>
        <w:t>Swing Line Borrowing Notice</w:t>
      </w:r>
      <w:r>
        <w:rPr>
          <w:color w:val="000000"/>
        </w:rPr>
        <w:t>”</w:t>
      </w:r>
      <w:r>
        <w:rPr>
          <w:rFonts w:ascii="Times New Roman;sans-serif" w:hAnsi="Times New Roman;sans-serif"/>
          <w:b w:val="false"/>
          <w:color w:val="000000"/>
          <w:sz w:val="24"/>
        </w:rPr>
        <w:t>) not later than noon (Minneapolis time) on the Borrowing Date of each Swing Line Loan specifying (i) the applicable Borrowing Date (which shall be a Business Day) and (ii) the aggregate amount of the requested Swing Line Loan, which shall not be less than</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$250,000.</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Making of Swing Line Loans; Participations</w:t>
      </w:r>
      <w:r>
        <w:rPr>
          <w:rFonts w:ascii="Times New Roman;sans-serif" w:hAnsi="Times New Roman;sans-serif"/>
          <w:b w:val="false"/>
          <w:color w:val="000000"/>
          <w:sz w:val="24"/>
        </w:rPr>
        <w:t>. Not later than 2:00 p.m. (Minneapolis time) on the applicable Borrowing Date, the Swing Line Lender shall make available the Swing Line Loan, in funds immediately available, to the Administrative Agent at its address specified pursuant to Article XIII. The Administrative Agent will promptly make such funds available to the Borrower on the Borrowing Date at such address. Each time the Swing Line Lender makes a Swing Line Loan,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Swing Line Loan in proportion to its Revolving Percentage.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Repayment of Swing Line Loans</w:t>
      </w:r>
      <w:r>
        <w:rPr>
          <w:rFonts w:ascii="Times New Roman;sans-serif" w:hAnsi="Times New Roman;sans-serif"/>
          <w:b w:val="false"/>
          <w:color w:val="000000"/>
          <w:sz w:val="24"/>
        </w:rPr>
        <w:t>. The Borrower shall pay each Swing Line Loan in full on the date selected by the Administrative Agent. In addition, the Swing Line Lender may at any time in its sole discretion with respect to any outstanding Swing Line Loan require each Lender to fund the participation acquired by such Lender pursuant to Section 2.21(c) or require each Lender (including the Swing Line Lender) to make a Revolving Loan in the amount of such Lender’s Revolving Percentage of such Swing Line Loan (including, without limitation, any interest accrued and unpaid thereon) for the purpose of repaying such Swing Line Loan. Not later than noon (Minneapolis time) on the date of any notice received pursuant to this Section, each Lender shall make available its required Revolving Loan, in funds immediately available to the Administrative Agent at its address specified pursuant to Article XIII. Revolving Loans made pursuant to this Section shall initially be Base Rate Loans and thereafter may be continued as Base Rate Loans or converted into Term SOFR Loans in the manner provided in Section 2.7 and subject to the other conditions and limitations set forth in this Article II. Unless a Lender notifies the Swing Line Lender, prior to its making any Swing Line Loan, that any applicable condition precedent set forth in Section 4.1 or 4.2 has not been satisfied, such Lender’s obligation to make Revolving Loans pursuant to this Section to repay Swing Line Loans or to fund the participation acquired pursuant to Section 2.21(c) shall be unconditional, continuing, irrevocable and absolute and shall not be affected by any circumstances, including, without limitation, (a) any set-off, counterclaim, recoupment,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15975"/>
                <wp:effectExtent l="0" t="0" r="0" b="0"/>
                <wp:wrapNone/>
                <wp:docPr id="74" name="Frame7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defense or other right that such Lender may have against the Borrower, the Administrative Agent, the Swing Line Lender or any other Person, (b) the occurrence or continuance of a 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Facility Termination Date, the Borrower shall repay in full the outstanding principal balance of the Swing Line Loans.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Increase Option</w:t>
      </w:r>
      <w:r>
        <w:rPr>
          <w:rFonts w:ascii="Times New Roman;sans-serif" w:hAnsi="Times New Roman;sans-serif"/>
          <w:b w:val="false"/>
          <w:color w:val="000000"/>
          <w:sz w:val="24"/>
        </w:rPr>
        <w:t>. The Borrower may from time to time until the Facility Termination Date elect to increase the Revolving Commitments in minimum increments of</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$10,000,000 or such lower amount as the Borrower and the Administrative Agent agree upon, so long as, after giving effect thereto, the aggregate amount of such increases does not exceed</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val="false"/>
          <w:strike/>
          <w:color w:val="FF0000"/>
          <w:sz w:val="24"/>
        </w:rPr>
        <w:t>100,000,000</w:t>
      </w:r>
      <w:r>
        <w:rPr>
          <w:rFonts w:ascii="Times New Roman;sans-serif" w:hAnsi="Times New Roman;sans-serif"/>
          <w:b w:val="false"/>
          <w:color w:val="0000FF"/>
          <w:sz w:val="24"/>
          <w:u w:val="single"/>
        </w:rPr>
        <w:t>150,000,000</w:t>
      </w:r>
      <w:r>
        <w:rPr>
          <w:rFonts w:ascii="Times New Roman;sans-serif" w:hAnsi="Times New Roman;sans-serif"/>
          <w:b w:val="false"/>
          <w:color w:val="000000"/>
          <w:sz w:val="24"/>
        </w:rPr>
        <w:t>. The Borrower may arrange for any such increase to be provided by one or more Lenders (each Lender so agreeing to an increase in its Revolving Commitment, an “Increasing Lender”), or by one or more new banks, financial institutions or other entities that are Eligible Assignees (each such new bank, financial institution or other entity, an “Augmenting Lender”), to increase their existing Revolving Commitments, or extend Revolving Commitments, as the case may be; provided that (i) each Augmenting Lender and each Increasing Lender shall be subject to the approval of the Borrower, the Administrative Agent and the LC Issuer, in each case not to be unreasonably withheld, and (ii) (x) in the case of an Increasing Lender, the Borrower and such Increasing Lender execute an agreement substantially in the form of Exhibit G hereto, and (y) in the case of an Augmenting Lender, the Borrower and such Augmenting Lender execute an agreement substantially in the form of Exhibit H hereto. No consent of any Lender (other than the Lenders participating in the increase) shall be required for any increase in Revolving Commitments pursuant to this Section 2.22. Increases and new Revolving Commitments created pursuant to this Section 2.22 shall become effective on the date agreed by the Borrower, the Administrative Agent and the relevant Increasing Lenders or Augmenting Lenders, and the Administrative Agent shall notify each Lender thereof. Notwithstanding the foregoing, no increase in the Revolving Commitments (or in the Revolving Commitment of any Lender) shall become effective under this paragraph unless, (i) on the proposed date of the effectiveness of such increase, (A) the conditions set forth in paragraphs (a) and (b) of Section 4.2 shall be satisfied or waived by the Required Lenders and the Administrative Agent shall have received a certificate to that effect dated such date and executed by an Authorized Officer of the Borrower and (B) the Borrower shall be in compliance (on a pro forma basis reasonably acceptable to the Administrative Agent) with the covenants contained in Section 6.31 and (ii) the Administrative Agent shall have received documents consistent with those delivered on the Restatement Date as to the corporate power and authority of the Borrower to borrow hereunder after giving effect to such increase, as well as such documents as the Administrative Agent may reasonably request (including, without limitation, customary opinions of counsel, affirmations of Loan Documents and updated financial projections, reasonably acceptable to the Administrative Agent, demonstrating the Borrower’s anticipated compliance with Section 6.31 through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15975"/>
                <wp:effectExtent l="0" t="0" r="0" b="0"/>
                <wp:wrapNone/>
                <wp:docPr id="75" name="Frame7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Facility Termination Date). On the effective date of any increase in the Revolving Commitments,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Pro Rata Share of such outstanding Revolving Loans, and (ii) the Borrower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in accordance with the requirements of Section 2.6). The deemed payments made pursuant to clause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of the immediately preceding sentence shall be accompanied by payment of all accrued interest on the amount prepaid and, in respect of each Term SOFR Loan, shall be subject to indemnification by the Borrower pursuant to the provisions of Section 3.4 if the deemed payment occurs other than on the last day of the related Interest Periods. Nothing contained in this Section</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2.22 shall constitute, or otherwise be deemed to be, a commitment on the part of any Lender to increase its Revolving Commitment hereunder, at any time.</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Section shall supersede any provision in Section 8.3 to the contrary.</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YIELD PROTECTION; TAXES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Yield Protection</w:t>
      </w:r>
      <w:r>
        <w:rPr>
          <w:rFonts w:ascii="Times New Roman;sans-serif" w:hAnsi="Times New Roman;sans-serif"/>
          <w:b w:val="false"/>
          <w:color w:val="000000"/>
          <w:sz w:val="24"/>
        </w:rPr>
        <w:t>. If, on or after the Restatement Date, the adoption of any law or any governmental or quasi-governmental rule, regulation, policy, guideline or directive (whether or not having the force of law), any change in the interpretation, promulgation, implementation or administration thereof, including, notwithstanding the foregoing, all requests, rules, guidelines or directives in connection with the Dodd-Frank Wall Street Reform and Consumer Protection Act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 by any Governmental Authority, central bank or comparable agency charged with the interpretation or administration thereof or compliance by any Lender or applicable Lending Installation or any LC Issuer with any request or directive (whether or not having the force of law) of any such authority, central bank or comparable agency related to such new adoption, interpretation or decision (a “</w:t>
      </w:r>
      <w:r>
        <w:rPr>
          <w:rFonts w:ascii="Times New Roman;sans-serif" w:hAnsi="Times New Roman;sans-serif"/>
          <w:b w:val="false"/>
          <w:color w:val="000000"/>
          <w:sz w:val="24"/>
          <w:u w:val="single"/>
        </w:rPr>
        <w:t>Regulatory Change</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(a)subjects any Lender or applicable Lending Installation or any LC Issuer to any Taxes, or changes the basis of taxation of payments (other than (A) Indemnified Taxes, (B) Taxes described in clauses (b) through (d) of the definition of Excluded Taxes, and (C) Connection Income Taxes) to any Lender or any LC Issuer in respect of its Term SOFR Loans, Facility LCs or participations therein,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(b)imposes, increases or deems applicable any reserve, assessment, insurance charge, special deposit or similar requirement against assets of, deposits with or for the account of, or credit extended by, any Lender or applicable Lending Installation or any 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15975"/>
                <wp:effectExtent l="0" t="0" r="0" b="0"/>
                <wp:wrapNone/>
                <wp:docPr id="76" name="Frame7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Issuer (other than reserves and assessments taken into account in determining the interest rate applicable to Term SOFR Advances), 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(c)imposes any other condition the result of which is to increase the cost to any Lender or applicable Lending Installation or any LC Issuer of making, funding or maintaining its Term SOFR Loans, or of issuing or participating in Facility LCs, reduces any amount receivable by any Lender or applicable Lending Installation or any LC Issuer in connection with its Term SOFR Loans, Facility LCs or participations therein, or requires any Lender or applicable Lending Installation or any LC Issuer to make any payment calculated by reference to the amount of Term SOFR Loans, Facility LCs or participations therein held or interest or LC Fees received by it, by an amount deemed material by such Lender or such LC Issuer as the case may be,</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the result of any of the foregoing is to increase the cost to such Lender or applicable Lending Installation or such LC Issuer, as the case may be, of making or maintaining its Term SOFR Loans or Commitment or of issuing or participating in Facility LCs or to reduce the return received by such Lender or applicable Lending Installation or such LC Issuer, as the case may be, in connection with such Term SOFR Loans or Commitment, Facility LCs or participations therein, then, within 15 days of demand by such Lender or such LC Issuer, as the case may be, the Borrower shall pay such Lender or such LC Issuer, as the case may be, such additional amounts as will compensate such Lender or such LC Issuer, as the case may be, for such increased cost or reduction in amount received.</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Changes in Capital Adequacy Regulations</w:t>
      </w:r>
      <w:r>
        <w:rPr>
          <w:rFonts w:ascii="Times New Roman;sans-serif" w:hAnsi="Times New Roman;sans-serif"/>
          <w:b w:val="false"/>
          <w:color w:val="000000"/>
          <w:sz w:val="24"/>
        </w:rPr>
        <w:t>. If any Lender or any LC Issuer reasonably determines the amount of capital or liquidity required or expected to be maintained by such Lender or such LC Issuer, any Lending Installation of such Lender or such LC Issuer or any corporation controlling such Lender or such LC Issuer is increased as a result of a Change, then, within 15 days of demand by such Lender or such LC Issuer, the Borrower shall pay such Lender or such LC Issuer the amount necessary to compensate for any shortfall in the rate of return on the portion of such increased capital that such Lender or such LC Issuer determines is attributable to this Agreement, its Outstanding Credit Exposure or its Commitment to make Loans and issue or participate in Facility LCs, as the case may be, hereunder (after taking into account such Lender’s or such LC Issuer’s policies as to capital adequacy). “</w:t>
      </w:r>
      <w:r>
        <w:rPr>
          <w:rFonts w:ascii="Times New Roman;sans-serif" w:hAnsi="Times New Roman;sans-serif"/>
          <w:b w:val="false"/>
          <w:color w:val="000000"/>
          <w:sz w:val="24"/>
          <w:u w:val="single"/>
        </w:rPr>
        <w:t>Change</w:t>
      </w:r>
      <w:r>
        <w:rPr>
          <w:color w:val="000000"/>
        </w:rPr>
        <w:t xml:space="preserve">” </w:t>
      </w:r>
      <w:r>
        <w:rPr>
          <w:rFonts w:ascii="Times New Roman;sans-serif" w:hAnsi="Times New Roman;sans-serif"/>
          <w:b w:val="false"/>
          <w:color w:val="000000"/>
          <w:sz w:val="24"/>
        </w:rPr>
        <w:t>means (i) any change on or after the Restatement Date in the Risk-Based Capital Guidelines or (ii) any adoption of or change in any other law, governmental or quasi-governmental rule, regulation, policy, guideline, interpretation or directive (whether or not having the force of law) or in the interpretation, promulgation, implementation or administration thereof after the Restatement Date that affects the amount of capital required or expected to be maintained by any Lender, any LC Issuer, any Lending Installation or any corporation controlling any Lender or any LC Issuer. Notwithstanding the foregoing, for purposes of this Agreement, all requests, rules, guidelines or directives in connection with the Dodd-Frank Wall Street Reform and Consumer Protection Act shall be deemed to be a Change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shall be deemed to be a Change regardless of the date adopted, issued, promulgated or implemented. “</w:t>
      </w:r>
      <w:r>
        <w:rPr>
          <w:rFonts w:ascii="Times New Roman;sans-serif" w:hAnsi="Times New Roman;sans-serif"/>
          <w:b w:val="false"/>
          <w:color w:val="000000"/>
          <w:sz w:val="24"/>
          <w:u w:val="single"/>
        </w:rPr>
        <w:t>Risk-Based Capital</w:t>
      </w:r>
      <w:r>
        <w:rPr>
          <w:color w:val="000000"/>
        </w:rPr>
        <w:t xml:space="preserve"> </w:t>
      </w:r>
      <w:r>
        <w:rPr>
          <w:rFonts w:ascii="Times New Roman;sans-serif" w:hAnsi="Times New Roman;sans-serif"/>
          <w:b w:val="false"/>
          <w:color w:val="000000"/>
          <w:sz w:val="24"/>
          <w:u w:val="single"/>
        </w:rPr>
        <w:t>Guidelines</w:t>
      </w:r>
      <w:r>
        <w:rPr>
          <w:color w:val="000000"/>
        </w:rPr>
        <w:t xml:space="preserve">” </w:t>
      </w:r>
      <w:r>
        <w:rPr>
          <w:rFonts w:ascii="Times New Roman;sans-serif" w:hAnsi="Times New Roman;sans-serif"/>
          <w:b w:val="false"/>
          <w:color w:val="000000"/>
          <w:sz w:val="24"/>
        </w:rPr>
        <w:t>means (i) the risk-based capital guidelines in effect in the United States on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15975"/>
                <wp:effectExtent l="0" t="0" r="0" b="0"/>
                <wp:wrapNone/>
                <wp:docPr id="77" name="Frame7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Restatement Date, including transition rules, and (ii) the corresponding capital regulations promulgated by regulatory authorities outside the United States, including transition rules, and any amendments to such regulations adopted prior to the Restatement Date.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Availability of Types of Advances; Adequacy of Interest Rate; Benchmark</w:t>
      </w:r>
      <w:r>
        <w:rPr>
          <w:color w:val="000000"/>
        </w:rPr>
        <w:t xml:space="preserve"> </w:t>
      </w:r>
      <w:r>
        <w:rPr>
          <w:rFonts w:ascii="Times New Roman;sans-serif" w:hAnsi="Times New Roman;sans-serif"/>
          <w:b w:val="false"/>
          <w:color w:val="000000"/>
          <w:sz w:val="24"/>
          <w:u w:val="single"/>
        </w:rPr>
        <w:t>Replacement</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Availability of Term SOFR Advances</w:t>
      </w:r>
      <w:r>
        <w:rPr>
          <w:rFonts w:ascii="Times New Roman;sans-serif" w:hAnsi="Times New Roman;sans-serif"/>
          <w:b w:val="false"/>
          <w:color w:val="000000"/>
          <w:sz w:val="24"/>
        </w:rPr>
        <w:t>. Notwithstanding anything to the contrary in this Agreement or any other Loan Document, but subject to Section 3.3(b), if the Administrative Agent determines (which determination shall be conclusive absent manifest error), or the Required Lenders notify the Administrative Agent that the Required Lenders have determined, that: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(i)for any reason in connection with any request for a Term SOFR Advance or a conversion or continuation thereof that the Term SOFR Base Rate for any requested Interest Period with respect to a proposed Term SOFR Advance does not adequately and fairly reflect the cost to such Lenders of the funding such Loans, or</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(ii)the interest rate applicable to Term SOFR Advances for any requested Interest Period is not ascertainable or available (including, without limitation, because the applicable Screen (or on any successor or substitute page on such screen) is unavailable) and such inability to ascertain or unavailability is not expected to be permanent, or does not adequately and fairly reflect the cost of making or maintaining Term SOFR Advances,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then the Administrative Agent shall suspend the availability of Term SOFR Advances and require any affected Term SOFR Advances to be repaid or converted to Base Rate Advances, subject to the payment of any funding indemnification amounts required by Section 3.4.</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Benchmark Replacement</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Benchmark Transition Event; Early Opt-in Election</w:t>
      </w:r>
      <w:r>
        <w:rPr>
          <w:rFonts w:ascii="Times New Roman;sans-serif" w:hAnsi="Times New Roman;sans-serif"/>
          <w:b w:val="false"/>
          <w:color w:val="000000"/>
          <w:sz w:val="24"/>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15975"/>
                <wp:effectExtent l="0" t="0" r="0" b="0"/>
                <wp:wrapNone/>
                <wp:docPr id="78" name="Frame7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hereunder and under any Loan Document in respect of any Benchmark setting at or after 5:00 p.m. (New York City time) on the fifth Business Day after the date notice of such Benchmark Replacement is provided by the Administrative Agent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Benchmark Replacement Conforming Changes</w:t>
      </w:r>
      <w:r>
        <w:rPr>
          <w:rFonts w:ascii="Times New Roman;sans-serif" w:hAnsi="Times New Roman;sans-serif"/>
          <w:b w:val="false"/>
          <w:color w:val="000000"/>
          <w:sz w:val="24"/>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Notices; Standards for Decisions and Determinations</w:t>
      </w:r>
      <w:r>
        <w:rPr>
          <w:rFonts w:ascii="Times New Roman;sans-serif" w:hAnsi="Times New Roman;sans-serif"/>
          <w:b w:val="false"/>
          <w:color w:val="000000"/>
          <w:sz w:val="24"/>
        </w:rPr>
        <w:t>.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or, if applicable, any Lender (or group of Lenders) pursuant to this Section 3.3(b),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3.3(b).</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Unavailability of Tenor of Benchmark</w:t>
      </w:r>
      <w:r>
        <w:rPr>
          <w:rFonts w:ascii="Times New Roman;sans-serif" w:hAnsi="Times New Roman;sans-serif"/>
          <w:b w:val="false"/>
          <w:color w:val="000000"/>
          <w:sz w:val="24"/>
        </w:rPr>
        <w:t>. Notwithstanding anything to the contrary herein or in any other Loan Document, at any time (including in connection with the implementation of a Benchmark Replacement), (i) if the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then-current Benchmark is a term rate (including the Term SOFR Base Rate,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any tenor of such Benchmark that is unavailable or non-representative for any Benchmark settings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15975"/>
                <wp:effectExtent l="0" t="0" r="0" b="0"/>
                <wp:wrapNone/>
                <wp:docPr id="79" name="Frame7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definition of “Interest Period” (or any similar or analogous definition) for all Benchmark settings at or after such time to reinstate such previously removed tenor.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Benchmark Unavailability Period</w:t>
      </w:r>
      <w:r>
        <w:rPr>
          <w:rFonts w:ascii="Times New Roman;sans-serif" w:hAnsi="Times New Roman;sans-serif"/>
          <w:b w:val="false"/>
          <w:color w:val="000000"/>
          <w:sz w:val="24"/>
        </w:rPr>
        <w:t>. Upon notice to the Borrower by the Administrative Agent in accordance with Section 13.1 of the commencement of a Benchmark Unavailability Period and until a Benchmark Replacement is determined in accordance with this Section 3.3(b), the Borrower may revoke any request for a Term SOFR Advance, or any request for the conversion or continuation of a Term SOFR Advance to be made, converted or continued during any Benchmark Unavailability Period at the end of the applicable Interest Period, and, failing that, the Borrower will be deemed to have converted any such request at the end of the applicable Interest Period into a request for a Base Rate Advance or conversion to a Base Rate Advance. During any Benchmark Unavailability Period or at any time that a tenor for the then-current Benchmark is not an Available Tenor, the component of the Alternate Base Rate based upon the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then-current Benchmark or such tenor for such Benchmark, as applicable, will not be used in any determination of the Alternate Base Rate.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Funding Indemnification</w:t>
      </w:r>
      <w:r>
        <w:rPr>
          <w:rFonts w:ascii="Times New Roman;sans-serif" w:hAnsi="Times New Roman;sans-serif"/>
          <w:b w:val="false"/>
          <w:color w:val="000000"/>
          <w:sz w:val="24"/>
        </w:rPr>
        <w:t>. If any payment of a Term SOFR Advance occurs on a date that is not the last day of the applicable Interest Period, whether because of acceleration, prepayment or otherwise, or a Term SOFR Advance is not made on the date specified by the Borrower for any reason other than default by the Lenders, the Borrower will indemnify each Lender for such Lender’s reasonable costs, expenses and Interest Differential (as reasonably determined by such Lender) incurred as a result of such prepayment. “</w:t>
      </w:r>
      <w:r>
        <w:rPr>
          <w:rFonts w:ascii="Times New Roman;sans-serif" w:hAnsi="Times New Roman;sans-serif"/>
          <w:b w:val="false"/>
          <w:color w:val="000000"/>
          <w:sz w:val="24"/>
          <w:u w:val="single"/>
        </w:rPr>
        <w:t>Interest Differential</w:t>
      </w:r>
      <w:r>
        <w:rPr>
          <w:color w:val="000000"/>
        </w:rPr>
        <w:t xml:space="preserve">” </w:t>
      </w:r>
      <w:r>
        <w:rPr>
          <w:rFonts w:ascii="Times New Roman;sans-serif" w:hAnsi="Times New Roman;sans-serif"/>
          <w:b w:val="false"/>
          <w:color w:val="000000"/>
          <w:sz w:val="24"/>
        </w:rPr>
        <w:t>means the greater of zero and the financial loss incurred by the Lender resulting from prepayment, calculated as the difference between the amount of interest such Lender would have earned (from the investments in money markets as of the Borrowing Date of such Advance) had prepayment not occurred and the interest such Lender will actually earn (from like investments in money markets as of the date of prepayment) as a result of the redeployment of funds from the prepayment. Because of the short-term nature of this facility, the Borrower agrees that Interest Differential shall not be discounted to its present value.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Borrower hereby acknowledges that the Borrower shall be required to pay the Interest Differential with respect to any portion of the principal balance paid or that becomes due before its scheduled due date, whether voluntarily, involuntarily, or otherwise, including, without limitation, any principal payment made following default, demand for payment, acceleration, collection proceedings, foreclosure, sale or other disposition of collateral, bankruptcy or other insolvency proceedings, eminent domain, condemnation or otherwise. Such prepayment fee shall at all times be an Obligation as well as an undertaking by the Borrower to the Lenders whether arising out of a voluntary or mandatory prepayment.</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For purposes of this Section 3.5, the term “Lender” includes each LC Issuer and the term “applicable law” includes FATCA.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15975"/>
                <wp:effectExtent l="0" t="0" r="0" b="0"/>
                <wp:wrapNone/>
                <wp:docPr id="80" name="Frame8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Payments Free of Taxes</w:t>
      </w:r>
      <w:r>
        <w:rPr>
          <w:rFonts w:ascii="Times New Roman;sans-serif" w:hAnsi="Times New Roman;sans-serif"/>
          <w:b w:val="false"/>
          <w:color w:val="000000"/>
          <w:sz w:val="24"/>
        </w:rPr>
        <w:t>. Any and all payments by or on account of any obligation of the Borrower or 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Guarantor shall be increased as necessary so that after such deduction or withholding has been made (including such deductions and withholdings applicable to additional sums payable under this Section 3.5) the applicable Recipient receives an amount equal to the sum it would have received had no such deduction or withholding been made.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Payment of Other Taxes by the Borrower and Guarantors</w:t>
      </w:r>
      <w:r>
        <w:rPr>
          <w:rFonts w:ascii="Times New Roman;sans-serif" w:hAnsi="Times New Roman;sans-serif"/>
          <w:b w:val="false"/>
          <w:color w:val="000000"/>
          <w:sz w:val="24"/>
        </w:rPr>
        <w:t>. The Borrower and Guarantors shall timely pay to the relevant Governmental Authority in accordance with applicable law, or at the option of the Administrative Agent timely reimburse it for the payment of, any Other Taxes.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Indemnification by the Borrower</w:t>
      </w:r>
      <w:r>
        <w:rPr>
          <w:rFonts w:ascii="Times New Roman;sans-serif" w:hAnsi="Times New Roman;sans-serif"/>
          <w:b w:val="false"/>
          <w:color w:val="000000"/>
          <w:sz w:val="24"/>
        </w:rPr>
        <w:t>. The Borrower and the Guarantors shall jointly and severally indemnify each Recipient, within 10 days after demand therefor, for the full amount of any Indemnified Taxes (including Indemnified Taxes imposed or asserted on or attributable to amounts payable under this Section 3.5)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Indemnification by the Lenders</w:t>
      </w:r>
      <w:r>
        <w:rPr>
          <w:rFonts w:ascii="Times New Roman;sans-serif" w:hAnsi="Times New Roman;sans-serif"/>
          <w:b w:val="false"/>
          <w:color w:val="000000"/>
          <w:sz w:val="24"/>
        </w:rPr>
        <w:t>. Each Lender shall severally indemnify the Administrative Agent, within 10 days after demand therefor, for (i) any Indemnified Taxes attributable to such Lender (but only to the extent that the Borrower and Guarantors have not already indemnified the Administrative Agent for such Indemnified Taxes and without limiting the obligation of the Borrower and Guarantors to do so), (ii) any Taxes attributable to such Lender’s failure to comply with the provisions of Section 12.2.4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15975"/>
                <wp:effectExtent l="0" t="0" r="0" b="0"/>
                <wp:wrapNone/>
                <wp:docPr id="81" name="Frame8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Lender from any other source against any amount due to the Administrative Agent under this Section 3.5(e).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Evidence of Payments</w:t>
      </w:r>
      <w:r>
        <w:rPr>
          <w:rFonts w:ascii="Times New Roman;sans-serif" w:hAnsi="Times New Roman;sans-serif"/>
          <w:b w:val="false"/>
          <w:color w:val="000000"/>
          <w:sz w:val="24"/>
        </w:rPr>
        <w:t>. As soon as practicable after any payment of Taxes by the Borrower or Guarantor to a Governmental Authority pursuant to this Section 3.5, the Borrower or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Status of Lenders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3.5(g)(ii)(A), (B) and (D))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24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(ii)Without limiting the generality of the foregoing, if the Borrower is 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U.S. Person,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15975"/>
                <wp:effectExtent l="0" t="0" r="0" b="0"/>
                <wp:wrapNone/>
                <wp:docPr id="82" name="Frame8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Borrower or the Administrative Agent), whichever of the following is applicable: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(i)in the case of a Foreign Lender claiming the benefits of an income tax treaty to which the United States is a party</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lineRule="auto" w:line="288" w:before="24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(ii)executed copies of IRS Form W-8ECI;</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(iii)in the case of a Foreign Lender claiming the benefits of the exemption for portfolio interest under Section 881(c) of the Code, (x) a certificate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sans-serif" w:hAnsi="Times New Roman;sans-serif"/>
          <w:b w:val="false"/>
          <w:color w:val="000000"/>
          <w:sz w:val="24"/>
          <w:u w:val="single"/>
        </w:rPr>
        <w:t>U.S.</w:t>
      </w:r>
      <w:r>
        <w:rPr>
          <w:color w:val="000000"/>
        </w:rPr>
        <w:t xml:space="preserve"> </w:t>
      </w:r>
      <w:r>
        <w:rPr>
          <w:rFonts w:ascii="Times New Roman;sans-serif" w:hAnsi="Times New Roman;sans-serif"/>
          <w:b w:val="false"/>
          <w:color w:val="000000"/>
          <w:sz w:val="24"/>
          <w:u w:val="single"/>
        </w:rPr>
        <w:t>Tax Compliance Certificate</w:t>
      </w:r>
      <w:r>
        <w:rPr>
          <w:color w:val="000000"/>
        </w:rPr>
        <w:t>”</w:t>
      </w:r>
      <w:r>
        <w:rPr>
          <w:rFonts w:ascii="Times New Roman;sans-serif" w:hAnsi="Times New Roman;sans-serif"/>
          <w:b w:val="false"/>
          <w:color w:val="000000"/>
          <w:sz w:val="24"/>
        </w:rPr>
        <w:t>) and (y) executed copies of IRS Form W-8BEN, or W-8BEN-E, as applicable; 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(iv)to the extent a Foreign Lender is not the beneficial owner, executed originals of IRS Form W-8IMY, accompanied by IRS Form W-8ECI, IRS Form W-8BEN, or W-8BEN-E, as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a U.S. Tax Compliance Certificate,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15975"/>
                <wp:effectExtent l="0" t="0" r="0" b="0"/>
                <wp:wrapNone/>
                <wp:docPr id="83" name="Frame8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applicable law to permit the Borrower or the Administrative Agent to determine the withholding or deduction required to be made; and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(D)if a payment made to a Lender under any Loan Document would be subject to U.S. federal withholding Tax imposed by FATCA if such Lender were to fail to comply with the applicable reporting requirements of FATCA (including those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3.5(g)(ii)(D), “FATCA” shall include any amendments made to FATCA after the date of this Agreement.</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Treatment of Certain Refunds</w:t>
      </w:r>
      <w:r>
        <w:rPr>
          <w:rFonts w:ascii="Times New Roman;sans-serif" w:hAnsi="Times New Roman;sans-serif"/>
          <w:b w:val="false"/>
          <w:color w:val="000000"/>
          <w:sz w:val="24"/>
        </w:rPr>
        <w:t>. If any party determines, in its sole discretion exercised in good faith, that it has received a refund of any Taxes as to which it has been indemnified pursuant to this Section 3.5 (including by the payment of additional amounts pursuant to this Section 3.5),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3.5(h) (plus any penalties, interest or other charges imposed by the relevant Governmental Authority) if such indemnified party is required to repay such refund to such Governmental Authority. Notwithstanding anything to the contrary in this Section 3.5(h), in no event will the indemnified party be required to pay any amount to an indemnifying party pursuant to this Section 3.5(h)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15975"/>
                <wp:effectExtent l="0" t="0" r="0" b="0"/>
                <wp:wrapNone/>
                <wp:docPr id="84" name="Frame8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Each party’s obligations under this Section 3.5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Lender Statements; Survival of Indemnity</w:t>
      </w:r>
      <w:r>
        <w:rPr>
          <w:rFonts w:ascii="Times New Roman;sans-serif" w:hAnsi="Times New Roman;sans-serif"/>
          <w:b w:val="false"/>
          <w:color w:val="000000"/>
          <w:sz w:val="24"/>
        </w:rPr>
        <w:t>. To the extent reasonably possible, each Lender shall designate an alternate Lending Installation with respect to its Term SOFR Loans to reduce any liability of the Borrower to such Lender under Sections 3.1, 3.2 and 3.5 or to avoid the unavailability of Term SOFR Advances under Section 3.3, so long as such designation is not, in the reasonable judgment of such Lender, disadvantageous to such Lender. Each Lender shall deliver a written statement of such Lender to the Borrower (with a copy to the Administrative Agent) as to the amount due, if any, under Section 3.1, 3.2, 3.4 or 3.5. Such written statement shall set forth in reasonable detail the calculations upon which such Lender determined such amount and shall be final, conclusive and binding on the Borrower in the absence of manifest error. Determination of amounts payable under such Sections in connection with a Term SOFR Loan shall be calculated as though each Lender funded its Term SOFR Loan through the purchase of a deposit of the type and maturity corresponding to the deposit used as a reference in determining the Term SOFR Rate applicable to such Loan, whether in fact that is the case or not. Unless otherwise provided herein, the amount specified in the written statement of any Lender shall be payable on demand after receipt by the Borrower of such written statement. The obligations of the Borrower under Sections 3.1, 3.2, 3.4 and 3.5 shall survive payment of the Obligations and termination of this Agreement.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If any Lender determines that any Change has made it unlawful for such Lender or its applicable Lending Installation to make, maintain or fund Term SOFR Advances, or to determine or charge interest rates based upon the Term SOFR Rate, then, on notice thereof by such Lender to the Borrower through the Administrative Agent, (i) any obligation of such Lender to make or continue, or to convert any Advances to, Term SOFR Advances shall be suspended, and (ii) if applicable after the Restatement Date, such notice asserts the illegality of such Lender making or maintaining Base Rate Advances the interest rate on which is determined by reference to any Term SOFR Rate component of the Base Rate, the interest rate on which Base Rate Advances of such Lender shall, if necessary to avoid such illegality, be determined by the Administrative Agent without reference to any Term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Term SOFR Advances of such Lender to Base Rate Advances (the interest rate on which Base Rate Advances of such Lender shall, if necessary to avoid such illegality, be determined by the Administrative Agent without reference to any Term SOFR Rate component of the Base Rate), either on the last day of the Interest Period therefor, if such Lender may lawfully continue to maintain such Term SOFR Advances to such day, or immediately, if such Lender may not lawfully continue to maintain such Term SOFR Advances and (y) if such notice asserts the illegality of such Lender determining or charging interest rates based upon the Term SOFR Rate, the Administrative Agent shall during the period of such suspension compute the Base Rate applicable to such Lender without reference to any Term SOFR Rate component thereof until the Administrative Agent is advised in writing by such Lender that it is no longer illegal for such Lender to determine or charge interest rates based upon the Term SOFR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15975"/>
                <wp:effectExtent l="0" t="0" r="0" b="0"/>
                <wp:wrapNone/>
                <wp:docPr id="85" name="Frame8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Upon any such prepayment or conversion, the Borrower shall also pay accrued interest on the amount so prepaid or converted.</w:t>
      </w:r>
    </w:p>
    <w:p>
      <w:pPr>
        <w:pStyle w:val="TextBody"/>
        <w:bidi w:val="0"/>
        <w:spacing w:lineRule="auto" w:line="288" w:before="240" w:after="283"/>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ARTICLE IV. CONDITIONS PRECEDENT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Credit Extension</w:t>
      </w:r>
      <w:r>
        <w:rPr>
          <w:rFonts w:ascii="Times New Roman;sans-serif" w:hAnsi="Times New Roman;sans-serif"/>
          <w:b w:val="false"/>
          <w:color w:val="000000"/>
          <w:sz w:val="24"/>
        </w:rPr>
        <w:t>. The continuation or making of the Loans under this Agreement, and if applicable the issuance of the initial Facility LCs under this Agreement, shall be subject to the prior or simultaneous fulfillment of the following conditions: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Documents</w:t>
      </w:r>
      <w:r>
        <w:rPr>
          <w:rFonts w:ascii="Times New Roman;sans-serif" w:hAnsi="Times New Roman;sans-serif"/>
          <w:b w:val="false"/>
          <w:color w:val="000000"/>
          <w:sz w:val="24"/>
        </w:rPr>
        <w:t>. The Administrative Agent shall have received the following in sufficient counterparts (except for the Notes) for each Lender prior to the Restatement Date (or such other time period as may be acceptable to the Administrative Agent):</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(a)This Agreement, duly executed by the Borrower.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(b)Notes drawn to each Lender that has requested a Note, executed by the Borrower and dated the Restatement Date.</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(c)The Security Agreement, duly executed by the Borrower and the Guarantors, together with:</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(A)completed UCC, tax lien, and judgment searches for the Borrower, and the Material Domestic Subsidiaries satisfactory to the Administrative Agent; and</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(B)to the extent not previously delivered to the Administrative Agent</w:t>
      </w:r>
      <w:r>
        <w:rPr>
          <w:strike/>
          <w:color w:val="FF0000"/>
        </w:rPr>
        <w:t xml:space="preserve"> </w:t>
      </w:r>
      <w:r>
        <w:rPr>
          <w:rFonts w:ascii="Times New Roman;sans-serif" w:hAnsi="Times New Roman;sans-serif"/>
          <w:b w:val="false"/>
          <w:strike/>
          <w:color w:val="FF0000"/>
          <w:sz w:val="24"/>
        </w:rPr>
        <w:t>(with exception to the following items insofar</w:t>
      </w:r>
      <w:r>
        <w:rPr>
          <w:color w:val="FF0000"/>
        </w:rPr>
        <w:t xml:space="preserve"> </w:t>
      </w:r>
      <w:r>
        <w:rPr>
          <w:rFonts w:ascii="Times New Roman;sans-serif" w:hAnsi="Times New Roman;sans-serif"/>
          <w:b w:val="false"/>
          <w:strike/>
          <w:color w:val="FF0000"/>
          <w:sz w:val="24"/>
        </w:rPr>
        <w:t xml:space="preserve">as the same relate to NAPCO, which are the subject of </w:t>
      </w:r>
      <w:r>
        <w:rPr>
          <w:rFonts w:ascii="Times New Roman;sans-serif" w:hAnsi="Times New Roman;sans-serif"/>
          <w:b w:val="false"/>
          <w:strike/>
          <w:color w:val="FF0000"/>
          <w:sz w:val="24"/>
          <w:u w:val="single"/>
        </w:rPr>
        <w:t>Section</w:t>
      </w:r>
      <w:r>
        <w:rPr>
          <w:color w:val="FF0000"/>
        </w:rPr>
        <w:t xml:space="preserve"> </w:t>
      </w:r>
      <w:r>
        <w:rPr>
          <w:rFonts w:ascii="Times New Roman;sans-serif" w:hAnsi="Times New Roman;sans-serif"/>
          <w:b w:val="false"/>
          <w:strike/>
          <w:color w:val="FF0000"/>
          <w:sz w:val="24"/>
          <w:u w:val="single"/>
        </w:rPr>
        <w:t xml:space="preserve">6.16(c)(ii) </w:t>
      </w:r>
      <w:r>
        <w:rPr>
          <w:rFonts w:ascii="Times New Roman;sans-serif" w:hAnsi="Times New Roman;sans-serif"/>
          <w:b w:val="false"/>
          <w:strike/>
          <w:color w:val="FF0000"/>
          <w:sz w:val="24"/>
        </w:rPr>
        <w:t>below)</w:t>
      </w:r>
      <w:r>
        <w:rPr>
          <w:rFonts w:ascii="Times New Roman;sans-serif" w:hAnsi="Times New Roman;sans-serif"/>
          <w:b w:val="false"/>
          <w:color w:val="000000"/>
          <w:sz w:val="24"/>
        </w:rPr>
        <w:t>, copies of the original certificates (if any) with respect to any Equity Interests specifically pledged under the Security Agreement together with stock powers or assignments separate from certificate in the form prescribed by the Administrative Agent and duly executed in blank with the originals to be sent by overnight mail to the Administrative Agent or its designee.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(d)An amended and restated Guaranty, duly executed by the Guarantors.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(e)The Negative Pledge Agreement, duly executed by the Borrower and the Guarantors.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herein, prior and superior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15975"/>
                <wp:effectExtent l="0" t="0" r="0" b="0"/>
                <wp:wrapNone/>
                <wp:docPr id="86" name="Frame8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right to any other Person (other than with respect to Liens expressly permitted by Section 6.22), shall be in proper form for filing, registration or recordation.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(g)A certificate of the Secretary or Assistant Secretary (or other appropriate officer) of the Borrower and each Material Domestic Subsidiary (with such certificates of a Secretary or Assistant Secretary, dated as of the Restatement Date and certifying as to the following:</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(A)A true and accurate copy of the resolutions or unanimous written consent of such Person authorizing the execution, delivery, and performance of the Loan Documents to which it is a party delivered to the Agent on the Restatement Date are in full force and effect and have not been amended or modified in any way prior to the Restatement Date;</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incumbency, names, titles, and signatures of the officers of such Person authorized to execute the Loan Documents to which such Person is a party and, as to the Borrower, to request Loans and the issuance of Facility LCs;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(C)A true and accurate copy of the articles of incorporation, certificate of formation, certificate of partnership or other equivalent documents of such Person with all amendments thereto, certified by the appropriate governmental official of the jurisdiction of its organization as of a date reasonably acceptable to the Administrative Agent; and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(D)A true and accurate copy of the bylaws, operating agreement or partnership agreement of such Loan Party.</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(h)Certificates of current status or good standing for the Borrower and each Material Domestic Subsidiary in its respective jurisdiction of organization as of a date reasonably acceptable to the Administrative Agent.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(i)Evidence satisfactory to the Administrative Agent that all other Indebtedness of the Borrower and the Subsidiaries (other than Indebtedness permitted to remain outstanding after the Restatement Date) has been repaid or will be repaid with the proceeds of the Loans funded on the Restatement Date.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(j)A solvency certificate for the Borrower and its Subsidiaries on a consolidated basis in form and substance reasonably acceptable to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 from the chief financial officer of the Borrower;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(k)A certificate dated as of the Restatement Date of an Authorized Officer of the Borrower certifying as to the matters set forth in Section 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15975"/>
                <wp:effectExtent l="0" t="0" r="0" b="0"/>
                <wp:wrapNone/>
                <wp:docPr id="87" name="Frame8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(l)[Reserved].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(m)Copies of (i) unaudited consolidated financial statements of the Borrower and its Subsidiaries for the most recently ended Fiscal Quarter, and (ii) audited consolidated financial statements of the Borrower and its Subsidiaries for each of its last three Fiscal Years.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(n)An executed initial Borrowing Notice from the Borrower and sources and uses of funds attached thereto as Exhibit A (the “</w:t>
      </w:r>
      <w:r>
        <w:rPr>
          <w:rFonts w:ascii="Times New Roman;sans-serif" w:hAnsi="Times New Roman;sans-serif"/>
          <w:b w:val="false"/>
          <w:color w:val="000000"/>
          <w:sz w:val="24"/>
          <w:u w:val="single"/>
        </w:rPr>
        <w:t>Restatement Date</w:t>
      </w:r>
      <w:r>
        <w:rPr>
          <w:color w:val="000000"/>
        </w:rPr>
        <w:t xml:space="preserve"> </w:t>
      </w:r>
      <w:r>
        <w:rPr>
          <w:rFonts w:ascii="Times New Roman;sans-serif" w:hAnsi="Times New Roman;sans-serif"/>
          <w:b w:val="false"/>
          <w:color w:val="000000"/>
          <w:sz w:val="24"/>
          <w:u w:val="single"/>
        </w:rPr>
        <w:t>Funds Flow</w:t>
      </w:r>
      <w:r>
        <w:rPr>
          <w:color w:val="000000"/>
        </w:rPr>
        <w:t>”</w:t>
      </w:r>
      <w:r>
        <w:rPr>
          <w:rFonts w:ascii="Times New Roman;sans-serif" w:hAnsi="Times New Roman;sans-serif"/>
          <w:b w:val="false"/>
          <w:color w:val="000000"/>
          <w:sz w:val="24"/>
        </w:rPr>
        <w:t>) with respect to all Loans and disbursements requested on the Restatement Date.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Opinions</w:t>
      </w:r>
      <w:r>
        <w:rPr>
          <w:rFonts w:ascii="Times New Roman;sans-serif" w:hAnsi="Times New Roman;sans-serif"/>
          <w:b w:val="false"/>
          <w:color w:val="000000"/>
          <w:sz w:val="24"/>
        </w:rPr>
        <w:t xml:space="preserve">. The Borrower shall have requested its counsel to prepare written opinions, addressed to the Lenders and dated the Restatement Date, in form and substance reasonably acceptable to the Administrative Agent </w:t>
      </w:r>
      <w:r>
        <w:rPr>
          <w:rFonts w:ascii="Times New Roman;sans-serif" w:hAnsi="Times New Roman;sans-serif"/>
          <w:b w:val="false"/>
          <w:strike/>
          <w:color w:val="FF0000"/>
          <w:sz w:val="24"/>
        </w:rPr>
        <w:t>and the Initial Lenders</w:t>
      </w:r>
      <w:r>
        <w:rPr>
          <w:color w:val="FF0000"/>
        </w:rPr>
        <w:t xml:space="preserve"> </w:t>
      </w:r>
      <w:r>
        <w:rPr>
          <w:rFonts w:ascii="Times New Roman;sans-serif" w:hAnsi="Times New Roman;sans-serif"/>
          <w:b w:val="false"/>
          <w:color w:val="000000"/>
          <w:sz w:val="24"/>
        </w:rPr>
        <w:t>with respect to the Borrower and the Guarantors, and such opinions shall have been delivered to the Administrative Agent in sufficient counterparts for each Lender.</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Fees and Expenses</w:t>
      </w:r>
      <w:r>
        <w:rPr>
          <w:rFonts w:ascii="Times New Roman;sans-serif" w:hAnsi="Times New Roman;sans-serif"/>
          <w:b w:val="false"/>
          <w:color w:val="000000"/>
          <w:sz w:val="24"/>
        </w:rPr>
        <w:t>. The Administrative Agent shall have received an executed copy of the U.S. Bank Fee Letter and shall have received for itself and for the account of the Lenders all reasonably documented fees and other amounts due and payable by the Borrower on or prior to the Restatement Date, including pursuant to the U.S. Bank Fee Letter, and the reasonable fees and expenses of counsel to the Administrative Agent payable pursuant to Section 9.6.</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Each Credit Extension</w:t>
      </w:r>
      <w:r>
        <w:rPr>
          <w:rFonts w:ascii="Times New Roman;sans-serif" w:hAnsi="Times New Roman;sans-serif"/>
          <w:b w:val="false"/>
          <w:color w:val="000000"/>
          <w:sz w:val="24"/>
        </w:rPr>
        <w:t>. The Lenders shall not be required to make any Credit Extension, other than any conversion or continuation pursuant to Section 2.7 (and subject to the terms of Section 2.9) and automatic renewals of Letters of Credit in accordance with the terms thereof, unless on the applicable Borrowing Date:</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(a)There exists no Default or Event of Default.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representations and warranties in Article V are true and correct as of such Borrowing Date in all material respects, without duplication as to any materiality modifications, qualification or limitation set forth in Article V, except to the extent any such representation or warranty is stated to relate solely to an earlier date, in which case such representation or warranty shall have been true and correct in all material respects, without duplication as to any materiality modifications, qualification or limitation set forth in Article V, on and as of such earlier date.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Borrowing Notice, Swing Line Borrowing Notice and request for issuance of a Facility LC with respect to each such Credit Extension, other than any conversion or continuation pursuant to Section 2.7 (and subject to Section 2.9) and automatic renewals of Letters of Credit in accordance with the terms thereof, shall constitute a representation and warranty by the Borrower that the conditions in Section 4.2(a) and (b) have been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15975"/>
                <wp:effectExtent l="0" t="0" r="0" b="0"/>
                <wp:wrapNone/>
                <wp:docPr id="88" name="Frame8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1634"/>
        <w:jc w:val="left"/>
        <w:rPr>
          <w:rFonts w:ascii="Times New Roman;sans-serif" w:hAnsi="Times New Roman;sans-serif"/>
          <w:b/>
          <w:color w:val="000000"/>
          <w:sz w:val="24"/>
        </w:rPr>
      </w:pPr>
      <w:r>
        <w:rPr>
          <w:rFonts w:ascii="Times New Roman;sans-serif" w:hAnsi="Times New Roman;sans-serif"/>
          <w:b/>
          <w:color w:val="000000"/>
          <w:sz w:val="24"/>
        </w:rPr>
        <w:t>ARTICLE V. REPRESENTATIONS AND WARRANTIES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Borrower represents and warrants to the Lenders that: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Existence and Standing</w:t>
      </w:r>
      <w:r>
        <w:rPr>
          <w:rFonts w:ascii="Times New Roman;sans-serif" w:hAnsi="Times New Roman;sans-serif"/>
          <w:b w:val="false"/>
          <w:color w:val="000000"/>
          <w:sz w:val="24"/>
        </w:rPr>
        <w:t>. Each of the Borrower and the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 conducts its business, except where the failure to be in good standing or to have such authority would not reasonably be expected to have a Material Adverse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Authorization and Validity</w:t>
      </w:r>
      <w:r>
        <w:rPr>
          <w:rFonts w:ascii="Times New Roman;sans-serif" w:hAnsi="Times New Roman;sans-serif"/>
          <w:b w:val="false"/>
          <w:color w:val="000000"/>
          <w:sz w:val="24"/>
        </w:rPr>
        <w:t>. Each of the Borrower and the Subsidiaries have the power and authority and legal right to execute and deliver the Loan Documents to which it is a party and to perform its obligations thereunder. The execution and delivery by each such Person of the Loan Documents to which it is a party and the performance of its obligations thereunder have been duly authorized by proper corporate proceedings, and the Loan Documents to which such Person is a party constitute legal, valid and binding obligations of such Person enforceable against such Person in accordance with their terms, except as enforceability may be limited by bankruptcy, insolvency or similar laws affecting the enforcement of creditors’ rights generally.</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 Conflict; Government Consent</w:t>
      </w:r>
      <w:r>
        <w:rPr>
          <w:rFonts w:ascii="Times New Roman;sans-serif" w:hAnsi="Times New Roman;sans-serif"/>
          <w:b w:val="false"/>
          <w:color w:val="000000"/>
          <w:sz w:val="24"/>
        </w:rPr>
        <w:t>. Neither the execution and delivery by any of the Borrower or the Subsidiaries of the Loan Documents to which it is a party, nor the consummation of the transactions therein contemplated, nor compliance with the provisions thereof will violate (i) any material law, rule, regulation, order, writ, judgment, injunction, decree or award binding on such Person, (ii) such Person’s articles or certificate of incorporation, partnership agreement, certificate of partnership, articles or certificate of organization, bylaws, limited liability company agreement, or operating or other management agreement, as the case may be or (iii) the provisions of any indenture, instrument or agreement to which such Person is a party or is subject, or by which it, or its Property, is bound, or conflict with or constitute a default thereunder (other than to the extent that such conflict or default could not reasonably be expected to have a Material Adverse Effect), or result in, or require, the creation or imposition of any Lien in, of or on the Property of such Person pursuant to the terms of any such indenture, instrument or agreement. No order, consent, adjudication, approval, license, authorization or validation of, filing, recording or registration with, exemption by or other action in respect of any governmental or public body or authority, or any subdivision thereof, that has not been obtained is required to be obtained by the Borrower or any of the Subsidiaries in connection with the execution and delivery of the Loan Documents, the borrowings under this Agreement, the payment and performance by the Borrower or the Subsidiaries of the Obligations or the legality, validity, binding effect or enforceability of any of the Loan Documents, except for any consents already obtained or any necessary filing or recordation of or with respect to the Security Agreement.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 xml:space="preserve">. (i) The audited annual financial statements of the Borrower and the Subsidiaries for each of its last three Fiscal Years, and (ii) the unaudited consolidated financial statements of the Borrower and the Subsidiaries for the Fiscal Quarter ended December </w:t>
      </w:r>
      <w:r>
        <w:rPr>
          <w:rFonts w:ascii="Times New Roman;sans-serif" w:hAnsi="Times New Roman;sans-serif"/>
          <w:b w:val="false"/>
          <w:strike/>
          <w:color w:val="FF0000"/>
          <w:sz w:val="24"/>
        </w:rPr>
        <w:t>26, 2021</w:t>
      </w:r>
      <w:r>
        <w:rPr>
          <w:rFonts w:ascii="Times New Roman;sans-serif" w:hAnsi="Times New Roman;sans-serif"/>
          <w:b w:val="false"/>
          <w:color w:val="0000FF"/>
          <w:sz w:val="24"/>
          <w:u w:val="single"/>
        </w:rPr>
        <w:t>29, 2024</w:t>
      </w:r>
      <w:r>
        <w:rPr>
          <w:color w:val="0000FF"/>
        </w:rPr>
        <w:t xml:space="preserve"> </w:t>
      </w:r>
      <w:r>
        <w:rPr>
          <w:rFonts w:ascii="Times New Roman;sans-serif" w:hAnsi="Times New Roman;sans-serif"/>
          <w:b w:val="false"/>
          <w:color w:val="000000"/>
          <w:sz w:val="24"/>
        </w:rPr>
        <w:t>heretofore delivered to the Lenders were prepared in accordance with GAAP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15975"/>
                <wp:effectExtent l="0" t="0" r="0" b="0"/>
                <wp:wrapNone/>
                <wp:docPr id="89" name="Frame8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 on the date such statements were prepared and fairly present in all material respects the consolidated financial condition and operations of the Borrower and the Subsidiaries, as applicable, at such dates and the consolidated results of their operations for the periods then ended. The pro forma financial statements delivered pursuant to Section 4.1.1(m) were prepared in good faith and are based on reasonable assumptions as to the Borrower and the Subsidiaries after giving effect to the consummation of this Agreement and the transactions contemplated herein.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xml:space="preserve">. Since March </w:t>
      </w:r>
      <w:r>
        <w:rPr>
          <w:rFonts w:ascii="Times New Roman;sans-serif" w:hAnsi="Times New Roman;sans-serif"/>
          <w:b w:val="false"/>
          <w:strike/>
          <w:color w:val="FF0000"/>
          <w:sz w:val="24"/>
        </w:rPr>
        <w:t>28</w:t>
      </w:r>
      <w:r>
        <w:rPr>
          <w:rFonts w:ascii="Times New Roman;sans-serif" w:hAnsi="Times New Roman;sans-serif"/>
          <w:b w:val="false"/>
          <w:color w:val="0000FF"/>
          <w:sz w:val="24"/>
          <w:u w:val="single"/>
        </w:rPr>
        <w:t>31</w:t>
      </w:r>
      <w:r>
        <w:rPr>
          <w:rFonts w:ascii="Times New Roman;sans-serif" w:hAnsi="Times New Roman;sans-serif"/>
          <w:b w:val="false"/>
          <w:color w:val="000000"/>
          <w:sz w:val="24"/>
        </w:rPr>
        <w:t xml:space="preserve">, </w:t>
      </w:r>
      <w:r>
        <w:rPr>
          <w:rFonts w:ascii="Times New Roman;sans-serif" w:hAnsi="Times New Roman;sans-serif"/>
          <w:b w:val="false"/>
          <w:strike/>
          <w:color w:val="FF0000"/>
          <w:sz w:val="24"/>
        </w:rPr>
        <w:t>2021</w:t>
      </w:r>
      <w:r>
        <w:rPr>
          <w:rFonts w:ascii="Times New Roman;sans-serif" w:hAnsi="Times New Roman;sans-serif"/>
          <w:b w:val="false"/>
          <w:color w:val="0000FF"/>
          <w:sz w:val="24"/>
          <w:u w:val="single"/>
        </w:rPr>
        <w:t>2024</w:t>
      </w:r>
      <w:r>
        <w:rPr>
          <w:rFonts w:ascii="Times New Roman;sans-serif" w:hAnsi="Times New Roman;sans-serif"/>
          <w:b w:val="false"/>
          <w:color w:val="000000"/>
          <w:sz w:val="24"/>
        </w:rPr>
        <w:t>, there has been no change in the business, Property, financial condition or results of operations of the Borrower or the Subsidiaries that could reasonably be expected to have a Material Adverse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Each of the Borrower and the Subsidiaries has filed all United States federal tax returns and all other material tax returns that are required to be filed and has paid all material taxes due pursuant to said returns or pursuant to any assessment received by the Borrower or any of the Subsidiaries, except such taxes, if any, as are being contested in good faith, as to which adequate reserves have been provided in accordance with GAAP and as to which no Lien exists. No tax liens have been filed and no material claims are being asserted with respect to any such taxes. The charges, accruals and reserves on the books of the Borrower and the Subsidiaries in respect of any taxes or other governmental charges are adequate in accordance with GAAP. Neither the Borrower, nor any of the Subsidiaries have participated in any transaction that relates to a year of the taxpayer (which is still open under the applicable statute of limitations) that is a “reportable transaction” within the meaning of Treasury Regulation</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 1.6011-4(b)(2) (irrespective of the date when the transaction was entered into).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Litigation and Contingent Obligations</w:t>
      </w:r>
      <w:r>
        <w:rPr>
          <w:rFonts w:ascii="Times New Roman;sans-serif" w:hAnsi="Times New Roman;sans-serif"/>
          <w:b w:val="false"/>
          <w:color w:val="000000"/>
          <w:sz w:val="24"/>
        </w:rPr>
        <w:t xml:space="preserve">. Except as set forth in </w:t>
      </w:r>
      <w:r>
        <w:rPr>
          <w:rFonts w:ascii="Times New Roman;sans-serif" w:hAnsi="Times New Roman;sans-serif"/>
          <w:b w:val="false"/>
          <w:color w:val="000000"/>
          <w:sz w:val="24"/>
          <w:u w:val="single"/>
        </w:rPr>
        <w:t>Schedule 5.7</w:t>
      </w:r>
      <w:r>
        <w:rPr>
          <w:rFonts w:ascii="Times New Roman;sans-serif" w:hAnsi="Times New Roman;sans-serif"/>
          <w:b w:val="false"/>
          <w:color w:val="000000"/>
          <w:sz w:val="24"/>
        </w:rPr>
        <w:t>, there is no litigation, arbitration, governmental investigation, proceeding or inquiry pending or, to the knowledge of any Authorized Officer, threatened against or affecting the Borrower or any of the Subsidiaries that could, individually or collectively, reasonably be expected to have a Material Adverse Effect or that seeks to prevent, enjoin or delay the making of any Credit Extensions. Other than any liability incident to any litigation, arbitration or proceeding that could not reasonably be expected to have a Material Adverse Effect, the Borrower and the Subsidiaries have no material contingent obligations not provided for or disclosed in the financial statements referred to in Section 5.4.</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5.8</w:t>
      </w:r>
      <w:r>
        <w:rPr>
          <w:color w:val="000000"/>
        </w:rPr>
        <w:t xml:space="preserve"> </w:t>
      </w:r>
      <w:r>
        <w:rPr>
          <w:rFonts w:ascii="Times New Roman;sans-serif" w:hAnsi="Times New Roman;sans-serif"/>
          <w:b w:val="false"/>
          <w:color w:val="000000"/>
          <w:sz w:val="24"/>
        </w:rPr>
        <w:t xml:space="preserve">contains an accurate list of all Subsidiaries of Borrower as of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 Amendment Effective</w:t>
      </w:r>
      <w:r>
        <w:rPr>
          <w:color w:val="0000FF"/>
        </w:rPr>
        <w:t xml:space="preserve"> </w:t>
      </w:r>
      <w:r>
        <w:rPr>
          <w:rFonts w:ascii="Times New Roman;sans-serif" w:hAnsi="Times New Roman;sans-serif"/>
          <w:b w:val="false"/>
          <w:color w:val="000000"/>
          <w:sz w:val="24"/>
        </w:rPr>
        <w:t>Date setting forth their respective jurisdictions of organization and the percentage of their respective Equity Interests owned by the Borrower, or other Subsidiaries. All of the issued and outstanding shares of capital stock or other Equity Interest of such Subsidiaries have been (to the extent such concepts are relevant with respect to such ownership interests) duly authorized and issued and are fully paid 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non-assessable.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No ERISA Event has occurred or is reasonably expected to occur that, when taken together with all other such ERISA Events for which liability is reasonably expected to occur, could reasonably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15975"/>
                <wp:effectExtent l="0" t="0" r="0" b="0"/>
                <wp:wrapNone/>
                <wp:docPr id="90" name="Frame9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No information, exhibit or report furnished by the Borrower, or any of the Subsidiaries to the Administrative Agent or to any Lender in connection with the negotiation of, or compliance with, the Loan Documents, including without limitation the financial statements delivered pursuant to Section 5.4, contained any material misstatement of fact or omitted to state a material fact or any fact necessary to make the statements therein not misleading in light of the circumstances when made.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Regulation U</w:t>
      </w:r>
      <w:r>
        <w:rPr>
          <w:rFonts w:ascii="Times New Roman;sans-serif" w:hAnsi="Times New Roman;sans-serif"/>
          <w:b w:val="false"/>
          <w:color w:val="000000"/>
          <w:sz w:val="24"/>
        </w:rPr>
        <w:t>. “Margin Stock” (as defined in Regulation U) constitutes less than 25% of the value of those assets of the Borrower and the Subsidiaries that are subject to any limitation on sale, pledge or other restriction hereunder. Neither the Borrower nor any Subsidiary is engaged principally, or as one of their important activities, in the business of extending credit for the purpose of carrying “Margin Stock” (as defined in Regulation U). Neither the Borrower, nor any Subsidiary has used any of the proceeds of the Advances to purchase or carry any “Margin Stock” (as defined in Regulation U).</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Material Agreements</w:t>
      </w:r>
      <w:r>
        <w:rPr>
          <w:rFonts w:ascii="Times New Roman;sans-serif" w:hAnsi="Times New Roman;sans-serif"/>
          <w:b w:val="false"/>
          <w:color w:val="000000"/>
          <w:sz w:val="24"/>
        </w:rPr>
        <w:t>. Neither the Borrower nor any Subsidiary is (a) a party to any agreement or instrument the compliance with, or performance of, which could reasonably be expected to have a Material Adverse Effect, or (b) subject to any charter or other corporate, limited liability company or partnership restriction that could reasonably be expected to have a Material Adverse Effect. Neither the Borrower nor any Subsidiary is in default in the performance, observance or fulfillment of any of the obligations, covenants or conditions in any agreement to which it is a party (including any agreement or instrument evidencing or governing indebtedness), which default could reasonably be expected to have a Material Adverse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Borrower and the Subsidiaries have complied in all material respects with all applicable statutes, rules, regulations, orders and restrictions of any domestic or foreign government or any instrumentality or agency thereof having jurisdiction over the conduct of their respective businesses or the ownership of their respective Property.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Ownership of Properties; Perfection of Liens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5.14</w:t>
      </w:r>
      <w:r>
        <w:rPr>
          <w:rFonts w:ascii="Times New Roman;sans-serif" w:hAnsi="Times New Roman;sans-serif"/>
          <w:b w:val="false"/>
          <w:color w:val="000000"/>
          <w:sz w:val="24"/>
        </w:rPr>
        <w:t xml:space="preserve">, on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 Amendment Effective</w:t>
      </w:r>
      <w:r>
        <w:rPr>
          <w:color w:val="0000FF"/>
        </w:rPr>
        <w:t xml:space="preserve"> </w:t>
      </w:r>
      <w:r>
        <w:rPr>
          <w:rFonts w:ascii="Times New Roman;sans-serif" w:hAnsi="Times New Roman;sans-serif"/>
          <w:b w:val="false"/>
          <w:color w:val="000000"/>
          <w:sz w:val="24"/>
        </w:rPr>
        <w:t>Date, the Borrower and the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Subsidiaries will have good, and in the case of real property, marketable title, free and clear of all Liens other than those permitted by Section 6.22, to all of the Property and assets reflected in the Borrower’s most recent consolidated financial statements provided to the Administrative Agent as owned by the Borrower and the Subsidiaries. The Obligations are secured by valid, perfected, first-priority Liens (subject to Liens permitted pursuant to Section 6.22) in favor of the Administrative Agent for the benefit of the Lenders, covering and encumbering all Collateral granted or purported to be granted by the Collateral Documents, to the extent perfection has occurred by the filing of a UCC financing statement or by continued possession or control (other than with respect to Liens on Collateral represented by a certificate of title). Neither the Borrower nor any Subsidiary has subordinated any of their rights under any Obligation owing to it to the rights of another Person.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Plan Assets; Prohibited Transactions</w:t>
      </w:r>
      <w:r>
        <w:rPr>
          <w:rFonts w:ascii="Times New Roman;sans-serif" w:hAnsi="Times New Roman;sans-serif"/>
          <w:b w:val="false"/>
          <w:color w:val="000000"/>
          <w:sz w:val="24"/>
        </w:rPr>
        <w:t>. Neither the Borrower nor any Subsidiary is an entity deemed to hold “plan assets” within the meaning of 29 C.F.R. § 2510.3-101, as modified by Section 3(42) of ERISA, of an employee benefit plan (as defined in § 3(3) of ERISA) that is subject to Title I of ERISA or any plan (within the meaning of § 4975 of the Code) which 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15975"/>
                <wp:effectExtent l="0" t="0" r="0" b="0"/>
                <wp:wrapNone/>
                <wp:docPr id="91" name="Frame9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subject to Section 4975 of the Code, and neither the execution of this Agreement nor the making of Credit Extensions hereunder gives rise to a Prohibited Transaction. The Borrower is not subject to any law, rule or regulation which is substantially similar to a Prohibited Transaction.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 xml:space="preserve">. The ongoing operations of the Borrower and each Subsidiary comply in all respects with all Environmental Laws, except such non-compliance as could not (if enforced in accordance with applicable law) reasonably be expected to result, either individually or in the aggregate, in a Material Adverse Effect. Each of the Borrower and the Subsidiaries has obtained, and maintained in good standing, all material licenses, permits, authorizations, registrations and other approvals required under any Environmental Law and required for its then current ordinary course operations, and each of the Borrower and the Subsidiaries is in compliance with all terms and conditions thereof, except where the failure to so comply could not reasonably be expected to result in material liability of the Borrower and the Subsidiaries and could not reasonably be expected to result, either individually or in the aggregate, in a Material Adverse Effect. Except as set forth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 xml:space="preserve">and except for matters that could not reasonably be expected to have a Material Adverse Effect, none of the Borrower or any of the Subsidiaries or any of their currently owned or leased real properties is subject to any written order from or agreement with any Governmental Authority, nor subject to any judicial or docketed administrative or other proceeding, respecting any Environmental Claim. Except as set forth on </w:t>
      </w:r>
      <w:r>
        <w:rPr>
          <w:rFonts w:ascii="Times New Roman;sans-serif" w:hAnsi="Times New Roman;sans-serif"/>
          <w:b w:val="false"/>
          <w:color w:val="000000"/>
          <w:sz w:val="24"/>
          <w:u w:val="single"/>
        </w:rPr>
        <w:t>Schedule 5.16</w:t>
      </w:r>
      <w:r>
        <w:rPr>
          <w:rFonts w:ascii="Times New Roman;sans-serif" w:hAnsi="Times New Roman;sans-serif"/>
          <w:b w:val="false"/>
          <w:color w:val="000000"/>
          <w:sz w:val="24"/>
        </w:rPr>
        <w:t xml:space="preserve">, to the knowledge of the Borrower, there are no Hazardous Substances or other conditions or circumstances existing with respect to any property, arising from operations prior to the Restatement Date, or relating to any waste disposal, of any of the Borrower or the Subsidiaries that would reasonably be expected to result, either individually or in the aggregate, in a Material Adverse Effect. Except as set forth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and except for matters that could not reasonably be expected to have a Material Adverse Effect, none of the Borrower and the Subsidiaries has any underground storage tanks that are not in compliance with Environmental Laws.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Neither the Borrower nor any Subsidiary is an “investment company” or a company “controlled” by an “investment company” within the meaning of the Investment Company Act of 1940, as amended.</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Each of the Borrower maintains, and has caused each Subsidiary to maintain, with financially sound and reputable insurance companies insurance on all their Property in such amounts, subject to such deductibles and self-insurance retentions and covering such properties and risks as are consistent with sound business practice and as are customarily carried by companies engaged in similar business and owning similar properties in localities where the Borrower and the Subsidiaries operate.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1.19.</w:t>
      </w:r>
      <w:r>
        <w:rPr>
          <w:rFonts w:ascii="Times New Roman;sans-serif" w:hAnsi="Times New Roman;sans-serif"/>
          <w:b w:val="false"/>
          <w:strike/>
          <w:color w:val="FF0000"/>
          <w:sz w:val="24"/>
        </w:rPr>
        <w:t>Real Property</w:t>
      </w:r>
      <w:r>
        <w:rPr>
          <w:rFonts w:ascii="Times New Roman;sans-serif" w:hAnsi="Times New Roman;sans-serif"/>
          <w:b w:val="false"/>
          <w:color w:val="0000FF"/>
          <w:sz w:val="24"/>
        </w:rPr>
        <w:t>A</w:t>
      </w:r>
      <w:r>
        <w:rPr>
          <w:rFonts w:ascii="Times New Roman;sans-serif" w:hAnsi="Times New Roman;sans-serif"/>
          <w:b w:val="false"/>
          <w:strike/>
          <w:color w:val="FF0000"/>
          <w:sz w:val="24"/>
        </w:rPr>
        <w:t xml:space="preserve">. </w:t>
      </w:r>
      <w:r>
        <w:rPr>
          <w:rFonts w:ascii="Times New Roman;sans-serif" w:hAnsi="Times New Roman;sans-serif"/>
          <w:b w:val="false"/>
          <w:strike/>
          <w:color w:val="FF0000"/>
          <w:sz w:val="24"/>
          <w:u w:val="single"/>
        </w:rPr>
        <w:t xml:space="preserve">Schedule 5.19 </w:t>
      </w:r>
      <w:r>
        <w:rPr>
          <w:rFonts w:ascii="Times New Roman;sans-serif" w:hAnsi="Times New Roman;sans-serif"/>
          <w:b w:val="false"/>
          <w:strike/>
          <w:color w:val="FF0000"/>
          <w:sz w:val="24"/>
        </w:rPr>
        <w:t>sets forth a complete and accurate list, as of the</w:t>
      </w:r>
      <w:r>
        <w:rPr>
          <w:color w:val="FF0000"/>
        </w:rPr>
        <w:t xml:space="preserve"> </w:t>
      </w:r>
      <w:r>
        <w:rPr>
          <w:rFonts w:ascii="Times New Roman;sans-serif" w:hAnsi="Times New Roman;sans-serif"/>
          <w:b w:val="false"/>
          <w:strike/>
          <w:color w:val="FF0000"/>
          <w:sz w:val="24"/>
        </w:rPr>
        <w:t>Restatement Date, of (i) the address of all real property leased by the Borrower or any Subsidiary</w:t>
      </w:r>
      <w:r>
        <w:rPr>
          <w:color w:val="FF0000"/>
        </w:rPr>
        <w:t xml:space="preserve"> </w:t>
      </w:r>
      <w:r>
        <w:rPr>
          <w:rFonts w:ascii="Times New Roman;sans-serif" w:hAnsi="Times New Roman;sans-serif"/>
          <w:b w:val="false"/>
          <w:strike/>
          <w:color w:val="FF0000"/>
          <w:sz w:val="24"/>
        </w:rPr>
        <w:t>and (ii) the address and a legal description of any real property owned by the Borrower or</w:t>
      </w:r>
      <w:r>
        <w:rPr>
          <w:color w:val="FF0000"/>
        </w:rPr>
        <w:t xml:space="preserve"> </w:t>
      </w:r>
      <w:r>
        <w:rPr>
          <w:rFonts w:ascii="Times New Roman;sans-serif" w:hAnsi="Times New Roman;sans-serif"/>
          <w:b w:val="false"/>
          <w:strike/>
          <w:color w:val="FF0000"/>
          <w:sz w:val="24"/>
        </w:rPr>
        <w:t>Subsidiary.</w:t>
      </w:r>
    </w:p>
    <w:p>
      <w:pPr>
        <w:pStyle w:val="TextBody"/>
        <w:bidi w:val="0"/>
        <w:spacing w:lineRule="auto" w:line="288" w:before="24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ffected Financial Institution. No Loan Party is an Affected Financial Institution.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15975"/>
                <wp:effectExtent l="0" t="0" r="0" b="0"/>
                <wp:wrapNone/>
                <wp:docPr id="92" name="Frame9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hanging="720"/>
        <w:jc w:val="left"/>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(a)Immediately after the consummation of the transactions to occur on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 Amendment Effective</w:t>
      </w:r>
      <w:r>
        <w:rPr>
          <w:color w:val="0000FF"/>
        </w:rPr>
        <w:t xml:space="preserve"> </w:t>
      </w:r>
      <w:r>
        <w:rPr>
          <w:rFonts w:ascii="Times New Roman;sans-serif" w:hAnsi="Times New Roman;sans-serif"/>
          <w:b w:val="false"/>
          <w:color w:val="000000"/>
          <w:sz w:val="24"/>
        </w:rPr>
        <w:t xml:space="preserve">Date, immediately following the making of each Credit Extension, if any, made on </w:t>
      </w:r>
      <w:r>
        <w:rPr>
          <w:rFonts w:ascii="Times New Roman;sans-serif" w:hAnsi="Times New Roman;sans-serif"/>
          <w:b w:val="false"/>
          <w:strike/>
          <w:color w:val="FF0000"/>
          <w:sz w:val="24"/>
        </w:rPr>
        <w:t>the Restatement Date</w:t>
      </w:r>
      <w:r>
        <w:rPr>
          <w:rFonts w:ascii="Times New Roman;sans-serif" w:hAnsi="Times New Roman;sans-serif"/>
          <w:b w:val="false"/>
          <w:color w:val="0000FF"/>
          <w:sz w:val="24"/>
          <w:u w:val="single"/>
        </w:rPr>
        <w:t>such dates</w:t>
      </w:r>
      <w:r>
        <w:rPr>
          <w:color w:val="0000FF"/>
        </w:rPr>
        <w:t xml:space="preserve"> </w:t>
      </w:r>
      <w:r>
        <w:rPr>
          <w:rFonts w:ascii="Times New Roman;sans-serif" w:hAnsi="Times New Roman;sans-serif"/>
          <w:b w:val="false"/>
          <w:color w:val="000000"/>
          <w:sz w:val="24"/>
        </w:rPr>
        <w:t xml:space="preserve">and after giving effect to the application of the proceeds of such Credit Extensions, (i) the fair value of the assets of the Borrower and the Subsidiaries on a consolidated basis will exceed the debts and liabilities, subordinated, contingent or otherwise, of the Borrower and the Subsidiaries on a consolidated basis; (ii) the present fair saleable value of the Property of the Borrower and the Subsidiaries on a consolidated basis will be greater than the amount that would be required to pay the probable liability of the Borrower and the Subsidiaries on a consolidated basis on their debts and other liabilities, subordinated, contingent or otherwise, as such debts and other liabilities become absolute and matured; (iii) the Borrower and the Subsidiaries on a consolidated basis will be able to pay their debts and liabilities, subordinated, contingent or otherwise, as such debts and liabilities become absolute and matured; and (iv) the Borrower and the Subsidiaries on a consolidated basis will not have unreasonably small capital with which to conduct the businesses in which they are engaged as such businesses are now conducted and are proposed to be conducted after </w:t>
      </w:r>
      <w:r>
        <w:rPr>
          <w:rFonts w:ascii="Times New Roman;sans-serif" w:hAnsi="Times New Roman;sans-serif"/>
          <w:b w:val="false"/>
          <w:strike/>
          <w:color w:val="FF0000"/>
          <w:sz w:val="24"/>
        </w:rPr>
        <w:t>the Restatement Date</w:t>
      </w:r>
      <w:r>
        <w:rPr>
          <w:rFonts w:ascii="Times New Roman;sans-serif" w:hAnsi="Times New Roman;sans-serif"/>
          <w:b w:val="false"/>
          <w:color w:val="0000FF"/>
          <w:sz w:val="24"/>
          <w:u w:val="single"/>
        </w:rPr>
        <w:t>such dates</w:t>
      </w:r>
      <w:r>
        <w:rPr>
          <w:rFonts w:ascii="Times New Roman;sans-serif" w:hAnsi="Times New Roman;sans-serif"/>
          <w:b w:val="false"/>
          <w:color w:val="000000"/>
          <w:sz w:val="24"/>
        </w:rPr>
        <w:t>.</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Borrower does not intend to, or intend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 The Borrower and each Subsidiary owns and possesses or has a license or other right to use all patents, patent rights, trademarks, trademark rights, trade names, trade name rights, service marks, service mark rights and copyrights that are necessary for the conduct of such Person’s businesses, without any infringement upon rights of others that could reasonably be expected to have a Material Adverse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Labor Matters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5.22</w:t>
      </w:r>
      <w:r>
        <w:rPr>
          <w:rFonts w:ascii="Times New Roman;sans-serif" w:hAnsi="Times New Roman;sans-serif"/>
          <w:b w:val="false"/>
          <w:color w:val="000000"/>
          <w:sz w:val="24"/>
        </w:rPr>
        <w:t xml:space="preserve">, as of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w:t>
      </w:r>
      <w:r>
        <w:rPr>
          <w:color w:val="0000FF"/>
        </w:rPr>
        <w:t xml:space="preserve"> </w:t>
      </w:r>
      <w:r>
        <w:rPr>
          <w:rFonts w:ascii="Times New Roman;sans-serif" w:hAnsi="Times New Roman;sans-serif"/>
          <w:b w:val="false"/>
          <w:color w:val="0000FF"/>
          <w:sz w:val="24"/>
          <w:u w:val="single"/>
        </w:rPr>
        <w:t>Amendment Effective</w:t>
      </w:r>
      <w:r>
        <w:rPr>
          <w:color w:val="0000FF"/>
        </w:rPr>
        <w:t xml:space="preserve"> </w:t>
      </w:r>
      <w:r>
        <w:rPr>
          <w:rFonts w:ascii="Times New Roman;sans-serif" w:hAnsi="Times New Roman;sans-serif"/>
          <w:b w:val="false"/>
          <w:color w:val="000000"/>
          <w:sz w:val="24"/>
        </w:rPr>
        <w:t>Date, neither the Borrower nor any Subsidiary is subject to any labor or collective bargaining agreement. There are no existing or threatened strikes, lockouts or other labor disputes involving any of the Borrower and the Subsidiaries that singly or in the aggregate could reasonably be expected to have a Material Adverse Effect. Hours worked by and payment made to employees of the Borrower and the Subsidiaries are in material compliance with the Fair Labor Standards Act and any other applicable laws, rules or regulations dealing with such matters.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No Default</w:t>
      </w:r>
      <w:r>
        <w:rPr>
          <w:rFonts w:ascii="Times New Roman;sans-serif" w:hAnsi="Times New Roman;sans-serif"/>
          <w:b w:val="false"/>
          <w:color w:val="000000"/>
          <w:sz w:val="24"/>
        </w:rPr>
        <w:t>. No Event of Default exists or would result from the incurrence by the Borrower or any Subsidiary of any Indebtedness hereunder or under any other Loan Document.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Burdensome Restrictions</w:t>
      </w:r>
      <w:r>
        <w:rPr>
          <w:rFonts w:ascii="Times New Roman;sans-serif" w:hAnsi="Times New Roman;sans-serif"/>
          <w:b w:val="false"/>
          <w:color w:val="000000"/>
          <w:sz w:val="24"/>
        </w:rPr>
        <w:t>. Neither the Borrower nor any Subsidiary is a party to or otherwise bound by any indenture, loan or credit agreement or any lease or other agreement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15975"/>
                <wp:effectExtent l="0" t="0" r="0" b="0"/>
                <wp:wrapNone/>
                <wp:docPr id="93" name="Frame9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instrument or subject to any charter, corporate, limited liability company or partnership restriction action which could reasonably be expected to have a Material Adverse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Anti-Corruption Laws; Sanctions; Anti-Terrorism Laws</w:t>
      </w:r>
      <w:r>
        <w:rPr>
          <w:rFonts w:ascii="Times New Roman;sans-serif" w:hAnsi="Times New Roman;sans-serif"/>
          <w:b w:val="false"/>
          <w:color w:val="000000"/>
          <w:sz w:val="24"/>
        </w:rPr>
        <w:t xml:space="preserve">. The Borrower, its Subsidiaries and their respective officers and employees and to the knowledge of the Borrower, its directors and agents, are in compliance with Anti-Corruption Laws and applicable Sanctions in all material respects. The Borrower has implemented and maintains in effect for itself and its Subsidiaries policies and procedures to ensure compliance by the Borrower, its Subsidiaries, and their respective officers, employees, directors, and agents explicitly authorized by the Borrower as its agent with Anti-Corruption Laws and applicable Sanctions. None of the Borrower, any of its Subsidiaries or any directors or officer or, to the knowledge of the Borrower or such Subsidiary, any employee, agent that is explicitly authorized by the Borrower as its agent, or affiliate of the Borrower or any of its Subsidiaries is an individual or entity that is, or is 50% or more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w:t>
      </w:r>
      <w:r>
        <w:rPr>
          <w:rFonts w:ascii="Times New Roman;sans-serif" w:hAnsi="Times New Roman;sans-serif"/>
          <w:b w:val="false"/>
          <w:strike/>
          <w:color w:val="FF0000"/>
          <w:sz w:val="24"/>
        </w:rPr>
        <w:t>Crimea,</w:t>
      </w:r>
      <w:r>
        <w:rPr>
          <w:color w:val="FF0000"/>
        </w:rPr>
        <w:t xml:space="preserve"> </w:t>
      </w:r>
      <w:r>
        <w:rPr>
          <w:rFonts w:ascii="Times New Roman;sans-serif" w:hAnsi="Times New Roman;sans-serif"/>
          <w:b w:val="false"/>
          <w:color w:val="000000"/>
          <w:sz w:val="24"/>
        </w:rPr>
        <w:t>Cuba, Iran, North Korea</w:t>
      </w:r>
      <w:r>
        <w:rPr>
          <w:strike/>
          <w:color w:val="FF0000"/>
        </w:rPr>
        <w:t xml:space="preserve"> </w:t>
      </w:r>
      <w:r>
        <w:rPr>
          <w:rFonts w:ascii="Times New Roman;sans-serif" w:hAnsi="Times New Roman;sans-serif"/>
          <w:b w:val="false"/>
          <w:strike/>
          <w:color w:val="FF0000"/>
          <w:sz w:val="24"/>
        </w:rPr>
        <w:t>and</w:t>
      </w:r>
      <w:r>
        <w:rPr>
          <w:rFonts w:ascii="Times New Roman;sans-serif" w:hAnsi="Times New Roman;sans-serif"/>
          <w:b w:val="false"/>
          <w:color w:val="0000FF"/>
          <w:sz w:val="24"/>
        </w:rPr>
        <w:t xml:space="preserve">, </w:t>
      </w:r>
      <w:r>
        <w:rPr>
          <w:rFonts w:ascii="Times New Roman;sans-serif" w:hAnsi="Times New Roman;sans-serif"/>
          <w:b w:val="false"/>
          <w:color w:val="000000"/>
          <w:sz w:val="24"/>
        </w:rPr>
        <w:t>Syria</w:t>
      </w:r>
      <w:r>
        <w:rPr>
          <w:rFonts w:ascii="Times New Roman;sans-serif" w:hAnsi="Times New Roman;sans-serif"/>
          <w:b w:val="false"/>
          <w:color w:val="0000FF"/>
          <w:sz w:val="24"/>
          <w:u w:val="single"/>
        </w:rPr>
        <w:t>, Crimea, the so-called Donetsk People’s Republic, the so-called Luhansk People’s</w:t>
      </w:r>
      <w:r>
        <w:rPr>
          <w:color w:val="0000FF"/>
        </w:rPr>
        <w:t xml:space="preserve"> </w:t>
      </w:r>
      <w:r>
        <w:rPr>
          <w:rFonts w:ascii="Times New Roman;sans-serif" w:hAnsi="Times New Roman;sans-serif"/>
          <w:b w:val="false"/>
          <w:color w:val="0000FF"/>
          <w:sz w:val="24"/>
          <w:u w:val="single"/>
        </w:rPr>
        <w:t>Republic, and the Kherson and Zaporizhzhia regions of Ukraine</w:t>
      </w:r>
      <w:r>
        <w:rPr>
          <w:rFonts w:ascii="Times New Roman;sans-serif" w:hAnsi="Times New Roman;sans-serif"/>
          <w:b w:val="false"/>
          <w:color w:val="000000"/>
          <w:sz w:val="24"/>
        </w:rPr>
        <w: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1.26.</w:t>
      </w:r>
      <w:r>
        <w:rPr>
          <w:rFonts w:ascii="Times New Roman;sans-serif" w:hAnsi="Times New Roman;sans-serif"/>
          <w:b w:val="false"/>
          <w:color w:val="000000"/>
          <w:sz w:val="24"/>
          <w:u w:val="single"/>
        </w:rPr>
        <w:t>Subordinated Indebtedness</w:t>
      </w:r>
      <w:r>
        <w:rPr>
          <w:rFonts w:ascii="Times New Roman;sans-serif" w:hAnsi="Times New Roman;sans-serif"/>
          <w:b w:val="false"/>
          <w:color w:val="000000"/>
          <w:sz w:val="24"/>
        </w:rPr>
        <w:t>. The Obligations constitute senior Indebtedness which is entitled to the benefits of the subordination provisions of all outstanding Subordinated Indebtedness.</w:t>
      </w:r>
    </w:p>
    <w:p>
      <w:pPr>
        <w:pStyle w:val="TextBody"/>
        <w:bidi w:val="0"/>
        <w:spacing w:lineRule="auto" w:line="288" w:before="240" w:after="283"/>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ARTICLE VI. COVENANTS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During the term of this Agreement, unless the Required Lenders otherwise consent in writing:</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Financial Reporting</w:t>
      </w:r>
      <w:r>
        <w:rPr>
          <w:rFonts w:ascii="Times New Roman;sans-serif" w:hAnsi="Times New Roman;sans-serif"/>
          <w:b w:val="false"/>
          <w:color w:val="000000"/>
          <w:sz w:val="24"/>
        </w:rPr>
        <w:t>. The Borrower will maintain, for itself and each of the Subsidiaries, a system of accounting established and administered in accordance with GAAP, and furnish to the Administrative Agent and the Lenders, in each case in form and scope reasonably acceptable to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(a)Within 75 days after the close of each Fiscal Year, an unqualified (except for qualifications relating to changes in accounting principles or practices reflecting changes in GAAP) audit report, with no going concern modifier, certified by the Borrower’s current independent certified public accountants or other independent certified public accountants of national reputation and standing reasonably acceptable to the Lenders, prepared in accordance with GAAP on a consolidated basis for the Borrower and its Subsidiaries, including a balance sheet as of the end of such period and related statements of operations, stockholders’ investment, and cash flows, accompanied by any management letter, if issued, prepared by said accountants (provided that if such management letter is not available at such time, the Borrower shall deliver it promptly following receipt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15975"/>
                <wp:effectExtent l="0" t="0" r="0" b="0"/>
                <wp:wrapNone/>
                <wp:docPr id="94" name="Frame9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(b)Within 45 days after the close of the first three (3) Fiscal Quarter periods after each of its Fiscal Years, for the Borrower and its Subsidiaries, consolidated unaudited balance sheets as at the close of each such period and consolidated unaudited profit and loss and a statement of cash flows for the period from the beginning of such Fiscal Year to the end of such quarter, all certified by the Borrower’s chief financial officer, which certification may be done through the chief financial officer’s certifications made to the U.S. Securities and Exchange Commission to the extent that such financial statements have been filed with the U.S. Securities and Exchange Commission.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(c)As soon as available, but in any event within 45 days after the first day of each Fiscal Year of the Borrower, a copy of the plan and forecast (including a projected consolidated balance sheet, income statement, Capital Expenditures budget and cash flow statement) of the Borrower and the Subsidiaries for such Fiscal Year.</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 xml:space="preserve">(d)Commencing with the first period that financial statements are required under Section 6.1(a) and thereafter when financial statements are required under Sections 6.1(a) and 6.1(b), a compliance certificate in substantially the form of </w:t>
      </w:r>
      <w:r>
        <w:rPr>
          <w:rFonts w:ascii="Times New Roman;sans-serif" w:hAnsi="Times New Roman;sans-serif"/>
          <w:b w:val="false"/>
          <w:color w:val="000000"/>
          <w:sz w:val="24"/>
          <w:u w:val="single"/>
        </w:rPr>
        <w:t>Exhibit A</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signed by the chief financial officer of the Borrower showing the calculations necessary to determine compliance with this Agreement and stating that no Default or Event of Default exists, or if any Default or Event of Default exists, stating the nature and status thereof.</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(e)Promptly upon the furnishing thereof to the shareholders of the Borrower, copies of all financial statements, reports and proxy statements so furnished that are not otherwise provided hereunder.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(f)Promptly upon the filing thereof, copies of all registration statements and annual, quarterly, monthly or other regular reports which the Borrower or any of its Subsidiaries files with the U.S. Securities and Exchange Commission.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(g)On or promptly after any time at which the Borrower or any Subsidiary becomes subject to the Beneficial Ownership Regulation, a completed Beneficial Ownership Certification in form and substance acceptable to the Administrative Agent.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(h)Such other information (including non-financial information) as the Administrative Agent or any Lender may from time to time reasonably request.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financial statement or other information required to be furnished pursuant to Section 6.1(a), Section 6.1(b), Section 6.1(e) and Section 6.1(f) shall be deemed to have been furnished on the date on which the Lenders receive notice that the Borrower has filed such financial statement or other information with the U.S. Securities and Exchange Commission and is available on the EDGAR website on the Internet at www.sec.gov or any successor government website that is freely and readily available to the Administrative Agent and the Lenders without charge; provided that the Borrower shall give notice of any filing of a registration statement to the Administrative Agent (who shall then give notice of any such filing to the Lenders) and Borrower shall give notice to the Administrative Agent if it shall fail to make any timely filing of any regular report or proxy statement with the U.S. Securities and Exchange Commission (who shall then give notice of any such late filing to the Lenders). Notwithstanding the foregoing, the Borrower shall deliver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15975"/>
                <wp:effectExtent l="0" t="0" r="0" b="0"/>
                <wp:wrapNone/>
                <wp:docPr id="95" name="Frame9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paper or electronic copies of any such financial statement to the Administrative Agent if the Administrative Agent </w:t>
      </w:r>
      <w:r>
        <w:rPr>
          <w:rFonts w:ascii="Times New Roman;sans-serif" w:hAnsi="Times New Roman;sans-serif"/>
          <w:b w:val="false"/>
          <w:strike/>
          <w:color w:val="FF0000"/>
          <w:sz w:val="24"/>
        </w:rPr>
        <w:t>or an Initial Lender</w:t>
      </w:r>
      <w:r>
        <w:rPr>
          <w:color w:val="FF0000"/>
        </w:rPr>
        <w:t xml:space="preserve"> </w:t>
      </w:r>
      <w:r>
        <w:rPr>
          <w:rFonts w:ascii="Times New Roman;sans-serif" w:hAnsi="Times New Roman;sans-serif"/>
          <w:b w:val="false"/>
          <w:color w:val="000000"/>
          <w:sz w:val="24"/>
        </w:rPr>
        <w:t>requests the Borrower to furnish such paper or electronic copies until written notice to cease delivering such paper or electronic copies is given by the Administrative Agent</w:t>
      </w:r>
      <w:r>
        <w:rPr>
          <w:strike/>
          <w:color w:val="FF0000"/>
        </w:rPr>
        <w:t xml:space="preserve"> </w:t>
      </w:r>
      <w:r>
        <w:rPr>
          <w:rFonts w:ascii="Times New Roman;sans-serif" w:hAnsi="Times New Roman;sans-serif"/>
          <w:b w:val="false"/>
          <w:strike/>
          <w:color w:val="FF0000"/>
          <w:sz w:val="24"/>
        </w:rPr>
        <w:t>or such Initial Lender</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any information that is required to be furnished to the Lenders under this Section is required by law or regulation to be filed by the Borrower with a government body on an earlier date, then the information required hereunder shall be furnished to the Lenders at such earlier date.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The Borrower will, and will cause each Subsidiary to, use the proceeds of the Loans for working capital, Capital Expenditures, Restricted Payments permitted by this Agreement, Permitted Acquisitions</w:t>
      </w:r>
      <w:r>
        <w:rPr>
          <w:rFonts w:ascii="Times New Roman;sans-serif" w:hAnsi="Times New Roman;sans-serif"/>
          <w:b w:val="false"/>
          <w:color w:val="0000FF"/>
          <w:sz w:val="24"/>
        </w:rPr>
        <w:t xml:space="preserve">, </w:t>
      </w:r>
      <w:r>
        <w:rPr>
          <w:rFonts w:ascii="Times New Roman;sans-serif" w:hAnsi="Times New Roman;sans-serif"/>
          <w:b w:val="false"/>
          <w:color w:val="000000"/>
          <w:sz w:val="24"/>
        </w:rPr>
        <w:t>and other general corporate purposes. The Borrower will not, and will not permit any Subsidiary to, use any of the proceeds of the Advances to purchase or carry any “margin stock” (as defined in Regulation U). The Borrower will not request any Loan or Facility LC, and will not use, and the Borrower will ensure that its Subsidiaries and its or their respective directors, officers, employees and agents shall not use, the proceeds of any Loan or Facility LC in furtherance of an offer, payment, promise to pay, or authorization of the payment or giving of money, or anything else of value, to any Person in violation of any Anti-Corruption Laws. The Borrower will not, directly or indirectly, use the proceeds of the Loans or any Facility LC,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underwriter, advisor, investor, or otherwise).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Notice of Event of Default; ERISA Matters</w:t>
      </w:r>
      <w:r>
        <w:rPr>
          <w:rFonts w:ascii="Times New Roman;sans-serif" w:hAnsi="Times New Roman;sans-serif"/>
          <w:b w:val="false"/>
          <w:color w:val="000000"/>
          <w:sz w:val="24"/>
        </w:rPr>
        <w:t>. The Borrower shall furnish to the Administrative Agent and the Lenders: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(a)Promptly and in any event within 10 Business Days after an Authorized Officer of the Borrower obtains knowledge thereof, of the occurrence of any Default or Event of Default and of any other development, financial or otherwise, that could reasonably be expected to have a Material Adverse Effect.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(b)Promptly upon, but in no event later than 30 days after, any Authorized Officer of the Borrower becoming aware of the occurrence of (i) except as could not reasonably be expected to result in a Material Adverse Effect, any non-exempt Prohibited Transaction with respect to any Plan, or (ii) except as could not reasonably be expected to result in a Material Adverse Effect, any Reportable Event with respect to any Plan, notice in writing to the Lenders specifying the nature thereof and what action the Borrower proposes to take with respect thereto. In addition, when received, the Borrower and any Subsidiary shall provide to the Lenders copies of any notice from the PBGC of its intention to terminate or have a trustee appointed for any Plan except as could not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15975"/>
                <wp:effectExtent l="0" t="0" r="0" b="0"/>
                <wp:wrapNone/>
                <wp:docPr id="96" name="Frame9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(c)Promptly upon, but in no event later than 30 days after, any Authorized Officer of the Borrower becoming aware of (i) the commencement of any action, suit, investigation, proceeding or arbitration before any court or arbitrator or any governmental department, board, agency or other instrumentality affecting the Borrower and the Subsidiaries or any property of such Person, or to which the Borrower and the Subsidiaries is a party (other than litigation where the insurance insures against the damages claimed and the insurer has assumed defense of the litigation without reservation) that could reasonably be expected to have a Material Adverse Effect; or (ii) any adverse development in any litigation, arbitration or governmental investigation or proceeding previously disclosed by the Borrower or the Subsidiaries that could reasonably be expected to have a Material Adverse Effect, a notice from the Borrower describing the nature and status thereof and what action the Borrower proposes to take with respect thereto.</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(d)Promptly and in any event within 30 days after entering into any lease agreement for real property where material books and records will be maintained, copies of such leases.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xml:space="preserve">. The Borrower will, and will cause each Subsidiary to, carry on and conduct its business in substantially the same manner and in substantially the same fields of enterprise as such business is presently conducted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herein shall limit any merger or other transaction permitted by Section 6.18.</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Formation of Subsidiaries</w:t>
      </w:r>
      <w:r>
        <w:rPr>
          <w:rFonts w:ascii="Times New Roman;sans-serif" w:hAnsi="Times New Roman;sans-serif"/>
          <w:b w:val="false"/>
          <w:color w:val="000000"/>
          <w:sz w:val="24"/>
        </w:rPr>
        <w:t>. Within 30 days after the formation or acquisition (to the extent not delivered in connection with a Permitted Acquisition) of any Subsidiary or, if earlier, within 10 Business Days after any request by the Administrative Agent, with respect to any Subsidiary, (a) (i) the voting securities (or other ownership interests) of each such Subsidiary that is a Domestic Subsidiary (other than the securities or interests of a Domestic Subsidiary owned by a Foreign Subsidiary or Domestic Holdco Subsidiary) shall be pledged to the Administrative Agent for the benefit of the Lenders, (ii) 65% of the voting securities (or other voting ownership interests) of each such Subsidiary that is a Foreign Subsidiary (or a Domestic Holdco Subsidiary) to the extent directly owned by the Borrower or a Material Domestic Subsidiary shall be pledged to the Administrative Agent for the benefit of the Lenders, and</w:t>
      </w:r>
    </w:p>
    <w:p>
      <w:pPr>
        <w:pStyle w:val="TextBody"/>
        <w:bidi w:val="0"/>
        <w:spacing w:lineRule="auto" w:line="288" w:before="0" w:after="0"/>
        <w:jc w:val="left"/>
        <w:rPr/>
      </w:pPr>
      <w:r>
        <w:rPr>
          <w:rFonts w:ascii="Times New Roman;sans-serif" w:hAnsi="Times New Roman;sans-serif"/>
          <w:b w:val="false"/>
          <w:color w:val="000000"/>
          <w:sz w:val="24"/>
        </w:rPr>
        <w:t xml:space="preserve">(iii) each such Material Domestic Subsidiary (other than </w:t>
      </w:r>
      <w:r>
        <w:rPr>
          <w:rFonts w:ascii="Times New Roman;sans-serif" w:hAnsi="Times New Roman;sans-serif"/>
          <w:b w:val="false"/>
          <w:strike/>
          <w:color w:val="FF0000"/>
          <w:sz w:val="24"/>
        </w:rPr>
        <w:t>(a)</w:t>
      </w:r>
      <w:r>
        <w:rPr>
          <w:color w:val="FF0000"/>
        </w:rPr>
        <w:t xml:space="preserve"> </w:t>
      </w:r>
      <w:r>
        <w:rPr>
          <w:rFonts w:ascii="Times New Roman;sans-serif" w:hAnsi="Times New Roman;sans-serif"/>
          <w:b w:val="false"/>
          <w:color w:val="000000"/>
          <w:sz w:val="24"/>
        </w:rPr>
        <w:t>a Domestic Holdco Subsidiary or a Domestic Subsidiary owned by a Foreign Subsidiary</w:t>
      </w:r>
      <w:r>
        <w:rPr>
          <w:strike/>
          <w:color w:val="FF0000"/>
        </w:rPr>
        <w:t xml:space="preserve"> </w:t>
      </w:r>
      <w:r>
        <w:rPr>
          <w:rFonts w:ascii="Times New Roman;sans-serif" w:hAnsi="Times New Roman;sans-serif"/>
          <w:b w:val="false"/>
          <w:strike/>
          <w:color w:val="FF0000"/>
          <w:sz w:val="24"/>
        </w:rPr>
        <w:t>or (b) a Material Domestic Subsidiary that is</w:t>
      </w:r>
      <w:r>
        <w:rPr>
          <w:color w:val="FF0000"/>
        </w:rPr>
        <w:t xml:space="preserve"> </w:t>
      </w:r>
      <w:r>
        <w:rPr>
          <w:rFonts w:ascii="Times New Roman;sans-serif" w:hAnsi="Times New Roman;sans-serif"/>
          <w:b w:val="false"/>
          <w:strike/>
          <w:color w:val="FF0000"/>
          <w:sz w:val="24"/>
        </w:rPr>
        <w:t>intended to be merged into another Loan Party no later than twelve months after it becomes a</w:t>
      </w:r>
      <w:r>
        <w:rPr>
          <w:color w:val="FF0000"/>
        </w:rPr>
        <w:t xml:space="preserve"> </w:t>
      </w:r>
      <w:r>
        <w:rPr>
          <w:rFonts w:ascii="Times New Roman;sans-serif" w:hAnsi="Times New Roman;sans-serif"/>
          <w:b w:val="false"/>
          <w:strike/>
          <w:color w:val="FF0000"/>
          <w:sz w:val="24"/>
        </w:rPr>
        <w:t>Material Domestic Subsidiary as a result of any Permitted Acquisition</w:t>
      </w:r>
      <w:r>
        <w:rPr>
          <w:rFonts w:ascii="Times New Roman;sans-serif" w:hAnsi="Times New Roman;sans-serif"/>
          <w:b w:val="false"/>
          <w:color w:val="000000"/>
          <w:sz w:val="24"/>
        </w:rPr>
        <w:t xml:space="preserve">) shall become obligated to repay the Loans and other amounts payable under the Loan Documents and shall grant the Administrative Agent for the benefit of the Lenders a security interest in its Property (subject only to Liens permitted under Section 6.22); and (b) the Borrower and the applicable Subsidiary shall, at the Borrower’s cost and expense, execute and deliver to the Administrative Agent such documents and instruments as the Administrative Agent </w:t>
      </w:r>
      <w:r>
        <w:rPr>
          <w:rFonts w:ascii="Times New Roman;sans-serif" w:hAnsi="Times New Roman;sans-serif"/>
          <w:b w:val="false"/>
          <w:strike/>
          <w:color w:val="FF0000"/>
          <w:sz w:val="24"/>
        </w:rPr>
        <w:t>or any Initial Lender</w:t>
      </w:r>
      <w:r>
        <w:rPr>
          <w:color w:val="FF0000"/>
        </w:rPr>
        <w:t xml:space="preserve"> </w:t>
      </w:r>
      <w:r>
        <w:rPr>
          <w:rFonts w:ascii="Times New Roman;sans-serif" w:hAnsi="Times New Roman;sans-serif"/>
          <w:b w:val="false"/>
          <w:color w:val="000000"/>
          <w:sz w:val="24"/>
        </w:rPr>
        <w:t>reasonably deems necessary to effect the matters specified in subclause (a) as specified in such request (which documents may include documents and opinions prepared by applicable foreign counsel in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15975"/>
                <wp:effectExtent l="0" t="0" r="0" b="0"/>
                <wp:wrapNone/>
                <wp:docPr id="97" name="Frame9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case of any such matters with respect to any Subsidiaries that are Foreign Subsidiaries to the extent the Administrative Agent reasonably requests)</w:t>
      </w:r>
      <w:r>
        <w:rPr>
          <w:rFonts w:ascii="Times New Roman;sans-serif" w:hAnsi="Times New Roman;sans-serif"/>
          <w:b w:val="false"/>
          <w:color w:val="0000FF"/>
          <w:sz w:val="24"/>
          <w:u w:val="single"/>
        </w:rPr>
        <w:t xml:space="preserve">; </w:t>
      </w:r>
      <w:r>
        <w:rPr>
          <w:rFonts w:ascii="Times New Roman;sans-serif" w:hAnsi="Times New Roman;sans-serif"/>
          <w:b w:val="false"/>
          <w:i/>
          <w:color w:val="0000FF"/>
          <w:sz w:val="24"/>
          <w:u w:val="single"/>
        </w:rPr>
        <w:t>provided, that</w:t>
      </w:r>
      <w:r>
        <w:rPr>
          <w:rFonts w:ascii="Times New Roman;sans-serif" w:hAnsi="Times New Roman;sans-serif"/>
          <w:b w:val="false"/>
          <w:color w:val="0000FF"/>
          <w:sz w:val="24"/>
          <w:u w:val="single"/>
        </w:rPr>
        <w:t>, with respect to a Material</w:t>
      </w:r>
      <w:r>
        <w:rPr>
          <w:color w:val="0000FF"/>
        </w:rPr>
        <w:t xml:space="preserve"> </w:t>
      </w:r>
      <w:r>
        <w:rPr>
          <w:rFonts w:ascii="Times New Roman;sans-serif" w:hAnsi="Times New Roman;sans-serif"/>
          <w:b w:val="false"/>
          <w:color w:val="0000FF"/>
          <w:sz w:val="24"/>
          <w:u w:val="single"/>
        </w:rPr>
        <w:t>Domestic Subsidiary that is intended to be merged into another Loan Party as indicated on any</w:t>
      </w:r>
      <w:r>
        <w:rPr>
          <w:color w:val="0000FF"/>
        </w:rPr>
        <w:t xml:space="preserve"> </w:t>
      </w:r>
      <w:r>
        <w:rPr>
          <w:rFonts w:ascii="Times New Roman;sans-serif" w:hAnsi="Times New Roman;sans-serif"/>
          <w:b w:val="false"/>
          <w:color w:val="0000FF"/>
          <w:sz w:val="24"/>
          <w:u w:val="single"/>
        </w:rPr>
        <w:t>certificate delivered in connection with any Permitted Acquisition to the Administrative Agent,</w:t>
      </w:r>
      <w:r>
        <w:rPr>
          <w:color w:val="0000FF"/>
        </w:rPr>
        <w:t xml:space="preserve"> </w:t>
      </w:r>
      <w:r>
        <w:rPr>
          <w:rFonts w:ascii="Times New Roman;sans-serif" w:hAnsi="Times New Roman;sans-serif"/>
          <w:b w:val="false"/>
          <w:color w:val="0000FF"/>
          <w:sz w:val="24"/>
          <w:u w:val="single"/>
        </w:rPr>
        <w:t>the Borrower shall have fifteen months after formation or acquisition of such Material Domestic</w:t>
      </w:r>
      <w:r>
        <w:rPr>
          <w:color w:val="0000FF"/>
        </w:rPr>
        <w:t xml:space="preserve"> </w:t>
      </w:r>
      <w:r>
        <w:rPr>
          <w:rFonts w:ascii="Times New Roman;sans-serif" w:hAnsi="Times New Roman;sans-serif"/>
          <w:b w:val="false"/>
          <w:color w:val="0000FF"/>
          <w:sz w:val="24"/>
          <w:u w:val="single"/>
        </w:rPr>
        <w:t>Subsidiary to deliver to the Administrative Agent either (1) evidence acceptable to the</w:t>
      </w:r>
      <w:r>
        <w:rPr>
          <w:color w:val="0000FF"/>
        </w:rPr>
        <w:t xml:space="preserve"> </w:t>
      </w:r>
      <w:r>
        <w:rPr>
          <w:rFonts w:ascii="Times New Roman;sans-serif" w:hAnsi="Times New Roman;sans-serif"/>
          <w:b w:val="false"/>
          <w:color w:val="0000FF"/>
          <w:sz w:val="24"/>
          <w:u w:val="single"/>
        </w:rPr>
        <w:t>Administrative Agent that such Material Domestic Subsidiary has been merged into another Loan</w:t>
      </w:r>
      <w:r>
        <w:rPr>
          <w:color w:val="0000FF"/>
        </w:rPr>
        <w:t xml:space="preserve"> </w:t>
      </w:r>
      <w:r>
        <w:rPr>
          <w:rFonts w:ascii="Times New Roman;sans-serif" w:hAnsi="Times New Roman;sans-serif"/>
          <w:b w:val="false"/>
          <w:color w:val="0000FF"/>
          <w:sz w:val="24"/>
          <w:u w:val="single"/>
        </w:rPr>
        <w:t>Party, with such Loan Party surviving such merger, or (2) the documents and instruments</w:t>
      </w:r>
      <w:r>
        <w:rPr>
          <w:color w:val="0000FF"/>
        </w:rPr>
        <w:t xml:space="preserve"> </w:t>
      </w:r>
      <w:r>
        <w:rPr>
          <w:rFonts w:ascii="Times New Roman;sans-serif" w:hAnsi="Times New Roman;sans-serif"/>
          <w:b w:val="false"/>
          <w:color w:val="0000FF"/>
          <w:sz w:val="24"/>
          <w:u w:val="single"/>
        </w:rPr>
        <w:t>described in this clause (b)</w:t>
      </w:r>
      <w:r>
        <w:rPr>
          <w:rFonts w:ascii="Times New Roman;sans-serif" w:hAnsi="Times New Roman;sans-serif"/>
          <w:b w:val="false"/>
          <w:color w:val="000000"/>
          <w:sz w:val="24"/>
        </w:rPr>
        <w:t>. Notwithstanding the foregoing, the Borrower shall not be required to furnish any such pledges, guaranties, security interests or related documents or instruments with respect to a Foreign Subsidiary to the extent that such actions would (x) violate the laws of the jurisdiction of formation of such Foreign Subsidiary or (y) create or result in a Deemed Dividend Problem.</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Borrower will, and will cause each Subsidiary to, timely file complete and correct material United States federal and applicable foreign, state and local tax returns required by law and pay when due all material taxes, assessments and governmental charges and levies upon it or its income, profits or Property, except those that are being contested in good faith by appropriate proceedings with respect to which adequate reserves have been set aside in accordance with GAAP and that could not reasonably be expected, individually or in the aggregate, to have a Material Adverse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The Borrower will, and will cause each Subsidiary to, maintain with financially sound and reputable insurance companies insurance on all their Property in such amounts and covering such risks as are consistent with sound business practice and as are customarily carried by companies engaged in similar business and owning similar properties in localities where the Borrower and Subsidiaries operate, and the Borrower will furnish to the Administrative Agent upon request full information as to the insurance carried and evidence that the endorsements, policy declarations, and any certificates furnished to the Administrative Agent previously are in full force and effect. The Borrower shall, and shall cause each Subsidiary to, name the Administrative Agent as an additional insured with respect to all general liability insurance and as a lender loss payee with respect to all property and casualty insurance at all times prior to the repayment in full of the Obligations.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Borrower will, and will cause each Subsidiary to, comply in all material respects with all laws, rules, regulations, orders, writs, judgments, injunctions, decrees or awards to which it may be subject including, without limitation, all Environmental Laws, except where the failure to comply could not reasonably be expected to have a Material Adverse Effect, Anti-Corruption Laws and applicable Sanctions. The Borrower will maintain in effect and enforce policies and procedures designed to ensure compliance by the Borrower, its Subsidiaries and their respective directors, officers and employees with</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Anti-Corruption Laws and applicable Sanctions. The Borrower will not use, or permit any Subsidiary to use, its Property for any business activity that violates any federal or state law or that supports a business that violates any federal or state law.</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Maintenance of Properties</w:t>
      </w:r>
      <w:r>
        <w:rPr>
          <w:rFonts w:ascii="Times New Roman;sans-serif" w:hAnsi="Times New Roman;sans-serif"/>
          <w:b w:val="false"/>
          <w:color w:val="000000"/>
          <w:sz w:val="24"/>
        </w:rPr>
        <w:t>. The Borrower will, and will cause each Subsidiary to, do all things necessary to maintain, preserve, protect and keep its tangible Property in good repair,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15975"/>
                <wp:effectExtent l="0" t="0" r="0" b="0"/>
                <wp:wrapNone/>
                <wp:docPr id="98" name="Frame9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working order and condition (ordinary wear and tear excepted), and make all necessary and proper repairs, renewals and replacements so that its business carried on in connection therewith may be properly conducted at all times, except where the failure to so maintain, preserve, protect and keep would not reasonably be expected to result in a Material Adverse Effect.</w:t>
      </w:r>
      <w:r>
        <w:rPr>
          <w:color w:val="0000FF"/>
          <w:u w:val="single"/>
        </w:rPr>
        <w:t xml:space="preserve"> </w:t>
      </w:r>
      <w:r>
        <w:rPr>
          <w:rFonts w:ascii="Times New Roman;sans-serif" w:hAnsi="Times New Roman;sans-serif"/>
          <w:b w:val="false"/>
          <w:color w:val="0000FF"/>
          <w:sz w:val="24"/>
          <w:u w:val="single"/>
        </w:rPr>
        <w:t>Upon</w:t>
      </w:r>
      <w:r>
        <w:rPr>
          <w:color w:val="0000FF"/>
        </w:rPr>
        <w:t xml:space="preserve"> </w:t>
      </w:r>
      <w:r>
        <w:rPr>
          <w:rFonts w:ascii="Times New Roman;sans-serif" w:hAnsi="Times New Roman;sans-serif"/>
          <w:b w:val="false"/>
          <w:color w:val="0000FF"/>
          <w:sz w:val="24"/>
          <w:u w:val="single"/>
        </w:rPr>
        <w:t>reasonable request from the Administrative Agent, Borrower shall furnish a complete and</w:t>
      </w:r>
      <w:r>
        <w:rPr>
          <w:color w:val="0000FF"/>
        </w:rPr>
        <w:t xml:space="preserve"> </w:t>
      </w:r>
      <w:r>
        <w:rPr>
          <w:rFonts w:ascii="Times New Roman;sans-serif" w:hAnsi="Times New Roman;sans-serif"/>
          <w:b w:val="false"/>
          <w:color w:val="0000FF"/>
          <w:sz w:val="24"/>
          <w:u w:val="single"/>
        </w:rPr>
        <w:t>accurate list, as of the date of such request by the Administrative Agent, of (i) the address of all</w:t>
      </w:r>
      <w:r>
        <w:rPr>
          <w:color w:val="0000FF"/>
        </w:rPr>
        <w:t xml:space="preserve"> </w:t>
      </w:r>
      <w:r>
        <w:rPr>
          <w:rFonts w:ascii="Times New Roman;sans-serif" w:hAnsi="Times New Roman;sans-serif"/>
          <w:b w:val="false"/>
          <w:color w:val="0000FF"/>
          <w:sz w:val="24"/>
          <w:u w:val="single"/>
        </w:rPr>
        <w:t>real property leased by the Borrower or any Subsidiary and (ii) the address and a legal description</w:t>
      </w:r>
      <w:r>
        <w:rPr>
          <w:color w:val="0000FF"/>
        </w:rPr>
        <w:t xml:space="preserve"> </w:t>
      </w:r>
      <w:r>
        <w:rPr>
          <w:rFonts w:ascii="Times New Roman;sans-serif" w:hAnsi="Times New Roman;sans-serif"/>
          <w:b w:val="false"/>
          <w:color w:val="0000FF"/>
          <w:sz w:val="24"/>
          <w:u w:val="single"/>
        </w:rPr>
        <w:t>of any real property owned by the Borrower or Subsidiary.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Inspection</w:t>
      </w:r>
      <w:r>
        <w:rPr>
          <w:rFonts w:ascii="Times New Roman;sans-serif" w:hAnsi="Times New Roman;sans-serif"/>
          <w:b w:val="false"/>
          <w:color w:val="000000"/>
          <w:sz w:val="24"/>
        </w:rPr>
        <w:t xml:space="preserve">. The Borrower will, and will cause each Subsidiary to, permit the Administrative Agent and its respective representatives and agents to inspect any of the Property, books and financial records of the Borrower and each Subsidiary, to examine and make copies of the books of accounts and other financial records of the Borrower and the Subsidiaries and to discuss the affairs, finances and accounts of the Borrower and the Subsidiaries with, and to be advised as to the same by, their respective officers at such reasonable times and intervals as the Administrative Agent may designate (a) one time per Fiscal Year and (b) following the occurrence and during the continuance of any Default or Event of Default, from time to time, as determined by the Administrative Agent in its sole discretion. The Borrower shall pay the expenses of the Administrative Agent </w:t>
      </w:r>
      <w:r>
        <w:rPr>
          <w:rFonts w:ascii="Times New Roman;sans-serif" w:hAnsi="Times New Roman;sans-serif"/>
          <w:b w:val="false"/>
          <w:strike/>
          <w:color w:val="FF0000"/>
          <w:sz w:val="24"/>
        </w:rPr>
        <w:t>and Initial Lenders</w:t>
      </w:r>
      <w:r>
        <w:rPr>
          <w:color w:val="FF0000"/>
        </w:rPr>
        <w:t xml:space="preserve"> </w:t>
      </w:r>
      <w:r>
        <w:rPr>
          <w:rFonts w:ascii="Times New Roman;sans-serif" w:hAnsi="Times New Roman;sans-serif"/>
          <w:b w:val="false"/>
          <w:color w:val="000000"/>
          <w:sz w:val="24"/>
        </w:rPr>
        <w:t>for all visits, inspections and examinations that (x) are made while any Event of Default is continuing or (y) constitute the Administrative Agent’s annual collateral audit.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Each of the Borrower and the Subsidiaries shall keep adequate and proper records and books of account in which full and correct entries shall be made of its dealings, business and affairs.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Compliance with Material Contracts</w:t>
      </w:r>
      <w:r>
        <w:rPr>
          <w:rFonts w:ascii="Times New Roman;sans-serif" w:hAnsi="Times New Roman;sans-serif"/>
          <w:b w:val="false"/>
          <w:color w:val="000000"/>
          <w:sz w:val="24"/>
        </w:rPr>
        <w:t>. Each of the Borrower and the Subsidiaries shall make all payments and otherwise perform all obligations in respect of all material contracts to which it is a party except as could not reasonably be expected to result in a Material Adverse Effect; provided, that such payment or performance will not be required to the extent such payment or performance is being contested in good faith by appropriate proceedings, so long as such Person’s title to its property is not materially adversely affected, its use of such property in the ordinary course of its business is not materially interfered with and adequate reserves with respect thereto have been set aside on such Person’s books in accordance with GAAP.</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The Borrower and the Subsidiaries shall maintain each Plan in compliance with all applicable requirements of ERISA and of the Code and with all applicable regulations issued under the provisions of ERISA and of the Code except where failure to comply could not be reasonably expected to cause a Material Adverse Effect. Neither the Borrower nor any of the Subsidiaries shall engage in any non-exempt Prohibited Transaction in connection with which it would be subject to either a civil penalty assessed pursuant to § 502(i) of ERISA or a tax imposed by § 4975 of the Code, in either case in an amount exceeding $250,000. Except as could not reasonably be expected to result in a Material Adverse Effect, none of the Borrower and the Subsidiaries shall fail to make full payment when due of all amounts each is required to pay under any Plan. None of the Borrower and the Subsidiaries nor any ERISA Affiliate shall permit to exist any accumulated funding deficiency (as such term is defined in § 302 of ERISA and § 412 of the Code), whether or not waived, with respect to any Plan in an aggregate amount exceeding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15975"/>
                <wp:effectExtent l="0" t="0" r="0" b="0"/>
                <wp:wrapNone/>
                <wp:docPr id="99" name="Frame9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$250,000. None of the Borrower and the Subsidiaries, nor, except as could not reasonably be expected to result in a Material Adverse Effect, any ERISA Affiliate, shall fail to make any payments in an aggregate amount exceeding $250,000 to any Plan that may be required to be made under any agreement relating to such Plan or any law pertaining thereto.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Environmental Matters; Reporting</w:t>
      </w:r>
      <w:r>
        <w:rPr>
          <w:rFonts w:ascii="Times New Roman;sans-serif" w:hAnsi="Times New Roman;sans-serif"/>
          <w:b w:val="false"/>
          <w:color w:val="000000"/>
          <w:sz w:val="24"/>
        </w:rPr>
        <w:t>. If any release of Hazardous Substances occurs on any real property or any other assets owned or leased by the Borrower or the Subsidiaries, the Borrower shall, or shall cause the applicable Subsidiary to, cause the prompt containment and removal of such Hazardous Substances and the remediation of such real property or other assets as necessary to comply in all material respects with all Environmental Laws. Without limiting the generality of the foregoing, the Borrower shall, and shall cause each Subsidiary to, comply in all material respects with any final federal or state judicial or administrative order requiring the performance at any real property of the Borrower or any Subsidiary of activities in response to the release or threatened release of a Hazardous Substance.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Reaffirmation of Guaranties</w:t>
      </w:r>
      <w:r>
        <w:rPr>
          <w:rFonts w:ascii="Times New Roman;sans-serif" w:hAnsi="Times New Roman;sans-serif"/>
          <w:b w:val="false"/>
          <w:color w:val="000000"/>
          <w:sz w:val="24"/>
        </w:rPr>
        <w:t>. When the Administrative Agent so requests from time to time, the Borrower shall cause each Guarantor and any other Person who hereafter guarantees, or who agrees for the benefit of the Borrower to make capital contributions to the Borrower for the purpose of supporting the Obligations or any part thereof, to promptly execute, and deliver to the Administrative Agent reaffirmations of their respective Guaranties in such form as the Administrative Agent reasonably requires.</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Further Assurances; Cash Management; Post-Closing Covenants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The Borrower shall promptly correct any defect or error that is discovered in any Loan Document or in the execution, acknowledgment or recordation thereof. Promptly upon request by the Administrative Agent or the Required Lenders, the Borrower also shall (and shall cause its Subsidiaries to) do, execute, acknowledge, deliver, record, re-record, file, re-file, register and re-register any and all assignments, financing statements and continuations thereof, notices of assignment, transfers, certificates, assurances and other instruments as the Administrative Agent reasonably requires from time to time (a) to carry out more effectively the purposes of the Loan Documents; (b) to perfect and maintain the validity, effectiveness and priority of any security interests intended to be created by the Loan Documents, including, without limitation, using its commercially reasonable efforts to obtain delivery of landlord’s waivers and estoppels reasonably required by the Administrative Agent; and (c) to better assure, convey, grant, assign, transfer, preserve, protect and confirm unto the Lenders the rights granted now or hereafter intended to be granted to the Lenders under any Loan Document or under any other instrument executed in connection with any Loan Document or that the Borrower may be or become bound to convey or assign to the Administrative Agent for the benefit of the Lenders to carry out the intention or facilitate the performance of the provisions of any Loan Document. The Borrower shall furnish to the Lenders evidence reasonably satisfactory to the Administrative Agent of every such recording, filing, or registration.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Cash Management</w:t>
      </w:r>
      <w:r>
        <w:rPr>
          <w:rFonts w:ascii="Times New Roman;sans-serif" w:hAnsi="Times New Roman;sans-serif"/>
          <w:b w:val="false"/>
          <w:color w:val="000000"/>
          <w:sz w:val="24"/>
        </w:rPr>
        <w:t>. The Borrower and all Subsidiaries of the Borrower shall maintain their principal cash management accounts with U.S. Bank; provided that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15975"/>
                <wp:effectExtent l="0" t="0" r="0" b="0"/>
                <wp:wrapNone/>
                <wp:docPr id="100" name="Frame10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Subsidiaries of the Borrower acquired or created after the Restatement Date shall maintain their principal cash management accounts with U.S. Bank within 180 days (or such later date as the Administrative Agent may agree from time to time, including via email confirmation) of such acquisition or creation. </w:t>
      </w:r>
      <w:r>
        <w:rPr>
          <w:rFonts w:ascii="Times New Roman;sans-serif" w:hAnsi="Times New Roman;sans-serif"/>
          <w:b w:val="false"/>
          <w:strike/>
          <w:color w:val="FF0000"/>
          <w:sz w:val="24"/>
        </w:rPr>
        <w:t>With exception to the Amegy Account,</w:t>
      </w:r>
      <w:r>
        <w:rPr>
          <w:color w:val="FF0000"/>
        </w:rPr>
        <w:t xml:space="preserve"> </w:t>
      </w:r>
      <w:r>
        <w:rPr>
          <w:rFonts w:ascii="Times New Roman;sans-serif" w:hAnsi="Times New Roman;sans-serif"/>
          <w:b w:val="false"/>
          <w:strike/>
          <w:color w:val="FF0000"/>
          <w:sz w:val="24"/>
        </w:rPr>
        <w:t>any</w:t>
      </w:r>
      <w:r>
        <w:rPr>
          <w:rFonts w:ascii="Times New Roman;sans-serif" w:hAnsi="Times New Roman;sans-serif"/>
          <w:b w:val="false"/>
          <w:color w:val="0000FF"/>
          <w:sz w:val="24"/>
          <w:u w:val="single"/>
        </w:rPr>
        <w:t>Any</w:t>
      </w:r>
      <w:r>
        <w:rPr>
          <w:color w:val="0000FF"/>
        </w:rPr>
        <w:t xml:space="preserve"> </w:t>
      </w:r>
      <w:r>
        <w:rPr>
          <w:rFonts w:ascii="Times New Roman;sans-serif" w:hAnsi="Times New Roman;sans-serif"/>
          <w:b w:val="false"/>
          <w:color w:val="000000"/>
          <w:sz w:val="24"/>
        </w:rPr>
        <w:t xml:space="preserve">deposit accounts of the Borrower and its Subsidiaries </w:t>
      </w:r>
      <w:r>
        <w:rPr>
          <w:rFonts w:ascii="Times New Roman;sans-serif" w:hAnsi="Times New Roman;sans-serif"/>
          <w:b w:val="false"/>
          <w:color w:val="0000FF"/>
          <w:sz w:val="24"/>
          <w:u w:val="single"/>
        </w:rPr>
        <w:t>established or maintained in</w:t>
      </w:r>
      <w:r>
        <w:rPr>
          <w:color w:val="0000FF"/>
        </w:rPr>
        <w:t xml:space="preserve"> </w:t>
      </w:r>
      <w:r>
        <w:rPr>
          <w:rFonts w:ascii="Times New Roman;sans-serif" w:hAnsi="Times New Roman;sans-serif"/>
          <w:b w:val="false"/>
          <w:color w:val="0000FF"/>
          <w:sz w:val="24"/>
          <w:u w:val="single"/>
        </w:rPr>
        <w:t>connection with a Permitted Acquisition</w:t>
      </w:r>
      <w:r>
        <w:rPr>
          <w:color w:val="0000FF"/>
        </w:rPr>
        <w:t xml:space="preserve"> </w:t>
      </w:r>
      <w:r>
        <w:rPr>
          <w:rFonts w:ascii="Times New Roman;sans-serif" w:hAnsi="Times New Roman;sans-serif"/>
          <w:b w:val="false"/>
          <w:color w:val="000000"/>
          <w:sz w:val="24"/>
        </w:rPr>
        <w:t xml:space="preserve">that are not with U.S. Bank within </w:t>
      </w:r>
      <w:r>
        <w:rPr>
          <w:rFonts w:ascii="Times New Roman;sans-serif" w:hAnsi="Times New Roman;sans-serif"/>
          <w:b w:val="false"/>
          <w:strike/>
          <w:color w:val="FF0000"/>
          <w:sz w:val="24"/>
        </w:rPr>
        <w:t>60</w:t>
      </w:r>
      <w:r>
        <w:rPr>
          <w:rFonts w:ascii="Times New Roman;sans-serif" w:hAnsi="Times New Roman;sans-serif"/>
          <w:b w:val="false"/>
          <w:color w:val="0000FF"/>
          <w:sz w:val="24"/>
          <w:u w:val="single"/>
        </w:rPr>
        <w:t>180</w:t>
      </w:r>
      <w:r>
        <w:rPr>
          <w:color w:val="0000FF"/>
        </w:rPr>
        <w:t xml:space="preserve"> </w:t>
      </w:r>
      <w:r>
        <w:rPr>
          <w:rFonts w:ascii="Times New Roman;sans-serif" w:hAnsi="Times New Roman;sans-serif"/>
          <w:b w:val="false"/>
          <w:color w:val="000000"/>
          <w:sz w:val="24"/>
        </w:rPr>
        <w:t xml:space="preserve">days (or such later date as the Administrative Agent may agree from time to time, including via email confirmation) after such </w:t>
      </w:r>
      <w:r>
        <w:rPr>
          <w:rFonts w:ascii="Times New Roman;sans-serif" w:hAnsi="Times New Roman;sans-serif"/>
          <w:b w:val="false"/>
          <w:strike/>
          <w:color w:val="FF0000"/>
          <w:sz w:val="24"/>
        </w:rPr>
        <w:t>Subsidiary is acquired or created after the Restatement</w:t>
      </w:r>
      <w:r>
        <w:rPr>
          <w:color w:val="FF0000"/>
        </w:rPr>
        <w:t xml:space="preserve"> </w:t>
      </w:r>
      <w:r>
        <w:rPr>
          <w:rFonts w:ascii="Times New Roman;sans-serif" w:hAnsi="Times New Roman;sans-serif"/>
          <w:b w:val="false"/>
          <w:strike/>
          <w:color w:val="FF0000"/>
          <w:sz w:val="24"/>
        </w:rPr>
        <w:t>Date</w:t>
      </w:r>
      <w:r>
        <w:rPr>
          <w:rFonts w:ascii="Times New Roman;sans-serif" w:hAnsi="Times New Roman;sans-serif"/>
          <w:b w:val="false"/>
          <w:color w:val="0000FF"/>
          <w:sz w:val="24"/>
          <w:u w:val="single"/>
        </w:rPr>
        <w:t>Permitted Acquisition</w:t>
      </w:r>
      <w:r>
        <w:rPr>
          <w:color w:val="0000FF"/>
        </w:rPr>
        <w:t xml:space="preserve"> </w:t>
      </w:r>
      <w:r>
        <w:rPr>
          <w:rFonts w:ascii="Times New Roman;sans-serif" w:hAnsi="Times New Roman;sans-serif"/>
          <w:b w:val="false"/>
          <w:color w:val="000000"/>
          <w:sz w:val="24"/>
        </w:rPr>
        <w:t>shall at all times be subject to a Control Agreement</w:t>
      </w:r>
      <w:r>
        <w:rPr>
          <w:rFonts w:ascii="Times New Roman;sans-serif" w:hAnsi="Times New Roman;sans-serif"/>
          <w:b w:val="false"/>
          <w:color w:val="0000FF"/>
          <w:sz w:val="24"/>
          <w:u w:val="single"/>
        </w:rPr>
        <w:t>, except in</w:t>
      </w:r>
      <w:r>
        <w:rPr>
          <w:color w:val="0000FF"/>
        </w:rPr>
        <w:t xml:space="preserve"> </w:t>
      </w:r>
      <w:r>
        <w:rPr>
          <w:rFonts w:ascii="Times New Roman;sans-serif" w:hAnsi="Times New Roman;sans-serif"/>
          <w:b w:val="false"/>
          <w:color w:val="0000FF"/>
          <w:sz w:val="24"/>
          <w:u w:val="single"/>
        </w:rPr>
        <w:t>the case of Excluded Operating Accounts or Excluded Payroll Accounts</w:t>
      </w:r>
      <w:r>
        <w:rPr>
          <w:rFonts w:ascii="Times New Roman;sans-serif" w:hAnsi="Times New Roman;sans-serif"/>
          <w:b w:val="false"/>
          <w:color w:val="000000"/>
          <w:sz w:val="24"/>
        </w:rPr>
        <w:t>.</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(c)</w:t>
      </w:r>
      <w:r>
        <w:rPr>
          <w:rFonts w:ascii="Times New Roman;sans-serif" w:hAnsi="Times New Roman;sans-serif"/>
          <w:b w:val="false"/>
          <w:strike/>
          <w:color w:val="FF0000"/>
          <w:sz w:val="24"/>
        </w:rPr>
        <w:t>Post-Closing Covenants</w:t>
      </w:r>
      <w:r>
        <w:rPr>
          <w:rFonts w:ascii="Times New Roman;sans-serif" w:hAnsi="Times New Roman;sans-serif"/>
          <w:b w:val="false"/>
          <w:i/>
          <w:color w:val="0000FF"/>
          <w:sz w:val="24"/>
        </w:rPr>
        <w:t>Reserved</w:t>
      </w:r>
      <w:r>
        <w:rPr>
          <w:rFonts w:ascii="Times New Roman;sans-serif" w:hAnsi="Times New Roman;sans-serif"/>
          <w:b w:val="false"/>
          <w:i/>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strike/>
          <w:color w:val="FF0000"/>
          <w:sz w:val="24"/>
        </w:rPr>
        <w:t>(i)</w:t>
      </w:r>
      <w:r>
        <w:rPr>
          <w:strike/>
          <w:color w:val="FF0000"/>
        </w:rPr>
        <w:t xml:space="preserve"> </w:t>
      </w:r>
      <w:r>
        <w:rPr>
          <w:rFonts w:ascii="Times New Roman;sans-serif" w:hAnsi="Times New Roman;sans-serif"/>
          <w:b w:val="false"/>
          <w:strike/>
          <w:color w:val="FF0000"/>
          <w:sz w:val="24"/>
          <w:u w:val="single"/>
        </w:rPr>
        <w:t>Insurance</w:t>
      </w:r>
      <w:r>
        <w:rPr>
          <w:rFonts w:ascii="Times New Roman;sans-serif" w:hAnsi="Times New Roman;sans-serif"/>
          <w:b w:val="false"/>
          <w:strike/>
          <w:color w:val="FF0000"/>
          <w:sz w:val="24"/>
        </w:rPr>
        <w:t>. On or before the date that is thirty (30) days after the</w:t>
      </w:r>
      <w:r>
        <w:rPr>
          <w:color w:val="FF0000"/>
        </w:rPr>
        <w:t xml:space="preserve"> </w:t>
      </w:r>
      <w:r>
        <w:rPr>
          <w:rFonts w:ascii="Times New Roman;sans-serif" w:hAnsi="Times New Roman;sans-serif"/>
          <w:b w:val="false"/>
          <w:color w:val="FF0000"/>
          <w:sz w:val="24"/>
        </w:rPr>
        <w:t xml:space="preserve">Restatement Date (or such later date as the Administrative Agent may agree in its </w:t>
      </w:r>
      <w:r>
        <w:rPr>
          <w:rFonts w:ascii="Times New Roman;sans-serif" w:hAnsi="Times New Roman;sans-serif"/>
          <w:b w:val="false"/>
          <w:strike/>
          <w:color w:val="FF0000"/>
          <w:sz w:val="24"/>
        </w:rPr>
        <w:t>sole discretion), the Borrower shall, and shall cause each Subsidiary to deliver to</w:t>
      </w:r>
      <w:r>
        <w:rPr>
          <w:color w:val="FF0000"/>
        </w:rPr>
        <w:t xml:space="preserve"> </w:t>
      </w:r>
      <w:r>
        <w:rPr>
          <w:rFonts w:ascii="Times New Roman;sans-serif" w:hAnsi="Times New Roman;sans-serif"/>
          <w:b w:val="false"/>
          <w:color w:val="FF0000"/>
          <w:sz w:val="24"/>
        </w:rPr>
        <w:t xml:space="preserve">the Administrative Agent (i) insurance certificates and endorsements in form and </w:t>
      </w:r>
      <w:r>
        <w:rPr>
          <w:rFonts w:ascii="Times New Roman;sans-serif" w:hAnsi="Times New Roman;sans-serif"/>
          <w:b w:val="false"/>
          <w:strike/>
          <w:color w:val="FF0000"/>
          <w:sz w:val="24"/>
        </w:rPr>
        <w:t>substance acceptable to the Administrative Agent and listing the Administrative</w:t>
      </w:r>
      <w:r>
        <w:rPr>
          <w:color w:val="FF0000"/>
        </w:rPr>
        <w:t xml:space="preserve"> </w:t>
      </w:r>
      <w:r>
        <w:rPr>
          <w:rFonts w:ascii="Times New Roman;sans-serif" w:hAnsi="Times New Roman;sans-serif"/>
          <w:b w:val="false"/>
          <w:color w:val="FF0000"/>
          <w:sz w:val="24"/>
        </w:rPr>
        <w:t xml:space="preserve">Agent as lender loss payable thereon with respect to property insurance and as an additional insured with respect to liability insurance, indicating that the Borrower </w:t>
      </w:r>
      <w:r>
        <w:rPr>
          <w:rFonts w:ascii="Times New Roman;sans-serif" w:hAnsi="Times New Roman;sans-serif"/>
          <w:b w:val="false"/>
          <w:strike/>
          <w:color w:val="FF0000"/>
          <w:sz w:val="24"/>
        </w:rPr>
        <w:t>and the Domestic Subsidiaries have obtained insurance of the types set forth in</w:t>
      </w:r>
      <w:r>
        <w:rPr>
          <w:color w:val="FF0000"/>
        </w:rPr>
        <w:t xml:space="preserve"> </w:t>
      </w:r>
      <w:r>
        <w:rPr>
          <w:rFonts w:ascii="Times New Roman;sans-serif" w:hAnsi="Times New Roman;sans-serif"/>
          <w:b w:val="false"/>
          <w:strike/>
          <w:color w:val="FF0000"/>
          <w:sz w:val="24"/>
          <w:u w:val="single"/>
        </w:rPr>
        <w:t>Section 6.7</w:t>
      </w:r>
      <w:r>
        <w:rPr>
          <w:rFonts w:ascii="Times New Roman;sans-serif" w:hAnsi="Times New Roman;sans-serif"/>
          <w:b w:val="false"/>
          <w:strike/>
          <w:color w:val="FF0000"/>
          <w:sz w:val="24"/>
        </w:rPr>
        <w:t>;</w:t>
      </w:r>
    </w:p>
    <w:p>
      <w:pPr>
        <w:pStyle w:val="TextBody"/>
        <w:bidi w:val="0"/>
        <w:spacing w:lineRule="auto" w:line="288" w:before="241" w:after="283"/>
        <w:ind w:left="0" w:right="0" w:firstLine="720"/>
        <w:jc w:val="left"/>
        <w:rPr/>
      </w:pPr>
      <w:r>
        <w:rPr>
          <w:rFonts w:ascii="Times New Roman;sans-serif" w:hAnsi="Times New Roman;sans-serif"/>
          <w:b w:val="false"/>
          <w:strike/>
          <w:color w:val="FF0000"/>
          <w:sz w:val="24"/>
        </w:rPr>
        <w:t>(ii)</w:t>
      </w:r>
      <w:r>
        <w:rPr>
          <w:rFonts w:ascii="Times New Roman;sans-serif" w:hAnsi="Times New Roman;sans-serif"/>
          <w:b w:val="false"/>
          <w:strike/>
          <w:color w:val="FF0000"/>
          <w:sz w:val="24"/>
          <w:u w:val="single"/>
        </w:rPr>
        <w:t>Stock Certificates</w:t>
      </w:r>
      <w:r>
        <w:rPr>
          <w:rFonts w:ascii="Times New Roman;sans-serif" w:hAnsi="Times New Roman;sans-serif"/>
          <w:b w:val="false"/>
          <w:strike/>
          <w:color w:val="FF0000"/>
          <w:sz w:val="24"/>
        </w:rPr>
        <w:t>. On or before the date that is thirty (30) days after</w:t>
      </w:r>
      <w:r>
        <w:rPr>
          <w:color w:val="FF0000"/>
        </w:rPr>
        <w:t xml:space="preserve"> </w:t>
      </w:r>
      <w:r>
        <w:rPr>
          <w:rFonts w:ascii="Times New Roman;sans-serif" w:hAnsi="Times New Roman;sans-serif"/>
          <w:b w:val="false"/>
          <w:strike/>
          <w:color w:val="FF0000"/>
          <w:sz w:val="24"/>
        </w:rPr>
        <w:t>the Restatement Date (or such later date as the Administrative Agent may agree in</w:t>
      </w:r>
      <w:r>
        <w:rPr>
          <w:color w:val="FF0000"/>
        </w:rPr>
        <w:t xml:space="preserve"> </w:t>
      </w:r>
      <w:r>
        <w:rPr>
          <w:rFonts w:ascii="Times New Roman;sans-serif" w:hAnsi="Times New Roman;sans-serif"/>
          <w:b w:val="false"/>
          <w:strike/>
          <w:color w:val="FF0000"/>
          <w:sz w:val="24"/>
        </w:rPr>
        <w:t>its sole discretion), the Borrower shall cause NAPCO to deliver to the</w:t>
      </w:r>
      <w:r>
        <w:rPr>
          <w:color w:val="FF0000"/>
        </w:rPr>
        <w:t xml:space="preserve"> </w:t>
      </w:r>
      <w:r>
        <w:rPr>
          <w:rFonts w:ascii="Times New Roman;sans-serif" w:hAnsi="Times New Roman;sans-serif"/>
          <w:b w:val="false"/>
          <w:strike/>
          <w:color w:val="FF0000"/>
          <w:sz w:val="24"/>
        </w:rPr>
        <w:t>Administrative Agent copies of the original certificates (if any) with respect to any</w:t>
      </w:r>
      <w:r>
        <w:rPr>
          <w:color w:val="FF0000"/>
        </w:rPr>
        <w:t xml:space="preserve"> </w:t>
      </w:r>
      <w:r>
        <w:rPr>
          <w:rFonts w:ascii="Times New Roman;sans-serif" w:hAnsi="Times New Roman;sans-serif"/>
          <w:b w:val="false"/>
          <w:strike/>
          <w:color w:val="FF0000"/>
          <w:sz w:val="24"/>
        </w:rPr>
        <w:t>Equity Interests of NAPCO specifically pledged under the Security Agreement</w:t>
      </w:r>
      <w:r>
        <w:rPr>
          <w:color w:val="FF0000"/>
        </w:rPr>
        <w:t xml:space="preserve"> </w:t>
      </w:r>
      <w:r>
        <w:rPr>
          <w:rFonts w:ascii="Times New Roman;sans-serif" w:hAnsi="Times New Roman;sans-serif"/>
          <w:b w:val="false"/>
          <w:strike/>
          <w:color w:val="FF0000"/>
          <w:sz w:val="24"/>
        </w:rPr>
        <w:t>together with stock powers or assignments separate from certificate in the form</w:t>
      </w:r>
      <w:r>
        <w:rPr>
          <w:color w:val="FF0000"/>
        </w:rPr>
        <w:t xml:space="preserve"> </w:t>
      </w:r>
      <w:r>
        <w:rPr>
          <w:rFonts w:ascii="Times New Roman;sans-serif" w:hAnsi="Times New Roman;sans-serif"/>
          <w:b w:val="false"/>
          <w:strike/>
          <w:color w:val="FF0000"/>
          <w:sz w:val="24"/>
        </w:rPr>
        <w:t>prescribed by the Administrative Agent and duly executed in blank with the</w:t>
      </w:r>
      <w:r>
        <w:rPr>
          <w:color w:val="FF0000"/>
        </w:rPr>
        <w:t xml:space="preserve"> </w:t>
      </w:r>
      <w:r>
        <w:rPr>
          <w:rFonts w:ascii="Times New Roman;sans-serif" w:hAnsi="Times New Roman;sans-serif"/>
          <w:b w:val="false"/>
          <w:color w:val="FF0000"/>
          <w:sz w:val="24"/>
        </w:rPr>
        <w:t>originals to be sent by overnight mail to the Administrative Agent or its designee.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Indebtedness</w:t>
      </w:r>
      <w:r>
        <w:rPr>
          <w:rFonts w:ascii="Times New Roman;sans-serif" w:hAnsi="Times New Roman;sans-serif"/>
          <w:b w:val="false"/>
          <w:color w:val="000000"/>
          <w:sz w:val="24"/>
        </w:rPr>
        <w:t>. The Borrower will not, nor will it permit any Subsidiary to, create, incur or suffer to exist any Indebtedness, except:</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(a)The Loans and any other Obligations;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(b)Indebtedness existing on the Restatement Date and described in </w:t>
      </w:r>
      <w:r>
        <w:rPr>
          <w:rFonts w:ascii="Times New Roman;sans-serif" w:hAnsi="Times New Roman;sans-serif"/>
          <w:b w:val="false"/>
          <w:color w:val="000000"/>
          <w:sz w:val="24"/>
          <w:u w:val="single"/>
        </w:rPr>
        <w:t>Schedule 6.17</w:t>
      </w:r>
      <w:r>
        <w:rPr>
          <w:color w:val="000000"/>
        </w:rPr>
        <w:t xml:space="preserve"> </w:t>
      </w:r>
      <w:r>
        <w:rPr>
          <w:rFonts w:ascii="Times New Roman;sans-serif" w:hAnsi="Times New Roman;sans-serif"/>
          <w:b w:val="false"/>
          <w:color w:val="000000"/>
          <w:sz w:val="24"/>
        </w:rPr>
        <w:t>and any replacement, renewal, refinancing or extension of such Indebtedness (including the amount of any related reasonable transaction fees 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expenses incurred in connection therewith) that does not increase the outstanding principal amount thereof on the date of such replacement, renewal, refinancing or extension;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(c)Indebtedness secured by Liens permitted by Section 6.22(h) and replacements, renewals, refinancings or extensions thereof (including the amount of any related reasonable transaction fees and expenses incurred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15975"/>
                <wp:effectExtent l="0" t="0" r="0" b="0"/>
                <wp:wrapNone/>
                <wp:docPr id="101" name="Frame10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provided that the aggregate amount of all such Indebtedness at any time outstanding shall not exceed $</w:t>
      </w:r>
      <w:r>
        <w:rPr>
          <w:rFonts w:ascii="Times New Roman;sans-serif" w:hAnsi="Times New Roman;sans-serif"/>
          <w:b w:val="false"/>
          <w:strike/>
          <w:color w:val="FF0000"/>
          <w:sz w:val="24"/>
        </w:rPr>
        <w:t>2,000,000</w:t>
      </w:r>
      <w:r>
        <w:rPr>
          <w:rFonts w:ascii="Times New Roman;sans-serif" w:hAnsi="Times New Roman;sans-serif"/>
          <w:b w:val="false"/>
          <w:color w:val="0000FF"/>
          <w:sz w:val="24"/>
          <w:u w:val="single"/>
        </w:rPr>
        <w:t>5,000,000</w:t>
      </w:r>
      <w:r>
        <w:rPr>
          <w:rFonts w:ascii="Times New Roman;sans-serif" w:hAnsi="Times New Roman;sans-serif"/>
          <w:b w:val="false"/>
          <w:color w:val="000000"/>
          <w:sz w:val="24"/>
        </w:rPr>
        <w:t>;</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(d)Subordinated Indebtedness;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(e)Indebtedness arising under Rate Management Transactions or other Financial Contracts, all of which shall be unsecured unless in favor of a Lender or an Affiliate of a Lender, incurred for bona fide hedging purposes and not for speculation, evidence of which has been provided to the Administrative Agent;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(f)Contingent Obligations arising with respect to customary indemnification obligations in favor of purchasers in connection with dispositions permitted under Section 6.19(c);</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(g)Indebtedness incurred in respect of netting services and ordinary course of business overdraft protection in connection with deposit accounts permitted under the Loan Documents;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(h)Indebtedness incurred in connection with the financing of insurance premiums in the ordinary course of business (“</w:t>
      </w:r>
      <w:r>
        <w:rPr>
          <w:rFonts w:ascii="Times New Roman;sans-serif" w:hAnsi="Times New Roman;sans-serif"/>
          <w:b w:val="false"/>
          <w:color w:val="000000"/>
          <w:sz w:val="24"/>
          <w:u w:val="single"/>
        </w:rPr>
        <w:t>Financed Premiums</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(i)Endorsements for collection or deposit and Contingent Obligations incurred in connection with standard contractual indemnities entered into in the ordinary course of business;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(j)Contingent Obligations incurred in the ordinary course of business with respect to surety and appeal bonds, performance bonds and other similar obligations;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(k)Contingent Obligations arising under indemnity agreements to title insurers to cause such title insurers to issue to the Administrative Agent title insurance policies;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(l)Contingent Obligations arising with respect to reasonable and customary indemnification obligations in favor of the sellers in connection with Permitted Acquisitions;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(m)intercompany Indebtedness owing (i) from a Material Domestic Subsidiary that is a Guarantor to the Borrower, (ii) from a Material Domestic Subsidiary that is a Guarantor from or to another Material Domestic Subsidiary that is a Guarantor or</w:t>
      </w:r>
    </w:p>
    <w:p>
      <w:pPr>
        <w:pStyle w:val="TextBody"/>
        <w:bidi w:val="0"/>
        <w:spacing w:lineRule="auto" w:line="288" w:before="0" w:after="0"/>
        <w:jc w:val="left"/>
        <w:rPr/>
      </w:pPr>
      <w:r>
        <w:rPr>
          <w:rFonts w:ascii="Times New Roman;sans-serif" w:hAnsi="Times New Roman;sans-serif"/>
          <w:b w:val="false"/>
          <w:color w:val="000000"/>
          <w:sz w:val="24"/>
        </w:rPr>
        <w:t>(iii) from or to a Subsidiary that is not a Guarantor to the Borrower or a Material Domestic Subsidiary that is a Guarantor in an amount not to exceed $</w:t>
      </w:r>
      <w:r>
        <w:rPr>
          <w:rFonts w:ascii="Times New Roman;sans-serif" w:hAnsi="Times New Roman;sans-serif"/>
          <w:b w:val="false"/>
          <w:strike/>
          <w:color w:val="FF0000"/>
          <w:sz w:val="24"/>
        </w:rPr>
        <w:t>500,000</w:t>
      </w:r>
      <w:r>
        <w:rPr>
          <w:rFonts w:ascii="Times New Roman;sans-serif" w:hAnsi="Times New Roman;sans-serif"/>
          <w:b w:val="false"/>
          <w:color w:val="0000FF"/>
          <w:sz w:val="24"/>
          <w:u w:val="single"/>
        </w:rPr>
        <w:t>1,000,000</w:t>
      </w:r>
      <w:r>
        <w:rPr>
          <w:color w:val="0000FF"/>
        </w:rPr>
        <w:t xml:space="preserve"> </w:t>
      </w:r>
      <w:r>
        <w:rPr>
          <w:rFonts w:ascii="Times New Roman;sans-serif" w:hAnsi="Times New Roman;sans-serif"/>
          <w:b w:val="false"/>
          <w:color w:val="000000"/>
          <w:sz w:val="24"/>
        </w:rPr>
        <w:t>in the aggregate;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(n)Guaranties of obligations not otherwise prohibited under this Agreement, of the Borrower or any Subsidiary;</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(o)Receivables Transaction Attributed Indebtedness not to exceed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$10,000,000;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15975"/>
                <wp:effectExtent l="0" t="0" r="0" b="0"/>
                <wp:wrapNone/>
                <wp:docPr id="102" name="Frame10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rFonts w:ascii="Times New Roman;sans-serif" w:hAnsi="Times New Roman;sans-serif"/>
          <w:b w:val="false"/>
          <w:color w:val="000000"/>
          <w:sz w:val="24"/>
        </w:rPr>
        <w:t>(p)</w:t>
      </w:r>
      <w:r>
        <w:rPr>
          <w:rFonts w:ascii="Times New Roman;sans-serif" w:hAnsi="Times New Roman;sans-serif"/>
          <w:b w:val="false"/>
          <w:strike/>
          <w:color w:val="FF0000"/>
          <w:sz w:val="24"/>
        </w:rPr>
        <w:t>Other unsecured</w:t>
      </w:r>
      <w:r>
        <w:rPr>
          <w:rFonts w:ascii="Times New Roman;sans-serif" w:hAnsi="Times New Roman;sans-serif"/>
          <w:b w:val="false"/>
          <w:color w:val="0000FF"/>
          <w:sz w:val="24"/>
          <w:u w:val="single"/>
        </w:rPr>
        <w:t>other</w:t>
      </w:r>
      <w:r>
        <w:rPr>
          <w:color w:val="0000FF"/>
        </w:rPr>
        <w:t xml:space="preserve"> </w:t>
      </w:r>
      <w:r>
        <w:rPr>
          <w:rFonts w:ascii="Times New Roman;sans-serif" w:hAnsi="Times New Roman;sans-serif"/>
          <w:b w:val="false"/>
          <w:color w:val="000000"/>
          <w:sz w:val="24"/>
        </w:rPr>
        <w:t>Indebtedness (excluding any Indebtedness described in clauses (b) through (</w:t>
      </w:r>
      <w:r>
        <w:rPr>
          <w:rFonts w:ascii="Times New Roman;sans-serif" w:hAnsi="Times New Roman;sans-serif"/>
          <w:b w:val="false"/>
          <w:strike/>
          <w:color w:val="FF0000"/>
          <w:sz w:val="24"/>
        </w:rPr>
        <w:t>n</w:t>
      </w:r>
      <w:r>
        <w:rPr>
          <w:rFonts w:ascii="Times New Roman;sans-serif" w:hAnsi="Times New Roman;sans-serif"/>
          <w:b w:val="false"/>
          <w:color w:val="0000FF"/>
          <w:sz w:val="24"/>
          <w:u w:val="single"/>
        </w:rPr>
        <w:t>o</w:t>
      </w:r>
      <w:r>
        <w:rPr>
          <w:rFonts w:ascii="Times New Roman;sans-serif" w:hAnsi="Times New Roman;sans-serif"/>
          <w:b w:val="false"/>
          <w:color w:val="000000"/>
          <w:sz w:val="24"/>
        </w:rPr>
        <w:t>) above), provided that the aggregate amount of such other Indebtedness does not exceed $</w:t>
      </w:r>
      <w:r>
        <w:rPr>
          <w:rFonts w:ascii="Times New Roman;sans-serif" w:hAnsi="Times New Roman;sans-serif"/>
          <w:b w:val="false"/>
          <w:strike/>
          <w:color w:val="FF0000"/>
          <w:sz w:val="24"/>
        </w:rPr>
        <w:t>2,500,000</w:t>
      </w:r>
      <w:r>
        <w:rPr>
          <w:rFonts w:ascii="Times New Roman;sans-serif" w:hAnsi="Times New Roman;sans-serif"/>
          <w:b w:val="false"/>
          <w:color w:val="0000FF"/>
          <w:sz w:val="24"/>
          <w:u w:val="single"/>
        </w:rPr>
        <w:t>5,000,000</w:t>
      </w:r>
      <w:r>
        <w:rPr>
          <w:color w:val="0000FF"/>
        </w:rPr>
        <w:t xml:space="preserve"> </w:t>
      </w:r>
      <w:r>
        <w:rPr>
          <w:rFonts w:ascii="Times New Roman;sans-serif" w:hAnsi="Times New Roman;sans-serif"/>
          <w:b w:val="false"/>
          <w:color w:val="000000"/>
          <w:sz w:val="24"/>
        </w:rPr>
        <w:t>at any time outstanding.</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Merger</w:t>
      </w:r>
      <w:r>
        <w:rPr>
          <w:rFonts w:ascii="Times New Roman;sans-serif" w:hAnsi="Times New Roman;sans-serif"/>
          <w:b w:val="false"/>
          <w:color w:val="000000"/>
          <w:sz w:val="24"/>
        </w:rPr>
        <w:t>. The Borrower will not, and will not permit any Subsidiary to, (a) merge, consolidate with or enter into any analogous reorganization or transaction with any other Person, except for (i) any merger of a Subsidiary into the Borrower or a Wholly-Owned Subsidiary of the Borrower or any Guarantor, (ii) any merger of a Subsidiary that is not the Borrower in connection with a Permitted Acquisition so long as the surviving entity becomes a Guarantor pursuant to the terms of this Agreement or (iii) a merger involving the Borrower in connection with a Permitted Acquisition so long as the surviving entity is the Borrower, or (b) liquidate, wind up or dissolve itself (or suffer any liquidation, wind up or dissolution) except that (i) any Guarantor may merge into the Borrower or other Guarantor, and (ii) any Subsidiary that is not a Guarantor may be liquidated, wound up or dissolved.</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Sale of Assets</w:t>
      </w:r>
      <w:r>
        <w:rPr>
          <w:rFonts w:ascii="Times New Roman;sans-serif" w:hAnsi="Times New Roman;sans-serif"/>
          <w:b w:val="false"/>
          <w:color w:val="000000"/>
          <w:sz w:val="24"/>
        </w:rPr>
        <w:t>. The Borrower will not, and will not permit any Subsidiary to, directly or indirectly, lease, sell, assign, convey, transfer or otherwise dispose of its Property to any other Person or enter into an agreement to do any of the foregoing, except: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(a)sales of inventory, or used, obsolete, worn-out or surplus equipment, all in the ordinary course of business;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sale of equipment to the extent that such equipment is exchanged for credit against the purchase price of similar replacement equipment, or the proceeds of such sale are applied with reasonable promptness to the purchase price of such replacement equipment;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(c)sales and dispositions of assets and Property for at least fair market value (as determined by the board of directors of the Borrower) so long as the net book value of all assets or Property sold or otherwise disposed of does not constitute 10% or more of the total assets of the Borrower and its Subsidiaries in the aggregate during the 12-month period ending on the date of the last such sale or disposition;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(d)any transfer of an interest (whether characterized as a grant of a security interest or the transfer of ownership) in accounts or notes receivable and related Property as part of a Qualified Receivables Transaction; 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(e)sales and dispositions of assets of a Subsidiary of the Borrower to the Borrower or any Subsidiary that is a Guarantor.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Investments</w:t>
      </w:r>
      <w:r>
        <w:rPr>
          <w:rFonts w:ascii="Times New Roman;sans-serif" w:hAnsi="Times New Roman;sans-serif"/>
          <w:b w:val="false"/>
          <w:color w:val="000000"/>
          <w:sz w:val="24"/>
        </w:rPr>
        <w:t>. The Borrower will not, and will not permit any Subsidiary to, make or suffer to exist any Investments (including, without limitation, loans and advances to, and other Investments in, Subsidiaries), or commitments therefor, create any Subsidiary or become or remain a partner in any partnership or joint venture, except:</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(a)Cash Equivalent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15975"/>
                <wp:effectExtent l="0" t="0" r="0" b="0"/>
                <wp:wrapNone/>
                <wp:docPr id="103" name="Frame10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rFonts w:ascii="Times New Roman;sans-serif" w:hAnsi="Times New Roman;sans-serif"/>
          <w:b w:val="false"/>
          <w:color w:val="000000"/>
          <w:sz w:val="24"/>
        </w:rPr>
        <w:t xml:space="preserve">(b)(i) Investments in Domestic Subsidiaries in existence on the Restatement Date and (ii) other Investments in existence on the Restatement Date and described in </w:t>
      </w:r>
      <w:r>
        <w:rPr>
          <w:rFonts w:ascii="Times New Roman;sans-serif" w:hAnsi="Times New Roman;sans-serif"/>
          <w:b w:val="false"/>
          <w:color w:val="000000"/>
          <w:sz w:val="24"/>
          <w:u w:val="single"/>
        </w:rPr>
        <w:t>Schedule 6.20</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(c)Investments (i) constituting Permitted Acquisitions and (ii) in Domestic Subsidiaries permitted by and subject to Section 6.27;</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(d)Investments constituting Indebtedness permitted pursuant to Section 6.17;</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(e)Bank deposits in the ordinary course of business, to the extent permitted by Section 6.16(b);</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(f)Travel and similar advances to employees or independent contractors in the ordinary course of business;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(g)Deposits made in the ordinary course of business securing obligations or performance under contracts, such as in connection with real estate or personal property leases; and</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(h)</w:t>
      </w:r>
      <w:r>
        <w:rPr>
          <w:rFonts w:ascii="Times New Roman;sans-serif" w:hAnsi="Times New Roman;sans-serif"/>
          <w:b w:val="false"/>
          <w:strike/>
          <w:color w:val="FF0000"/>
          <w:sz w:val="24"/>
        </w:rPr>
        <w:t>Other</w:t>
      </w:r>
      <w:r>
        <w:rPr>
          <w:rFonts w:ascii="Times New Roman;sans-serif" w:hAnsi="Times New Roman;sans-serif"/>
          <w:b w:val="false"/>
          <w:color w:val="0000FF"/>
          <w:sz w:val="24"/>
          <w:u w:val="single"/>
        </w:rPr>
        <w:t>other</w:t>
      </w:r>
      <w:r>
        <w:rPr>
          <w:color w:val="0000FF"/>
        </w:rPr>
        <w:t xml:space="preserve"> </w:t>
      </w:r>
      <w:r>
        <w:rPr>
          <w:rFonts w:ascii="Times New Roman;sans-serif" w:hAnsi="Times New Roman;sans-serif"/>
          <w:b w:val="false"/>
          <w:color w:val="000000"/>
          <w:sz w:val="24"/>
        </w:rPr>
        <w:t>Investments (excluding any Investments described in clauses (a) through (g) above) not to exceed $</w:t>
      </w:r>
      <w:r>
        <w:rPr>
          <w:rFonts w:ascii="Times New Roman;sans-serif" w:hAnsi="Times New Roman;sans-serif"/>
          <w:b w:val="false"/>
          <w:strike/>
          <w:color w:val="FF0000"/>
          <w:sz w:val="24"/>
        </w:rPr>
        <w:t>2,500,000</w:t>
      </w:r>
      <w:r>
        <w:rPr>
          <w:rFonts w:ascii="Times New Roman;sans-serif" w:hAnsi="Times New Roman;sans-serif"/>
          <w:b w:val="false"/>
          <w:color w:val="0000FF"/>
          <w:sz w:val="24"/>
          <w:u w:val="single"/>
        </w:rPr>
        <w:t>10,000,000</w:t>
      </w:r>
      <w:r>
        <w:rPr>
          <w:color w:val="0000FF"/>
        </w:rPr>
        <w:t xml:space="preserve"> </w:t>
      </w:r>
      <w:r>
        <w:rPr>
          <w:rFonts w:ascii="Times New Roman;sans-serif" w:hAnsi="Times New Roman;sans-serif"/>
          <w:b w:val="false"/>
          <w:color w:val="000000"/>
          <w:sz w:val="24"/>
        </w:rPr>
        <w:t>in the aggregate at any one time.</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provided that (x) any Investment that when made complies with the requirements of the definition of the term “Cash Equivalent Investment” may continue to be held notwithstanding that such Investment if made thereafter would not comply with such requirements and (y) no Investment otherwise permitted by clause (c) shall be permitted to be made if, immediately before or after giving effect thereto, any Event of Default exists.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Acquisitions</w:t>
      </w:r>
      <w:r>
        <w:rPr>
          <w:rFonts w:ascii="Times New Roman;sans-serif" w:hAnsi="Times New Roman;sans-serif"/>
          <w:b w:val="false"/>
          <w:color w:val="000000"/>
          <w:sz w:val="24"/>
        </w:rPr>
        <w:t>. The Borrower will not, and will not permit any Subsidiary, to make any Acquisition other than any Permitted Acquisition.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Liens</w:t>
      </w:r>
      <w:r>
        <w:rPr>
          <w:rFonts w:ascii="Times New Roman;sans-serif" w:hAnsi="Times New Roman;sans-serif"/>
          <w:b w:val="false"/>
          <w:color w:val="000000"/>
          <w:sz w:val="24"/>
        </w:rPr>
        <w:t>. The Borrower will not, and will not permit any Subsidiary to, create, incur, assume or suffer to exist any Lien in, of or on the Property of any of the Borrower and the Subsidiaries now owned or hereafter acquired, or enter into or make any commitment to enter into any arrangement for the acquisition of property through conditioned sale, lease, purchase or other title retention agreement, except: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(a)Liens for taxes, assessments or governmental charges or levies on its Property if the same are not at the time delinquent or thereafter can be paid without penalty, or are being contested in good faith and by appropriate proceedings and for which adequate reserves in accordance with GAAP have been set aside on its books;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(b)Liens imposed by law, such as landlord, carriers’, warehousemen’s and mechanics’ liens and other similar liens arising in the ordinary course of business that secure payment of obligations not more than 60 days past due or that are being contested in good faith by appropriate proceedings and for which adequate reserves have been set aside on its books;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15975"/>
                <wp:effectExtent l="0" t="0" r="0" b="0"/>
                <wp:wrapNone/>
                <wp:docPr id="104" name="Frame10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(c)Liens arising out of pledges or deposits under worker’s compensation laws, unemployment insurance, old age pensions, other social security or retirement benefits or similar legislation;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(d)Utility easements, building restrictions and such other encumbrances or charges against real property as are of a nature generally existing with respect to properties of a similar character that do not in any material way affect the marketability of the same or interfere in any material respect with the use thereof in the business of the Borrower and the Subsidiaries;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(e)Liens arising solely by virtue of any statutory or common law provision relating to bankers’ liens, rights of set-off or similar rights and remedies as to deposit accounts or other funds maintained with a creditor depository institution; provided that such deposit account (i) is not a dedicated cash collateral account and is not subject to restriction against access by the Borrower or a Subsidiary in excess of those set forth by regulations promulgated by the Board of Governors of the Federal Reserve, and (ii) is not intended by any of the Borrower or any Subsidiary to provide collateral to the depository institution;</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 xml:space="preserve">(f)Liens existing on the </w:t>
      </w:r>
      <w:r>
        <w:rPr>
          <w:rFonts w:ascii="Times New Roman;sans-serif" w:hAnsi="Times New Roman;sans-serif"/>
          <w:b w:val="false"/>
          <w:strike/>
          <w:color w:val="FF0000"/>
          <w:sz w:val="24"/>
        </w:rPr>
        <w:t>Restatement</w:t>
      </w:r>
      <w:r>
        <w:rPr>
          <w:rFonts w:ascii="Times New Roman;sans-serif" w:hAnsi="Times New Roman;sans-serif"/>
          <w:b w:val="false"/>
          <w:color w:val="0000FF"/>
          <w:sz w:val="24"/>
          <w:u w:val="single"/>
        </w:rPr>
        <w:t>Second Amendment Effective</w:t>
      </w:r>
      <w:r>
        <w:rPr>
          <w:color w:val="0000FF"/>
        </w:rPr>
        <w:t xml:space="preserve"> </w:t>
      </w:r>
      <w:r>
        <w:rPr>
          <w:rFonts w:ascii="Times New Roman;sans-serif" w:hAnsi="Times New Roman;sans-serif"/>
          <w:b w:val="false"/>
          <w:color w:val="000000"/>
          <w:sz w:val="24"/>
        </w:rPr>
        <w:t xml:space="preserve">Date and described in </w:t>
      </w:r>
      <w:r>
        <w:rPr>
          <w:rFonts w:ascii="Times New Roman;sans-serif" w:hAnsi="Times New Roman;sans-serif"/>
          <w:b w:val="false"/>
          <w:color w:val="000000"/>
          <w:sz w:val="24"/>
          <w:u w:val="single"/>
        </w:rPr>
        <w:t>Schedule 6.22</w:t>
      </w:r>
      <w:r>
        <w:rPr>
          <w:color w:val="000000"/>
        </w:rPr>
        <w:t xml:space="preserve"> </w:t>
      </w:r>
      <w:r>
        <w:rPr>
          <w:rFonts w:ascii="Times New Roman;sans-serif" w:hAnsi="Times New Roman;sans-serif"/>
          <w:b w:val="false"/>
          <w:color w:val="000000"/>
          <w:sz w:val="24"/>
        </w:rPr>
        <w:t>and replacements, renewals, refinancings or extensions thereof (including the amount of any related reasonable transaction fees and expenses incurred in connection therewith) that do not increase the principal amount of the obligation secured thereby to the extent such obligations are permitted under Section 6.17;</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(g)Liens on insurance policies and the proceeds thereof in connection with Financed Premiums;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(h)Subject to the limitation set forth in Section 6.17(c), (i) Liens arising in connection with Capitalized Leases (and attaching only to the property being leased) and</w:t>
      </w:r>
    </w:p>
    <w:p>
      <w:pPr>
        <w:pStyle w:val="TextBody"/>
        <w:bidi w:val="0"/>
        <w:spacing w:lineRule="auto" w:line="288" w:before="0" w:after="0"/>
        <w:jc w:val="left"/>
        <w:rPr/>
      </w:pPr>
      <w:r>
        <w:rPr>
          <w:rFonts w:ascii="Times New Roman;sans-serif" w:hAnsi="Times New Roman;sans-serif"/>
          <w:b w:val="false"/>
          <w:color w:val="000000"/>
          <w:sz w:val="24"/>
        </w:rPr>
        <w:t xml:space="preserve">(ii) Liens that constitute purchase money security interests on any property securing debt incurred for the purpose of financing all or any part of the cost of acquiring such property,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Lien attaches to such property within 20 days of the acquisition thereof and attaches solely to the property so acquired and products and proceeds thereof, and the Indebtedness secured by any such Lien does not exceed 100% of the fair market value of the property encumbered thereby as of the date of purchase of such property;</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Attachments, appeal bonds, judgments, and other similar Liens, for sums not exceeding $1,000,000 in the aggregate arising in connection with court proceedings, provided the execution or other enforcement of such Liens is effectively stayed and the claims secured thereby are being actively contested in good faith and by appropriate proceedings;</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(j)Informational UCC financing statements filed with respect to operating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15975"/>
                <wp:effectExtent l="0" t="0" r="0" b="0"/>
                <wp:wrapNone/>
                <wp:docPr id="105" name="Frame10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(k)Any interest or title of a lessor, sublessor, licensor or sublicensor under any operating lease or non-exclusive license permitted by this Agreement;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(l)Licenses, sublicenses, leases, or subleases of real property or intellectual property granted by, the Borrower or Subsidiary (as lessor or licensor) to third Persons in the ordinary course of business consistent with past practices;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(m)Liens in favor of customs and revenue authorities that secure payment of customs duties in connection with the importation of goods;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(n)Liens incurred in connection with any transfer of an interest (whether characterized as a grant of a security interest or the transfer of ownership) in accounts or notes receivable or related Property as part of a Qualified Receivables Transaction; </w:t>
      </w:r>
      <w:r>
        <w:rPr>
          <w:rFonts w:ascii="Times New Roman;sans-serif" w:hAnsi="Times New Roman;sans-serif"/>
          <w:b w:val="false"/>
          <w:strike/>
          <w:color w:val="FF0000"/>
          <w:sz w:val="24"/>
        </w:rPr>
        <w:t>and</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(o)Liens in favor of the Administrative Agent, for the benefit of the Lenders, granted pursuant to any Collateral Document</w:t>
      </w:r>
      <w:r>
        <w:rPr>
          <w:rFonts w:ascii="Times New Roman;sans-serif" w:hAnsi="Times New Roman;sans-serif"/>
          <w:b w:val="false"/>
          <w:color w:val="FF0000"/>
          <w:sz w:val="24"/>
        </w:rPr>
        <w:t>.</w:t>
      </w:r>
      <w:r>
        <w:rPr>
          <w:rFonts w:ascii="Times New Roman;sans-serif" w:hAnsi="Times New Roman;sans-serif"/>
          <w:b w:val="false"/>
          <w:color w:val="0000FF"/>
          <w:sz w:val="24"/>
          <w:u w:val="single"/>
        </w:rPr>
        <w:t>; and</w:t>
      </w:r>
    </w:p>
    <w:p>
      <w:pPr>
        <w:pStyle w:val="TextBody"/>
        <w:bidi w:val="0"/>
        <w:spacing w:lineRule="auto" w:line="288" w:before="241" w:after="283"/>
        <w:ind w:left="0" w:right="0" w:firstLine="720"/>
        <w:jc w:val="left"/>
        <w:rPr/>
      </w:pPr>
      <w:r>
        <w:rPr>
          <w:rFonts w:ascii="Times New Roman;sans-serif" w:hAnsi="Times New Roman;sans-serif"/>
          <w:b w:val="false"/>
          <w:color w:val="0000FF"/>
          <w:sz w:val="24"/>
        </w:rPr>
        <w:t>(p)</w:t>
      </w:r>
      <w:r>
        <w:rPr>
          <w:rFonts w:ascii="Times New Roman;sans-serif" w:hAnsi="Times New Roman;sans-serif"/>
          <w:b w:val="false"/>
          <w:color w:val="0000FF"/>
          <w:sz w:val="24"/>
          <w:u w:val="single"/>
        </w:rPr>
        <w:t>Liens incurred in connection with Indebtedness described in Section</w:t>
      </w:r>
      <w:r>
        <w:rPr>
          <w:color w:val="0000FF"/>
        </w:rPr>
        <w:t xml:space="preserve"> </w:t>
      </w:r>
      <w:r>
        <w:rPr>
          <w:rFonts w:ascii="Times New Roman;sans-serif" w:hAnsi="Times New Roman;sans-serif"/>
          <w:b w:val="false"/>
          <w:color w:val="0000FF"/>
          <w:sz w:val="24"/>
          <w:u w:val="single"/>
        </w:rPr>
        <w:t>6.17(p) hereof.</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Transactions with Affiliates</w:t>
      </w:r>
      <w:r>
        <w:rPr>
          <w:rFonts w:ascii="Times New Roman;sans-serif" w:hAnsi="Times New Roman;sans-serif"/>
          <w:b w:val="false"/>
          <w:color w:val="000000"/>
          <w:sz w:val="24"/>
        </w:rPr>
        <w:t xml:space="preserve">. Neither the Borrower, nor any Subsidiary shall enter into any transaction with any of its Affiliates, except upon fair and reasonable terms no less favorable than those it would obtain in a comparable arm’s-length transaction with a Person not an Affiliate;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this Section shall not prohibit or restrict transactions between or among the Borrower and the Subsidiaries to the extent not prohibited by this Agreement.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Subordinated Indebtedness</w:t>
      </w:r>
      <w:r>
        <w:rPr>
          <w:rFonts w:ascii="Times New Roman;sans-serif" w:hAnsi="Times New Roman;sans-serif"/>
          <w:b w:val="false"/>
          <w:color w:val="000000"/>
          <w:sz w:val="24"/>
        </w:rPr>
        <w:t>. Except as permitted in the applicable subordination agreement, the Borrower will not, and will not permit any Subsidiary to, make any amendment or modification to the indenture, note or other agreement evidencing or governing any Subordinated Indebtedness, or directly or indirectly voluntarily prepay, defease or in substance defease, purchase, redeem, retire or otherwise acquire, any Subordinated Indebtedness or take any other actions in contravention or violation of any subordination agreement related to such Subordinated Indebtedness.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ERISA Plans</w:t>
      </w:r>
      <w:r>
        <w:rPr>
          <w:rFonts w:ascii="Times New Roman;sans-serif" w:hAnsi="Times New Roman;sans-serif"/>
          <w:b w:val="false"/>
          <w:color w:val="000000"/>
          <w:sz w:val="24"/>
        </w:rPr>
        <w:t>. Neither the Borrower nor Subsidiaries shall permit (a) any event to occur or condition to exist that would permit any Plan to terminate under any circumstances that would cause the Lien provided for in § 4068 of ERISA to attach to any assets of any of the Borrower and the Subsidiaries, (b) a Plan subject to Title IV of ERISA to be less than 70% funded as measured on the last day of the applicable Plan year based on the certification prepared by the Plan’s actuary regarding funding (referred to as the AFTAP certification) and (c) a failure to make a minimum funding contribution to a Plan required under § 302 of ERISA and § 412 of the Code to the extent such failure could reasonably be expected to result in a Material Adverse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1.26.</w:t>
      </w:r>
      <w:r>
        <w:rPr>
          <w:rFonts w:ascii="Times New Roman;sans-serif" w:hAnsi="Times New Roman;sans-serif"/>
          <w:b w:val="false"/>
          <w:color w:val="000000"/>
          <w:sz w:val="24"/>
          <w:u w:val="single"/>
        </w:rPr>
        <w:t>Change in Nature of Business</w:t>
      </w:r>
      <w:r>
        <w:rPr>
          <w:rFonts w:ascii="Times New Roman;sans-serif" w:hAnsi="Times New Roman;sans-serif"/>
          <w:b w:val="false"/>
          <w:color w:val="000000"/>
          <w:sz w:val="24"/>
        </w:rPr>
        <w:t>. Neither the Borrower nor the Subsidiaries shall make any material change in the nature of its business as carried on at the Restatement Date, businesses reasonably related thereto and logical extensions thereof, without the prior consent of the Required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15975"/>
                <wp:effectExtent l="0" t="0" r="0" b="0"/>
                <wp:wrapNone/>
                <wp:docPr id="106" name="Frame10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rFonts w:ascii="Times New Roman;sans-serif" w:hAnsi="Times New Roman;sans-serif"/>
          <w:b w:val="false"/>
          <w:color w:val="000000"/>
          <w:sz w:val="24"/>
        </w:rPr>
        <w:t>1.27.</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After the Restatement Date, neither the Borrower nor the Subsidiaries shall form or acquire any corporation, limited liability company or other entity that would thereby become a Subsidiary of the Borrower, except for (a) Wholly-Owned Subsidiaries formed or acquired by the Borrower or any Subsidiary in connection with Permitted Acquisitions, and (b) any Wholly-Owned Subsidiaries for which the applicable documents required by</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6.5 have been executed and delivered to the Administrative Agent in accordance with the terms of such Section.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1.28.</w:t>
      </w:r>
      <w:r>
        <w:rPr>
          <w:rFonts w:ascii="Times New Roman;sans-serif" w:hAnsi="Times New Roman;sans-serif"/>
          <w:b w:val="false"/>
          <w:color w:val="000000"/>
          <w:sz w:val="24"/>
          <w:u w:val="single"/>
        </w:rPr>
        <w:t>Negative Pledges; Subsidiary Restrictions</w:t>
      </w:r>
      <w:r>
        <w:rPr>
          <w:rFonts w:ascii="Times New Roman;sans-serif" w:hAnsi="Times New Roman;sans-serif"/>
          <w:b w:val="false"/>
          <w:color w:val="000000"/>
          <w:sz w:val="24"/>
        </w:rPr>
        <w:t>. Neither the Borrower nor the Subsidiaries shall enter into any agreement, bond, note or other instrument with or for the benefit of any Person other than the Lenders that would (a) prohibit any of the Borrower and the Subsidiaries from granting, or otherwise limit the ability of such Person to grant, to the Lenders any Lien on any of the assets or properties of such Person, or (b) require any of the Borrower and the Subsidiaries to grant a Lien to any other Person if such Borrower or such Subsidiary grants any Lien to the Lenders, in each case except for any such agreement, bond, note or other instrument interest with respect to the property subject to purchase money financings and Capitalized Lease agreements permitted hereby. Neither the Borrower nor the Subsidiaries shall place or allow any restriction, directly or indirectly, on the ability of the Borrower or Subsidiary to</w:t>
      </w:r>
    </w:p>
    <w:p>
      <w:pPr>
        <w:pStyle w:val="TextBody"/>
        <w:bidi w:val="0"/>
        <w:spacing w:lineRule="auto" w:line="288" w:before="1" w:after="283"/>
        <w:ind w:left="0" w:right="0" w:hanging="339"/>
        <w:jc w:val="left"/>
        <w:rPr>
          <w:rFonts w:ascii="Times New Roman;sans-serif" w:hAnsi="Times New Roman;sans-serif"/>
          <w:b w:val="false"/>
          <w:color w:val="000000"/>
          <w:sz w:val="24"/>
        </w:rPr>
      </w:pPr>
      <w:r>
        <w:rPr>
          <w:rFonts w:ascii="Times New Roman;sans-serif" w:hAnsi="Times New Roman;sans-serif"/>
          <w:b w:val="false"/>
          <w:color w:val="000000"/>
          <w:sz w:val="24"/>
        </w:rPr>
        <w:t>(x)pay dividends or any distributions on or with respect to such Person’s Equity Interests 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(y)make loans or other cash payments to the Borrower, in each case except for (i) restrictions placed or allowed by any Person with respect to the property subject to purchase money financings and Capitalized Lease agreements permitted hereunder and (ii) customary restrictions and conditions in documents evidencing Qualified Receivables Transactions.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1.29.</w:t>
      </w:r>
      <w:r>
        <w:rPr>
          <w:rFonts w:ascii="Times New Roman;sans-serif" w:hAnsi="Times New Roman;sans-serif"/>
          <w:b w:val="false"/>
          <w:color w:val="000000"/>
          <w:sz w:val="24"/>
          <w:u w:val="single"/>
        </w:rPr>
        <w:t>Restricted Payments</w:t>
      </w:r>
      <w:r>
        <w:rPr>
          <w:rFonts w:ascii="Times New Roman;sans-serif" w:hAnsi="Times New Roman;sans-serif"/>
          <w:b w:val="false"/>
          <w:color w:val="000000"/>
          <w:sz w:val="24"/>
        </w:rPr>
        <w:t xml:space="preserve">. The Borrower shall not, and shall not permit any of its Subsidiaries to, pay or commit themselves to pay any Restricted Payments at any time;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(a)any Subsidiary may pay or commit itself to pay a dividend at any time to the Borrower or a Subsidiary that is a Guarantor; and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(b)so long as no Default or Event of Default then exists or would exist as a result thereof, the Borrower shall be permitted to make repurchases of Equity Interests of the Borrower, make distributions and pay dividends on its Equity Interests.</w:t>
      </w:r>
    </w:p>
    <w:p>
      <w:pPr>
        <w:pStyle w:val="TextBody"/>
        <w:bidi w:val="0"/>
        <w:spacing w:lineRule="auto" w:line="288" w:before="240" w:after="283"/>
        <w:ind w:left="0" w:right="0" w:firstLine="720"/>
        <w:jc w:val="both"/>
        <w:rPr/>
      </w:pPr>
      <w:r>
        <w:rPr>
          <w:rFonts w:ascii="Times New Roman;sans-serif" w:hAnsi="Times New Roman;sans-serif"/>
          <w:b w:val="false"/>
          <w:color w:val="0000FF"/>
          <w:sz w:val="24"/>
        </w:rPr>
        <w:t>(c)</w:t>
      </w:r>
      <w:r>
        <w:rPr>
          <w:rFonts w:ascii="Times New Roman;sans-serif" w:hAnsi="Times New Roman;sans-serif"/>
          <w:b w:val="false"/>
          <w:color w:val="0000FF"/>
          <w:sz w:val="24"/>
          <w:u w:val="single"/>
        </w:rPr>
        <w:t>to the extent the Permitted Earn-out Payment Conditions are satisfied, the</w:t>
      </w:r>
      <w:r>
        <w:rPr>
          <w:color w:val="0000FF"/>
        </w:rPr>
        <w:t xml:space="preserve"> </w:t>
      </w:r>
      <w:r>
        <w:rPr>
          <w:rFonts w:ascii="Times New Roman;sans-serif" w:hAnsi="Times New Roman;sans-serif"/>
          <w:b w:val="false"/>
          <w:color w:val="0000FF"/>
          <w:sz w:val="24"/>
          <w:u w:val="single"/>
        </w:rPr>
        <w:t>Borrower may pay the Permitted Earn-out Payments to the respective Persons as required</w:t>
      </w:r>
      <w:r>
        <w:rPr>
          <w:color w:val="0000FF"/>
        </w:rPr>
        <w:t xml:space="preserve"> </w:t>
      </w:r>
      <w:r>
        <w:rPr>
          <w:rFonts w:ascii="Times New Roman;sans-serif" w:hAnsi="Times New Roman;sans-serif"/>
          <w:b w:val="false"/>
          <w:color w:val="0000FF"/>
          <w:sz w:val="24"/>
          <w:u w:val="single"/>
        </w:rPr>
        <w:t>under the applicable purchase agreements.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1.30.</w:t>
      </w:r>
      <w:r>
        <w:rPr>
          <w:rFonts w:ascii="Times New Roman;sans-serif" w:hAnsi="Times New Roman;sans-serif"/>
          <w:b w:val="false"/>
          <w:color w:val="000000"/>
          <w:sz w:val="24"/>
          <w:u w:val="single"/>
        </w:rPr>
        <w:t>Accounting Changes; Organizational Documents</w:t>
      </w:r>
      <w:r>
        <w:rPr>
          <w:rFonts w:ascii="Times New Roman;sans-serif" w:hAnsi="Times New Roman;sans-serif"/>
          <w:b w:val="false"/>
          <w:color w:val="000000"/>
          <w:sz w:val="24"/>
        </w:rPr>
        <w:t>. Neither the Borrower nor the Subsidiaries shall (a) make any significant change in accounting treatment or reporting practices, except as permitted by GAAP (or, as to Foreign Subsidiaries, as required by generally accepted accounting principles of the jurisdiction of organization of such Foreign Subsidiary) without the prior consent of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 which consent shall not be unreasonably withheld or change its Fiscal Year or the fiscal year of any of its Subsidiaries, 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amend, modify or change any of its organizational or constituent documents in any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15975"/>
                <wp:effectExtent l="0" t="0" r="0" b="0"/>
                <wp:wrapNone/>
                <wp:docPr id="107" name="Frame10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materially adverse in any respect to the rights or interests of the Lenders, other than as specifically permitted in the Collateral Documents or as a result of a transaction permitted by Section 6.18.</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1.31.</w:t>
      </w:r>
      <w:r>
        <w:rPr>
          <w:rFonts w:ascii="Times New Roman;sans-serif" w:hAnsi="Times New Roman;sans-serif"/>
          <w:b w:val="false"/>
          <w:color w:val="000000"/>
          <w:sz w:val="24"/>
          <w:u w:val="single"/>
        </w:rPr>
        <w:t>Financial Covenants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1.31.1</w:t>
      </w:r>
      <w:r>
        <w:rPr>
          <w:rFonts w:ascii="Times New Roman;sans-serif" w:hAnsi="Times New Roman;sans-serif"/>
          <w:b w:val="false"/>
          <w:color w:val="000000"/>
          <w:sz w:val="24"/>
          <w:u w:val="single"/>
        </w:rPr>
        <w:t>Fixed Charge Coverage Ratio</w:t>
      </w:r>
      <w:r>
        <w:rPr>
          <w:rFonts w:ascii="Times New Roman;sans-serif" w:hAnsi="Times New Roman;sans-serif"/>
          <w:b w:val="false"/>
          <w:color w:val="000000"/>
          <w:sz w:val="24"/>
        </w:rPr>
        <w:t>. The Borrower and the Subsidiaries will not permit the Fixed Charge Coverage Ratio, as of the last day of any Fiscal Quarter for the four consecutive Fiscal Quarters ending on that date, to be less than 1.15 to 1.00.</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1.31.2</w:t>
      </w:r>
      <w:r>
        <w:rPr>
          <w:rFonts w:ascii="Times New Roman;sans-serif" w:hAnsi="Times New Roman;sans-serif"/>
          <w:b w:val="false"/>
          <w:color w:val="000000"/>
          <w:sz w:val="24"/>
          <w:u w:val="single"/>
        </w:rPr>
        <w:t>Total Cash Flow Leverage Ratio</w:t>
      </w:r>
      <w:r>
        <w:rPr>
          <w:rFonts w:ascii="Times New Roman;sans-serif" w:hAnsi="Times New Roman;sans-serif"/>
          <w:b w:val="false"/>
          <w:color w:val="000000"/>
          <w:sz w:val="24"/>
        </w:rPr>
        <w:t>. The Borrower and the Subsidiaries will not permit the Total Cash Flow Leverage Ratio, as of the last day of any Fiscal Quarter for the four consecutive Fiscal Quarters ending on that date, to be greater than or equal to</w:t>
      </w:r>
    </w:p>
    <w:p>
      <w:pPr>
        <w:pStyle w:val="TextBody"/>
        <w:bidi w:val="0"/>
        <w:spacing w:lineRule="auto" w:line="288" w:before="0" w:after="0"/>
        <w:jc w:val="left"/>
        <w:rPr/>
      </w:pPr>
      <w:r>
        <w:rPr>
          <w:rFonts w:ascii="Times New Roman;sans-serif" w:hAnsi="Times New Roman;sans-serif"/>
          <w:b w:val="false"/>
          <w:strike/>
          <w:color w:val="FF0000"/>
          <w:sz w:val="24"/>
        </w:rPr>
        <w:t>3.0</w:t>
      </w:r>
      <w:r>
        <w:rPr>
          <w:rFonts w:ascii="Times New Roman;sans-serif" w:hAnsi="Times New Roman;sans-serif"/>
          <w:b w:val="false"/>
          <w:color w:val="0000FF"/>
          <w:sz w:val="24"/>
          <w:u w:val="single"/>
        </w:rPr>
        <w:t>3.5</w:t>
      </w:r>
      <w:r>
        <w:rPr>
          <w:color w:val="0000FF"/>
        </w:rPr>
        <w:t xml:space="preserve"> </w:t>
      </w:r>
      <w:r>
        <w:rPr>
          <w:rFonts w:ascii="Times New Roman;sans-serif" w:hAnsi="Times New Roman;sans-serif"/>
          <w:b w:val="false"/>
          <w:color w:val="000000"/>
          <w:sz w:val="24"/>
        </w:rPr>
        <w:t>to 1.0</w:t>
      </w:r>
      <w:r>
        <w:rPr>
          <w:rFonts w:ascii="Times New Roman;sans-serif" w:hAnsi="Times New Roman;sans-serif"/>
          <w:b w:val="false"/>
          <w:color w:val="FF0000"/>
          <w:sz w:val="24"/>
        </w:rPr>
        <w:t>.</w:t>
      </w:r>
      <w:r>
        <w:rPr>
          <w:rFonts w:ascii="Times New Roman;sans-serif" w:hAnsi="Times New Roman;sans-serif"/>
          <w:b w:val="false"/>
          <w:color w:val="0000FF"/>
          <w:sz w:val="24"/>
          <w:u w:val="single"/>
        </w:rPr>
        <w:t>; provided, that, on or before the date of any Permitted Acquisition (or later at</w:t>
      </w:r>
      <w:r>
        <w:rPr>
          <w:color w:val="0000FF"/>
        </w:rPr>
        <w:t xml:space="preserve"> </w:t>
      </w:r>
      <w:r>
        <w:rPr>
          <w:rFonts w:ascii="Times New Roman;sans-serif" w:hAnsi="Times New Roman;sans-serif"/>
          <w:b w:val="false"/>
          <w:color w:val="0000FF"/>
          <w:sz w:val="24"/>
          <w:u w:val="single"/>
        </w:rPr>
        <w:t>the sole discretion of the Administrative Agent) the Borrower may notify the</w:t>
      </w:r>
      <w:r>
        <w:rPr>
          <w:color w:val="0000FF"/>
        </w:rPr>
        <w:t xml:space="preserve"> </w:t>
      </w:r>
      <w:r>
        <w:rPr>
          <w:rFonts w:ascii="Times New Roman;sans-serif" w:hAnsi="Times New Roman;sans-serif"/>
          <w:b w:val="false"/>
          <w:color w:val="0000FF"/>
          <w:sz w:val="24"/>
          <w:u w:val="single"/>
        </w:rPr>
        <w:t>Administrative Agent that it is electing to increase the Total Cash Flow Leverage Ratio</w:t>
      </w:r>
      <w:r>
        <w:rPr>
          <w:color w:val="0000FF"/>
        </w:rPr>
        <w:t xml:space="preserve"> </w:t>
      </w:r>
      <w:r>
        <w:rPr>
          <w:rFonts w:ascii="Times New Roman;sans-serif" w:hAnsi="Times New Roman;sans-serif"/>
          <w:b w:val="false"/>
          <w:color w:val="0000FF"/>
          <w:sz w:val="24"/>
          <w:u w:val="single"/>
        </w:rPr>
        <w:t>threshold under this Section 6.31.2 to be less than or equal to 4.0 to 1.0, for the Fiscal</w:t>
      </w:r>
      <w:r>
        <w:rPr>
          <w:color w:val="0000FF"/>
        </w:rPr>
        <w:t xml:space="preserve"> </w:t>
      </w:r>
      <w:r>
        <w:rPr>
          <w:rFonts w:ascii="Times New Roman;sans-serif" w:hAnsi="Times New Roman;sans-serif"/>
          <w:b w:val="false"/>
          <w:color w:val="0000FF"/>
          <w:sz w:val="24"/>
          <w:u w:val="single"/>
        </w:rPr>
        <w:t>Quarter in which the Permitted Acquisition is consummated and through the two</w:t>
      </w:r>
      <w:r>
        <w:rPr>
          <w:color w:val="0000FF"/>
        </w:rPr>
        <w:t xml:space="preserve"> </w:t>
      </w:r>
      <w:r>
        <w:rPr>
          <w:rFonts w:ascii="Times New Roman;sans-serif" w:hAnsi="Times New Roman;sans-serif"/>
          <w:b w:val="false"/>
          <w:color w:val="0000FF"/>
          <w:sz w:val="24"/>
          <w:u w:val="single"/>
        </w:rPr>
        <w:t>consecutive full Fiscal Quarters thereafter (the “Leverage Increase Election”); provided</w:t>
      </w:r>
      <w:r>
        <w:rPr>
          <w:color w:val="0000FF"/>
        </w:rPr>
        <w:t xml:space="preserve"> </w:t>
      </w:r>
      <w:r>
        <w:rPr>
          <w:rFonts w:ascii="Times New Roman;sans-serif" w:hAnsi="Times New Roman;sans-serif"/>
          <w:b w:val="false"/>
          <w:color w:val="0000FF"/>
          <w:sz w:val="24"/>
          <w:u w:val="single"/>
        </w:rPr>
        <w:t>that only two (2) Leverage Increase Elections may occur during the term of this</w:t>
      </w:r>
      <w:r>
        <w:rPr>
          <w:color w:val="0000FF"/>
        </w:rPr>
        <w:t xml:space="preserve"> </w:t>
      </w:r>
      <w:r>
        <w:rPr>
          <w:rFonts w:ascii="Times New Roman;sans-serif" w:hAnsi="Times New Roman;sans-serif"/>
          <w:b w:val="false"/>
          <w:color w:val="0000FF"/>
          <w:sz w:val="24"/>
          <w:u w:val="single"/>
        </w:rPr>
        <w:t>Agreement.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1.32.</w:t>
      </w:r>
      <w:r>
        <w:rPr>
          <w:rFonts w:ascii="Times New Roman;sans-serif" w:hAnsi="Times New Roman;sans-serif"/>
          <w:b w:val="false"/>
          <w:color w:val="000000"/>
          <w:sz w:val="24"/>
          <w:u w:val="single"/>
        </w:rPr>
        <w:t>Sale and Leaseback Transactions</w:t>
      </w:r>
      <w:r>
        <w:rPr>
          <w:rFonts w:ascii="Times New Roman;sans-serif" w:hAnsi="Times New Roman;sans-serif"/>
          <w:b w:val="false"/>
          <w:color w:val="000000"/>
          <w:sz w:val="24"/>
        </w:rPr>
        <w:t>. The Borrower will not, and will not permit any Subsidiary to, enter into any Sale and Leaseback Transaction.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1.33.</w:t>
      </w:r>
      <w:r>
        <w:rPr>
          <w:rFonts w:ascii="Times New Roman;sans-serif" w:hAnsi="Times New Roman;sans-serif"/>
          <w:b w:val="false"/>
          <w:strike/>
          <w:color w:val="FF0000"/>
          <w:sz w:val="24"/>
        </w:rPr>
        <w:t>Amegy Account</w:t>
      </w:r>
      <w:r>
        <w:rPr>
          <w:rFonts w:ascii="Times New Roman;sans-serif" w:hAnsi="Times New Roman;sans-serif"/>
          <w:b w:val="false"/>
          <w:i/>
          <w:color w:val="0000FF"/>
          <w:sz w:val="24"/>
        </w:rPr>
        <w:t>Reserved</w:t>
      </w:r>
      <w:r>
        <w:rPr>
          <w:rFonts w:ascii="Times New Roman;sans-serif" w:hAnsi="Times New Roman;sans-serif"/>
          <w:b w:val="false"/>
          <w:strike/>
          <w:color w:val="FF0000"/>
          <w:sz w:val="24"/>
        </w:rPr>
        <w:t>. The Borrower will not, and will not permit any</w:t>
      </w:r>
      <w:r>
        <w:rPr>
          <w:color w:val="FF0000"/>
        </w:rPr>
        <w:t xml:space="preserve"> </w:t>
      </w:r>
      <w:r>
        <w:rPr>
          <w:rFonts w:ascii="Times New Roman;sans-serif" w:hAnsi="Times New Roman;sans-serif"/>
          <w:b w:val="false"/>
          <w:strike/>
          <w:color w:val="FF0000"/>
          <w:sz w:val="24"/>
        </w:rPr>
        <w:t>Subsidiary to, maintain an average daily balance (determined for the most recently completed</w:t>
      </w:r>
      <w:r>
        <w:rPr>
          <w:color w:val="FF0000"/>
        </w:rPr>
        <w:t xml:space="preserve"> </w:t>
      </w:r>
      <w:r>
        <w:rPr>
          <w:rFonts w:ascii="Times New Roman;sans-serif" w:hAnsi="Times New Roman;sans-serif"/>
          <w:b w:val="false"/>
          <w:strike/>
          <w:color w:val="FF0000"/>
          <w:sz w:val="24"/>
        </w:rPr>
        <w:t>calendar month) in the Amegy Account exceeding $500,000.</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1.34.</w:t>
      </w:r>
      <w:r>
        <w:rPr>
          <w:rFonts w:ascii="Times New Roman;sans-serif" w:hAnsi="Times New Roman;sans-serif"/>
          <w:b w:val="false"/>
          <w:color w:val="000000"/>
          <w:sz w:val="24"/>
          <w:u w:val="single"/>
        </w:rPr>
        <w:t>Loan Proceeds</w:t>
      </w:r>
      <w:r>
        <w:rPr>
          <w:rFonts w:ascii="Times New Roman;sans-serif" w:hAnsi="Times New Roman;sans-serif"/>
          <w:b w:val="false"/>
          <w:color w:val="000000"/>
          <w:sz w:val="24"/>
        </w:rPr>
        <w:t>. The Borrower will not, and will not permit any Subsidiary to, use any part of the proceeds of any Loan or Advances directly or indirectly, and whether immediately, incidentally or ultimately, (a) to purchase or carry margin stock (as defined in Regulation U of the Board) or to extend credit to others for the purpose of purchasing or carrying margin stock or to refund Indebtedness originally incurred for such purpose or (b) for any purpose that entails a violation of, or that is inconsistent with, the provisions of Regulations U or X of the Board of Governors of the Federal Reserve System as from time to time in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1.35.</w:t>
      </w:r>
      <w:r>
        <w:rPr>
          <w:rFonts w:ascii="Times New Roman;sans-serif" w:hAnsi="Times New Roman;sans-serif"/>
          <w:b w:val="false"/>
          <w:color w:val="000000"/>
          <w:sz w:val="24"/>
          <w:u w:val="single"/>
        </w:rPr>
        <w:t>Keepwell</w:t>
      </w:r>
      <w:r>
        <w:rPr>
          <w:rFonts w:ascii="Times New Roman;sans-serif" w:hAnsi="Times New Roman;sans-serif"/>
          <w:b w:val="false"/>
          <w:color w:val="000000"/>
          <w:sz w:val="24"/>
        </w:rPr>
        <w:t>. The Borrower hereby absolutely, unconditionally and irrevocably undertakes to provide such funds or other support, or cause its Subsidiaries to provide such funds or other support, as may be needed from time to time by each Guarantor to honor all of its obligations under this Agreement and any Guaranty in respect of any Swap Obligations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the Borrower and the Guarantors shall only be liable under this Section 6.35 for the maximum amount of such liability that can be hereby incurred without rendering its obligations under this Section 6.35, or otherwise under the applicable Guaranty, voidable under applicable law relating to fraudulent conveyance, voidable transaction, or fraudulent transfer, and not for any greater amount). The obligations of the Borrower and the Guarantors under this Section shall remain in full force and effect until irrevocable payment in full of the Obligations (other than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15975"/>
                <wp:effectExtent l="0" t="0" r="0" b="0"/>
                <wp:wrapNone/>
                <wp:docPr id="108" name="Frame10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inchoate indemnity obligations). The Borrower intends that this Section 6.35 constitute, and this Section 6.35 shall be deemed to constitute, a “keepwell, support, or other agreement” for the benefit of each Guarantor for all purposes of Section 1a(18)(A)(v)(II) of the Commodity Exchange Act. Notwithstanding anything herein to the contrary, if a Guarantor or a Swap Counterparty makes a written representation to the Administrative Agent or a Lender in connection with a Guaranty, a swap, or any master agreement governing a swap to the effect that such Guarantor is or will be an “eligible contract participant” as defined in the Commodity Exchange Act on the date the Guaranty becomes effective with respect to such swap (this date shall be the date of the execution of the swap if the corresponding Guaranty is then in effect, and otherwise it shall be the date of execution and delivery of such Guaranty unless the Guaranty specifies a subsequent effective date), and such representation proves to have been incorrect when made or deemed to have been made, the Administrative Agent and each Lender reserve all of their contractual and other rights and remedies, at law or in equity, including (to the extent permitted by applicable law) the right to claim, and pursue a separate cause of action, for damages as a result of such misrepresentation, provided that such Guarantor’s liability for such damages shall not exceed the amount of the Excluded Swap Obligations with respect to such swap.</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1.36.</w:t>
      </w:r>
      <w:r>
        <w:rPr>
          <w:rFonts w:ascii="Times New Roman;sans-serif" w:hAnsi="Times New Roman;sans-serif"/>
          <w:b w:val="false"/>
          <w:color w:val="000000"/>
          <w:sz w:val="24"/>
          <w:u w:val="single"/>
        </w:rPr>
        <w:t>Anti-Money Laundering Compliance</w:t>
      </w:r>
      <w:r>
        <w:rPr>
          <w:rFonts w:ascii="Times New Roman;sans-serif" w:hAnsi="Times New Roman;sans-serif"/>
          <w:b w:val="false"/>
          <w:color w:val="000000"/>
          <w:sz w:val="24"/>
        </w:rPr>
        <w:t>. The Borrower shall, and shall cause each Subsidiary to, provide such information and take such actions as are reasonably requested by the Administrative Agent or any Lender in order to assist the Administrative Agent and the Lenders in maintaining compliance with anti-money laundering laws and regulations.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VII. DEFAULTS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occurrence of any one or more of the following events shall constitute an Event of Default: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1.1.Any representation or warranty made or deemed made by or on behalf of any of the Borrower and the Subsidiaries to the Lenders, the Administrative Agent, the LC Issuers, or the Swing Line Lender under or in connection with this Agreement, any Credit Extension or any certificate or information delivered in connection with this Agreement or any other Loan Document being false or misleading in any material respect on the date as of which made.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1.2.Nonpayment of principal of any Loan when due or nonpayment of any Reimbursement Obligation after the same becomes due in accordance with Section 2.17.6, or nonpayment of interest upon any Loan or of any Revolving Commitment Fee, LC Fronting Fee, LC Fee or other obligations under any of the Loan Documents within three days after the same becomes due.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1.3.The breach by the Borrower or any Subsidiary of any of the terms or provisions of Section 6.2, 6.3, 6.4, 6.5, 6.6, 6.7 (only with respect to failure to maintain insurance), 6.16(b),</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6.16(d), 6.16(e), 6.16(f), 6.16(g), 6.17, 6.18, 6.19, 6.20, 6.21, 6.22, 6.23, 6.24, 6.25, 6.26, 6.27,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6.28, 6.29, 6.30, 6.31, 6.32, 6.34, and 6.36.</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1.4.The breach by any of the Borrower and the Subsidiaries (other than a breach that constitutes an Event of Default under another Section of this Article VII) of any of the terms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15975"/>
                <wp:effectExtent l="0" t="0" r="0" b="0"/>
                <wp:wrapNone/>
                <wp:docPr id="109" name="Frame10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provisions of this Agreement which breach is not remedied within 30 days after the earlier of</w:t>
      </w:r>
    </w:p>
    <w:p>
      <w:pPr>
        <w:pStyle w:val="TextBody"/>
        <w:bidi w:val="0"/>
        <w:spacing w:lineRule="auto" w:line="288" w:before="0" w:after="0"/>
        <w:jc w:val="left"/>
        <w:rPr/>
      </w:pPr>
      <w:r>
        <w:rPr>
          <w:rFonts w:ascii="Times New Roman;sans-serif" w:hAnsi="Times New Roman;sans-serif"/>
          <w:b w:val="false"/>
          <w:color w:val="000000"/>
          <w:sz w:val="24"/>
        </w:rPr>
        <w:t xml:space="preserve">(a) an Authorized Officer of the Borrower becomes aware thereof or (b) the Borrower receives notice of the same from Administrative Agent,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if such breach cannot reasonably be cured within such 30-day period, as determined by the Administrative Agent</w:t>
      </w:r>
      <w:r>
        <w:rPr>
          <w:strike/>
          <w:color w:val="FF0000"/>
        </w:rPr>
        <w:t xml:space="preserve"> </w:t>
      </w:r>
      <w:r>
        <w:rPr>
          <w:rFonts w:ascii="Times New Roman;sans-serif" w:hAnsi="Times New Roman;sans-serif"/>
          <w:b w:val="false"/>
          <w:strike/>
          <w:color w:val="FF0000"/>
          <w:sz w:val="24"/>
        </w:rPr>
        <w:t>and</w:t>
      </w:r>
      <w:r>
        <w:rPr>
          <w:color w:val="FF0000"/>
        </w:rPr>
        <w:t xml:space="preserve"> </w:t>
      </w:r>
      <w:r>
        <w:rPr>
          <w:rFonts w:ascii="Times New Roman;sans-serif" w:hAnsi="Times New Roman;sans-serif"/>
          <w:b w:val="false"/>
          <w:strike/>
          <w:color w:val="FF0000"/>
          <w:sz w:val="24"/>
        </w:rPr>
        <w:t>the Initial Lenders, in their</w:t>
      </w:r>
      <w:r>
        <w:rPr>
          <w:rFonts w:ascii="Times New Roman;sans-serif" w:hAnsi="Times New Roman;sans-serif"/>
          <w:b w:val="false"/>
          <w:color w:val="0000FF"/>
          <w:sz w:val="24"/>
          <w:u w:val="single"/>
        </w:rPr>
        <w:t>, in its</w:t>
      </w:r>
      <w:r>
        <w:rPr>
          <w:color w:val="0000FF"/>
        </w:rPr>
        <w:t xml:space="preserve"> </w:t>
      </w:r>
      <w:r>
        <w:rPr>
          <w:rFonts w:ascii="Times New Roman;sans-serif" w:hAnsi="Times New Roman;sans-serif"/>
          <w:b w:val="false"/>
          <w:color w:val="000000"/>
          <w:sz w:val="24"/>
        </w:rPr>
        <w:t>reasonable discretion, and the Borrower is diligently pursuing a remedy of such breach, the Borrower shall have a reasonable period to remedy such breach beyond such 30-day period, which shall not exceed 90 days.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1.5.(i) Failure of any of the Borrower and the Subsidiaries to pay when due any Material Indebtedness, (ii) the default by any of the Borrower and the Subsidiaries in the performance (beyond the applicable grace period with respect thereto, if any) of any term, provision or condition in any Material Indebtedness Agreement, or any other event or condition, the effect of which default, event or condition under this clause (ii) is to cause, or to permit the holder(s) of such Material Indebtedness or the lender(s) under any Material Indebtedness Agreement to cause, such Material Indebtedness to become due prior to its stated maturity or any commitment to lend under any Material Indebtedness Agreement to be terminated prior to its stated expiration date, (iii) any Material Indebtedness of any of the Borrower and the Subsidiaries being declared to be due and payable or required to be prepaid or repurchased (other than by a regularly scheduled payment) prior to the stated maturity thereof, or (iv) any of the Borrower and the Subsidiaries fails to pay, or admits in writing its inability to pay, its debts generally as they become due.</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1.6.Any of the Borrower and the Subsidiaries (i) has an order for relief entered with respect to it under the federal bankruptcy laws as now or hereafter in effect, (ii) makes an assignment for the benefit of creditors, (iii) applies for, seeks, consents to or acquiesces in the appointment of a receiver, custodian, trustee, examiner, liquidator or similar official for it or any Substantial Portion of its Property, (iv) institutes any proceeding seeking an order for relief under the federal bankruptcy laws as now or hereafter in effect, seeking to adjudicate it a bankrupt or insolvent or seeking dissolution, winding up, liquidation, reorganization, arrangement, adjustment or composition of it or its debts under any law relating to bankruptcy, insolvency or reorganization or relief of debtors or fails to file an answer or other pleading denying the material allegations of any such proceeding filed against it, (v) takes any corporate or partnership action to authorize or effect any of the foregoing actions set forth in this Section or (vi) fails to contest in good faith any appointment or proceeding described in Section 7.7.</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1.7.Without the application, approval or consent of any of the Borrower and the Subsidiaries, a receiver, trustee, examiner, liquidator or similar official is appointed for any of the Borrower and the Subsidiaries or any Substantial Portion of its Property, or a proceeding described in Section 7.6(iv) is instituted against any of the Borrower and the Subsidiaries, and such appointment continues undischarged or such proceeding continues undismissed or unstayed for a period of 60 consecutive days.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1.8.Any court, government or governmental agency condemns, seizes or otherwise appropriates or takes custody or control of all or any portion of the Property of the Borrower and the Subsidiaries that, when taken together with all other Property of the Borrower and the Subsidiaries so condemned, seized, appropriated or taken custody or control of, during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15975"/>
                <wp:effectExtent l="0" t="0" r="0" b="0"/>
                <wp:wrapNone/>
                <wp:docPr id="110" name="Frame11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twelve-month period ending with the month in which any such action occurs, constitutes a Substantial Portion.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1.9.Any of the Borrower and the Subsidiaries fails within 60 days to pay, bond or otherwise discharge one or more (i) judgments or orders for the payment of money in excess of</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val="false"/>
          <w:strike/>
          <w:color w:val="FF0000"/>
          <w:sz w:val="24"/>
        </w:rPr>
        <w:t>2,500,000</w:t>
      </w:r>
      <w:r>
        <w:rPr>
          <w:rFonts w:ascii="Times New Roman;sans-serif" w:hAnsi="Times New Roman;sans-serif"/>
          <w:b w:val="false"/>
          <w:color w:val="0000FF"/>
          <w:sz w:val="24"/>
          <w:u w:val="single"/>
        </w:rPr>
        <w:t>5,000,000</w:t>
      </w:r>
      <w:r>
        <w:rPr>
          <w:color w:val="0000FF"/>
        </w:rPr>
        <w:t xml:space="preserve"> </w:t>
      </w:r>
      <w:r>
        <w:rPr>
          <w:rFonts w:ascii="Times New Roman;sans-serif" w:hAnsi="Times New Roman;sans-serif"/>
          <w:b w:val="false"/>
          <w:color w:val="000000"/>
          <w:sz w:val="24"/>
        </w:rPr>
        <w:t>(or the equivalent thereof in currencies other than Dollars) in the aggregate, or (ii) nonmonetary judgments or orders that, individually or in the aggregate, could reasonably be expected to have a Material Adverse Effect, which judgment(s), in each such case, is/are not stayed on appeal or otherwise being appropriately contested in good faith.</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1.10.An ERISA Event occurs that, when taken together with all other ERISA Events that have occurred on or after the Restatement Date, could reasonably be expected to result in a Material Adverse Effect.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1.11.Nonpayment by any of the Borrower and the Subsidiaries of any material Rate Management Obligation when due or the breach by any of the Borrower or any Subsidiary of any term, provision or condition in any material Rate Management Transaction that results in a termination event or permits the counterparty to otherwise terminate or unwind the Rate Management Transaction or any transaction of the type described in the definition of “Rate Management Transactions,” whether or not any Lender or Affiliate of a Lender is a party thereto.</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1.12.This Agreement, any Guaranty, any Collateral Document, or any other material Loan Document at any time ceases to be in full force and effect in any material respects or is judicially declared null and void, or the validity or enforceability thereof is contested by any of the Borrower and the Subsidiaries, or the subordination provisions of or other subordination agreement with respect to Subordinated Indebtedness is declared unenforceable or is revoked or otherwise becomes invalid other than as the result of any action or inaction by the Administrative Agent or the Lenders.</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1.13.Any Change in Control.</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1.14.The occurrence of any “Event of Default,” as defined in any Loan Document (other than this Agreement) or the breach of any of the terms or provisions of any Loan Document (other than this Agreement).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1.15.Any Guaranty fails to remain in full force or effect, any action is taken to discontinue or to assert the invalidity or unenforceability of the Guaranty as to any Guarantor, any Guarantor fails to comply with any of the terms or provisions of the Guaranty, or any Guarantor denies that it has any further liability under the Guaranty or gives notice to such effect.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1.16.Any Collateral Document necessary to create or grant a security interest in the Collateral or to perfect a security interest in the Collateral (the “</w:t>
      </w:r>
      <w:r>
        <w:rPr>
          <w:rFonts w:ascii="Times New Roman;sans-serif" w:hAnsi="Times New Roman;sans-serif"/>
          <w:b w:val="false"/>
          <w:color w:val="000000"/>
          <w:sz w:val="24"/>
          <w:u w:val="single"/>
        </w:rPr>
        <w:t>Material Collateral Documents</w:t>
      </w:r>
      <w:r>
        <w:rPr>
          <w:color w:val="000000"/>
        </w:rPr>
        <w:t>”</w:t>
      </w:r>
      <w:r>
        <w:rPr>
          <w:rFonts w:ascii="Times New Roman;sans-serif" w:hAnsi="Times New Roman;sans-serif"/>
          <w:b w:val="false"/>
          <w:color w:val="000000"/>
          <w:sz w:val="24"/>
        </w:rPr>
        <w:t>) for any reason fails to create a valid and perfected first-priority security interest in any Substantial Portion of the Collateral or any material Collateral purported to be covered thereby, except as permitted by the terms of this Agreement or as a result of the failure of the Administrative Agent or any Lender to take an action permitted under the Loan Documents necessary to create or maintain any such first-priority security interest or such Material Collateral Documents, fails to remain in full force or effect, any action is taken to discontinue or to assert the invalidity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15975"/>
                <wp:effectExtent l="0" t="0" r="0" b="0"/>
                <wp:wrapNone/>
                <wp:docPr id="111" name="Frame11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unenforceability of any Material Collateral Document, or any of the Borrower or any Domestic Subsidiaries fails to comply in any material way with any of the terms or provisions of any Material Collateral Document to which it is a party (subject to any applicable notice, grace or cure periods therein provided).</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ACCELERATION, WAIVERS, AMENDMENTS AND REMEDIES</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Acceleration; Remedies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(a)If any Event of Default described in Section 7.6 or 7.7 occurs, the obligations of the Lenders to make Loans hereunder and the obligation and power of the LC Issuers to issue Facility LCs shall automatically terminate and the Obligations (other than obligations arising under Financial Contracts or Cash Management Services Agreements, which shall be payable in accordance with the terms thereof) shall immediately become due and payable without any election or action on the part of the Administrative Agent, any LC Issuer or any Lender and the Borrower will be and become thereby unconditionally obligated, without any further notice, act or demand, to pay to the Administrative Agent an amount in immediately available funds, which funds shall be held as Cash Collateral, equal to the difference of (x) the Minimum Collateral Amount less (y) the amount of Cash Collateral at such time that is free and clear of all rights and claims of third parties and has not been applied against the Obligations (such difference, the “</w:t>
      </w:r>
      <w:r>
        <w:rPr>
          <w:rFonts w:ascii="Times New Roman;sans-serif" w:hAnsi="Times New Roman;sans-serif"/>
          <w:b w:val="false"/>
          <w:color w:val="000000"/>
          <w:sz w:val="24"/>
          <w:u w:val="single"/>
        </w:rPr>
        <w:t>Collateral Shortfall Amount</w:t>
      </w:r>
      <w:r>
        <w:rPr>
          <w:color w:val="000000"/>
        </w:rPr>
        <w:t>”</w:t>
      </w:r>
      <w:r>
        <w:rPr>
          <w:rFonts w:ascii="Times New Roman;sans-serif" w:hAnsi="Times New Roman;sans-serif"/>
          <w:b w:val="false"/>
          <w:color w:val="000000"/>
          <w:sz w:val="24"/>
        </w:rPr>
        <w:t>). If any other Event of Default occurs, the Required Lenders (or the Administrative Agent with the consent of the Required Lenders) may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 terminate or suspend the obligations of the Lenders to make Loans hereunder and the obligation and power of the LC Issuers to issue Facility LCs, or declare the Obligations (other than obligations arising under Financial Contracts or Cash Management Services Agreements) to be due and payable, or both, whereupon the Obligations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shall be deposited as Cash Collateral. With respect to Obligations arising under Financial Contracts or Cash Management Services Agreements, following the occurrence of any Event of Default, the Lender that is the Lender counterparty to such Financial Contract or the provider of such Cash Management Services Agreement may, subject to the terms of the applicable Financial Contract or Cash Management Services Agreement, declare the applicable Obligations thereunder to be due and payable, or both, whereupon such Obligations shall become immediately due and payable, without presentment, demand, protest, or notice of any kind, all of which the Borrower hereby expressly waives.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(b)If at any time while any Event of Default is continuing, the Administrative Agent </w:t>
      </w:r>
      <w:r>
        <w:rPr>
          <w:rFonts w:ascii="Times New Roman;sans-serif" w:hAnsi="Times New Roman;sans-serif"/>
          <w:b w:val="false"/>
          <w:strike/>
          <w:color w:val="FF0000"/>
          <w:sz w:val="24"/>
        </w:rPr>
        <w:t>or an Initial Lender</w:t>
      </w:r>
      <w:r>
        <w:rPr>
          <w:color w:val="FF0000"/>
        </w:rPr>
        <w:t xml:space="preserve"> </w:t>
      </w:r>
      <w:r>
        <w:rPr>
          <w:rFonts w:ascii="Times New Roman;sans-serif" w:hAnsi="Times New Roman;sans-serif"/>
          <w:b w:val="false"/>
          <w:color w:val="000000"/>
          <w:sz w:val="24"/>
        </w:rPr>
        <w:t>determines that the Collateral Shortfall Amount at such time is greater than zero, the Administrative Agent may make demand on the Borrower to pay, and the Borrower will, forthwith upon such demand and without any further notice or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15975"/>
                <wp:effectExtent l="0" t="0" r="0" b="0"/>
                <wp:wrapNone/>
                <wp:docPr id="112" name="Frame11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 to the Administrative Agent, the Collateral Shortfall Amount, which shall be held as Cash Collateral.</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may at any time or from time to time after funds are deposited as Cash Collateral apply such funds to the payment of the Obligations and any other amounts as have become due and payable by the Borrower to the Lenders or the LC Issuers under the Loan Documents, as provided in Section 8.2.</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(d)At any time while any Event of Default is continuing, neither the Borrower nor any Person claiming on behalf of or through the Borrower shall have any right to withdraw any Cash Collateral. After all of the Obligations have been indefeasibly paid in full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 and the Aggregate Commitment has been terminated, any remaining Cash Collateral shall be returned by the Administrative Agent to the Borrower or paid to whomever may be legally entitled thereto at such time.</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(e)If, within 90 days after acceleration of the maturity of the Obligations or termination of the obligations of the Lenders to make Loans and the obligation and power of the LC Issuers to issue Facility LCs hereunder as a result of any Event of Default (other than any Event of Default as described in Section 7.6 or 7.7) and before any judgment or decree for the payment of the Obligations due has been obtained or entered, the Required Lenders (in their sole discretion) so direct, the Administrative Agent shall, by notice to the Borrower, rescind and annul such acceleration and/or termination.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(f)Upon and during the continuation of any Event of Default, the Administrative Agent may, subject to the direction of the Required Lenders, exercise all rights and remedies under the Loan Documents and enforce all other rights and remedies under applicable law.</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Application of Funds</w:t>
      </w:r>
      <w:r>
        <w:rPr>
          <w:rFonts w:ascii="Times New Roman;sans-serif" w:hAnsi="Times New Roman;sans-serif"/>
          <w:b w:val="false"/>
          <w:color w:val="000000"/>
          <w:sz w:val="24"/>
        </w:rPr>
        <w:t>. After the exercise of remedies provided for in Section 8.1 (or after the Obligations have automatically become immediately due and payable as set forth in the first sentence of Section 8.1(a)), the Administrative Agent shall apply any amounts it receives on account of the Obligations in the following order: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1.2.1First, to payment of fees, indemnities, expenses and other amounts (including fees, charges and disbursements of counsel to the Administrative Agent and amounts payable under Article III) payable to the Administrative Agent in its capacity as such;</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1.2.2Second, to payment of fees, indemnities and other reimbursable expenses (other than principal, interest, LC Fees and Revolving Commitment Fees) payable to the Lenders and the LC Issuers (including fees, charges and disbursements of counsel to the respective Lenders and the LC Issuers as required by Section 9.6 and amounts payable under Article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15975"/>
                <wp:effectExtent l="0" t="0" r="0" b="0"/>
                <wp:wrapNone/>
                <wp:docPr id="113" name="Frame11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1.2.3Third, to payment of accrued and unpaid LC Fees, LC Fronting Fees, Commitment Fees and interest on the Loans and Reimbursement Obligations, ratably among the Lenders and the LC Issuers in proportion to the respective amounts described in this Section payable to them;</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1.2.4Fourth, ratably, (a) to payment of the unpaid principal of the Loans and Reimbursement Obligations, Rate Management Obligations then due and owing to the Lenders and any of the Lenders’ Affiliates, and obligations with respect to Cash Management Services provided by a Lender and then due and owing to such Lender, ratably among the Lenders in proportion to their Pro Rata Shares and (b) to the Administrative Agent to be held as Cash Collateral;</w:t>
      </w:r>
    </w:p>
    <w:p>
      <w:pPr>
        <w:pStyle w:val="TextBody"/>
        <w:bidi w:val="0"/>
        <w:spacing w:lineRule="auto" w:line="288" w:before="240" w:after="283"/>
        <w:ind w:left="0" w:right="0" w:hanging="600"/>
        <w:jc w:val="left"/>
        <w:rPr>
          <w:rFonts w:ascii="Times New Roman;sans-serif" w:hAnsi="Times New Roman;sans-serif"/>
          <w:b w:val="false"/>
          <w:color w:val="000000"/>
          <w:sz w:val="24"/>
        </w:rPr>
      </w:pPr>
      <w:r>
        <w:rPr>
          <w:rFonts w:ascii="Times New Roman;sans-serif" w:hAnsi="Times New Roman;sans-serif"/>
          <w:b w:val="false"/>
          <w:color w:val="000000"/>
          <w:sz w:val="24"/>
        </w:rPr>
        <w:t>1.2.5Fifth, to payment of all other Obligations ratably among the Lenders; and</w:t>
      </w:r>
    </w:p>
    <w:p>
      <w:pPr>
        <w:pStyle w:val="TextBody"/>
        <w:bidi w:val="0"/>
        <w:spacing w:lineRule="auto" w:line="288" w:before="240" w:after="283"/>
        <w:ind w:left="0" w:right="0" w:hanging="600"/>
        <w:jc w:val="left"/>
        <w:rPr>
          <w:rFonts w:ascii="Times New Roman;sans-serif" w:hAnsi="Times New Roman;sans-serif"/>
          <w:b w:val="false"/>
          <w:color w:val="000000"/>
          <w:sz w:val="24"/>
        </w:rPr>
      </w:pPr>
      <w:r>
        <w:rPr>
          <w:rFonts w:ascii="Times New Roman;sans-serif" w:hAnsi="Times New Roman;sans-serif"/>
          <w:b w:val="false"/>
          <w:color w:val="000000"/>
          <w:sz w:val="24"/>
        </w:rPr>
        <w:t>1.2.6Last, the balance, if any, to the Borrower or as otherwise required by law.</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The Required Lenders (or the Administrative Agent with the consent in writing of the Required Lenders) and the Borrower may enter into agreements supplemental hereto for the purpose of adding or modifying any provisions to the Loan Documents, changing in any manner the rights of the Lenders or the Borrower hereunder or waiving any Event of Default hereunder;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no such supplemental agreement shall:</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(a)without the consent of each Lender directly affected thereby, extend the final maturity of any Loan, extend the expiry date of any Facility LC to a date after the Facility Termination Date, postpone any regularly scheduled payment of principal of any Loan, forgive all or any portion of the principal amount thereof or any Reimbursement Obligation related thereto, reduce the rate or extend the time of payment of interest or fees thereon or Reimbursement Obligations related thereto or increase the amount of the Commitment of any Lender hereunder;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(b)without the consent of all of the Lenders, reduce the percentage specified in the definition of Required Lenders;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(c)without the consent of all of the Lenders, extend the Facility Termination Date, or permit the Borrower to assign its rights under this Agreement;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(d)without the consent of all of the Lenders, amend the definition of “Defaulting Lender”;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(e)without the consent of all of the Lenders, amend Section 6.4 to permit the Borrower to carry on and conduct its business in a substantially different manner or in a substantially different field of enterprise as such business is conducted on the Restatement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15975"/>
                <wp:effectExtent l="0" t="0" r="0" b="0"/>
                <wp:wrapNone/>
                <wp:docPr id="114" name="Frame11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(f)without the consent of all of the Lenders, amend Section 12.3 to add any consents, restrictions or limitations on the right of a Lender to assign its Loans or Commitments;</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(g)without the consent of all of the Lenders, amend Section 8.2, this Section</w:t>
      </w:r>
    </w:p>
    <w:p>
      <w:pPr>
        <w:pStyle w:val="TextBody"/>
        <w:bidi w:val="0"/>
        <w:spacing w:lineRule="auto" w:line="288" w:before="0" w:after="0"/>
        <w:jc w:val="left"/>
        <w:rPr/>
      </w:pPr>
      <w:r>
        <w:rPr>
          <w:rFonts w:ascii="Times New Roman;sans-serif" w:hAnsi="Times New Roman;sans-serif"/>
          <w:b w:val="false"/>
          <w:color w:val="000000"/>
          <w:sz w:val="24"/>
        </w:rPr>
        <w:t xml:space="preserve">8.3 or Section 11.2;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 </w:t>
      </w:r>
      <w:r>
        <w:rPr>
          <w:rFonts w:ascii="Times New Roman;sans-serif" w:hAnsi="Times New Roman;sans-serif"/>
          <w:b w:val="false"/>
          <w:strike/>
          <w:color w:val="FF0000"/>
          <w:sz w:val="24"/>
        </w:rPr>
        <w:t>or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(h)without the consent of all of the Lenders, release any guarantor of any Advance or, except as provided in the Collateral Documents, release all or substantially all of any Collateral</w:t>
      </w:r>
      <w:r>
        <w:rPr>
          <w:rFonts w:ascii="Times New Roman;sans-serif" w:hAnsi="Times New Roman;sans-serif"/>
          <w:b w:val="false"/>
          <w:color w:val="FF0000"/>
          <w:sz w:val="24"/>
        </w:rPr>
        <w:t>.</w:t>
      </w:r>
      <w:r>
        <w:rPr>
          <w:rFonts w:ascii="Times New Roman;sans-serif" w:hAnsi="Times New Roman;sans-serif"/>
          <w:b w:val="false"/>
          <w:color w:val="0000FF"/>
          <w:sz w:val="24"/>
          <w:u w:val="single"/>
        </w:rPr>
        <w:t>; or</w:t>
      </w:r>
    </w:p>
    <w:p>
      <w:pPr>
        <w:pStyle w:val="TextBody"/>
        <w:bidi w:val="0"/>
        <w:spacing w:lineRule="auto" w:line="288" w:before="240" w:after="283"/>
        <w:ind w:left="0" w:right="0" w:firstLine="720"/>
        <w:jc w:val="left"/>
        <w:rPr/>
      </w:pPr>
      <w:r>
        <w:rPr>
          <w:rFonts w:ascii="Times New Roman;sans-serif" w:hAnsi="Times New Roman;sans-serif"/>
          <w:b w:val="false"/>
          <w:color w:val="0000FF"/>
          <w:sz w:val="24"/>
        </w:rPr>
        <w:t>(i)</w:t>
      </w:r>
      <w:r>
        <w:rPr>
          <w:rFonts w:ascii="Times New Roman;sans-serif" w:hAnsi="Times New Roman;sans-serif"/>
          <w:b w:val="false"/>
          <w:color w:val="0000FF"/>
          <w:sz w:val="24"/>
          <w:u w:val="single"/>
        </w:rPr>
        <w:t>(x) subordinate, or have the effect of subordinating, the Obligations to any</w:t>
      </w:r>
      <w:r>
        <w:rPr>
          <w:color w:val="0000FF"/>
        </w:rPr>
        <w:t xml:space="preserve"> </w:t>
      </w:r>
      <w:r>
        <w:rPr>
          <w:rFonts w:ascii="Times New Roman;sans-serif" w:hAnsi="Times New Roman;sans-serif"/>
          <w:b w:val="false"/>
          <w:color w:val="0000FF"/>
          <w:sz w:val="24"/>
          <w:u w:val="single"/>
        </w:rPr>
        <w:t>other Indebtedness, or (z) subordinate, or have the effect of subordinating, the Liens</w:t>
      </w:r>
      <w:r>
        <w:rPr>
          <w:color w:val="0000FF"/>
        </w:rPr>
        <w:t xml:space="preserve"> </w:t>
      </w:r>
      <w:r>
        <w:rPr>
          <w:rFonts w:ascii="Times New Roman;sans-serif" w:hAnsi="Times New Roman;sans-serif"/>
          <w:b w:val="false"/>
          <w:color w:val="0000FF"/>
          <w:sz w:val="24"/>
          <w:u w:val="single"/>
        </w:rPr>
        <w:t>securing the Obligations to Liens securing other Indebtedness, in each case without the</w:t>
      </w:r>
      <w:r>
        <w:rPr>
          <w:color w:val="0000FF"/>
        </w:rPr>
        <w:t xml:space="preserve"> </w:t>
      </w:r>
      <w:r>
        <w:rPr>
          <w:rFonts w:ascii="Times New Roman;sans-serif" w:hAnsi="Times New Roman;sans-serif"/>
          <w:b w:val="false"/>
          <w:color w:val="0000FF"/>
          <w:sz w:val="24"/>
          <w:u w:val="single"/>
        </w:rPr>
        <w:t>written consent of each Lender directly and adversely affected thereby.</w:t>
      </w:r>
    </w:p>
    <w:p>
      <w:pPr>
        <w:pStyle w:val="TextBody"/>
        <w:bidi w:val="0"/>
        <w:spacing w:lineRule="auto" w:line="288" w:before="24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amendment of any provision of this Agreement relating to the Administrative Agent shall be effective without the written consent of the Administrative Agent, and no amendment of any provision relating to the LC Issuers shall be effective without the written consent of each LC Issuer. No amendment to any provision of this Agreement relating to the Swing Line Lender or any Swing Line Loans shall be effective without the written consent of the Swing Line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Preservation of Rights</w:t>
      </w:r>
      <w:r>
        <w:rPr>
          <w:rFonts w:ascii="Times New Roman;sans-serif" w:hAnsi="Times New Roman;sans-serif"/>
          <w:b w:val="false"/>
          <w:color w:val="000000"/>
          <w:sz w:val="24"/>
        </w:rPr>
        <w:t>. No delay or omission of the Lenders, the LC Issuers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specifically set forth in such writing. All remedies in the Loan Documents or afforded by law shall be cumulative and shall be available to the Administrative Agent, the LC Issuers and the Lenders until the Obligations have been paid in full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w:t>
      </w:r>
      <w:r>
        <w:rPr>
          <w:strike/>
          <w:color w:val="FF0000"/>
        </w:rPr>
        <w:t xml:space="preserve"> </w:t>
      </w:r>
      <w:r>
        <w:rPr>
          <w:rFonts w:ascii="Times New Roman;sans-serif" w:hAnsi="Times New Roman;sans-serif"/>
          <w:b w:val="false"/>
          <w:strike/>
          <w:color w:val="FF0000"/>
          <w:sz w:val="24"/>
        </w:rPr>
        <w:t>and the Initial Lenders</w:t>
      </w:r>
      <w:r>
        <w:rPr>
          <w:rFonts w:ascii="Times New Roman;sans-serif" w:hAnsi="Times New Roman;sans-serif"/>
          <w:b w:val="false"/>
          <w:color w:val="000000"/>
          <w:sz w:val="24"/>
        </w:rPr>
        <w:t>).</w:t>
      </w:r>
    </w:p>
    <w:p>
      <w:pPr>
        <w:pStyle w:val="TextBody"/>
        <w:bidi w:val="0"/>
        <w:spacing w:lineRule="auto" w:line="288" w:before="240" w:after="283"/>
        <w:ind w:left="0" w:right="0" w:firstLine="628"/>
        <w:jc w:val="left"/>
        <w:rPr>
          <w:rFonts w:ascii="Times New Roman;sans-serif" w:hAnsi="Times New Roman;sans-serif"/>
          <w:b/>
          <w:color w:val="000000"/>
          <w:sz w:val="24"/>
        </w:rPr>
      </w:pPr>
      <w:r>
        <w:rPr>
          <w:rFonts w:ascii="Times New Roman;sans-serif" w:hAnsi="Times New Roman;sans-serif"/>
          <w:b/>
          <w:color w:val="000000"/>
          <w:sz w:val="24"/>
        </w:rPr>
        <w:t>ARTICLE IX. GENERAL PROVISIONS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Survival of Representations</w:t>
      </w:r>
      <w:r>
        <w:rPr>
          <w:rFonts w:ascii="Times New Roman;sans-serif" w:hAnsi="Times New Roman;sans-serif"/>
          <w:b w:val="false"/>
          <w:color w:val="000000"/>
          <w:sz w:val="24"/>
        </w:rPr>
        <w:t>. All representations and warranties of the Borrower and on behalf of itself and the Subsidiaries in this Agreement shall survive the making of the Credit Extensions herein contemplated.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15975"/>
                <wp:effectExtent l="0" t="0" r="0" b="0"/>
                <wp:wrapNone/>
                <wp:docPr id="115" name="Frame11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Governmental Regulation</w:t>
      </w:r>
      <w:r>
        <w:rPr>
          <w:rFonts w:ascii="Times New Roman;sans-serif" w:hAnsi="Times New Roman;sans-serif"/>
          <w:b w:val="false"/>
          <w:color w:val="000000"/>
          <w:sz w:val="24"/>
        </w:rPr>
        <w:t>. Anything in this Agreement to the contrary notwithstanding, neither any LC Issuer nor any Lender shall be obligated to extend credit to the Borrower in violation of any limitation or prohibition provided by any applicable statute or regulation.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Section headings in the Loan Documents are for convenience of reference only and shall not govern the interpretation of any of the provisions of the Loan Documents.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Loan Documents embody the entire agreement and understanding among the Borrower, the Administrative Agent, the LC Issuers and the Lenders and supersede all prior agreements and understandings among the Borrower, the Administrative Agent, the LC Issuers and the Lenders relating to the subject matter thereof other than those contained in the U.S. Bank Fee Letter.</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Several Obligations; Benefits of this Agreement</w:t>
      </w:r>
      <w:r>
        <w:rPr>
          <w:rFonts w:ascii="Times New Roman;sans-serif" w:hAnsi="Times New Roman;sans-serif"/>
          <w:b w:val="false"/>
          <w:color w:val="000000"/>
          <w:sz w:val="24"/>
        </w:rPr>
        <w:t xml:space="preserve">.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parties hereto expressly agree that </w:t>
      </w:r>
      <w:r>
        <w:rPr>
          <w:rFonts w:ascii="Times New Roman;sans-serif" w:hAnsi="Times New Roman;sans-serif"/>
          <w:b w:val="false"/>
          <w:strike/>
          <w:color w:val="FF0000"/>
          <w:sz w:val="24"/>
        </w:rPr>
        <w:t>the</w:t>
      </w:r>
      <w:r>
        <w:rPr>
          <w:rFonts w:ascii="Times New Roman;sans-serif" w:hAnsi="Times New Roman;sans-serif"/>
          <w:b w:val="false"/>
          <w:color w:val="0000FF"/>
          <w:sz w:val="24"/>
          <w:u w:val="single"/>
        </w:rPr>
        <w:t>each</w:t>
      </w:r>
      <w:r>
        <w:rPr>
          <w:color w:val="0000FF"/>
        </w:rPr>
        <w:t xml:space="preserve"> </w:t>
      </w:r>
      <w:r>
        <w:rPr>
          <w:rFonts w:ascii="Times New Roman;sans-serif" w:hAnsi="Times New Roman;sans-serif"/>
          <w:b w:val="false"/>
          <w:color w:val="000000"/>
          <w:sz w:val="24"/>
        </w:rPr>
        <w:t>Arranger shall enjoy the benefits of the provisions of Sections 9.6, 9.10 and 10.11 to the extent specifically set forth therein and shall have the right to enforce such provisions on its own behalf and in its own name to the same extent as if it were a party to this Agreement.</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Expenses; Indemnification</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(a)The Borrower shall reimburse the Administrative Agent and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color w:val="0000FF"/>
        </w:rPr>
        <w:t xml:space="preserve"> </w:t>
      </w:r>
      <w:r>
        <w:rPr>
          <w:rFonts w:ascii="Times New Roman;sans-serif" w:hAnsi="Times New Roman;sans-serif"/>
          <w:b w:val="false"/>
          <w:color w:val="000000"/>
          <w:sz w:val="24"/>
        </w:rPr>
        <w:t xml:space="preserve">upon demand for all reasonable and documented out-of-pocket expenses paid or incurred by the Administrative Agent or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including, without limitation, filing and recording costs and fees, costs of any environmental review (including the costs of internal review of a third party environmental review), charges and disbursements of one primary firm of outside counsel to the Administrative Agent and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and/or following the occurrence of an Event of Default the allocated costs of in-house counsel incurred from time to time, in connection with the preparation, negotiation, execution, delivery, syndication, distribution (including, without limitation, via the internet), review, amendment, modification and administration of the Loan Documents and any commitment letters relating thereto (including without limitation expenses of the “DebtX” database and if applicable CUSIP registration expenses). The Borrower also agrees to reimburse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the LC Issuers and the Lenders for any reasonable and documented costs, internal charges and out-of-pocket expenses, including charges and disbursements of outside counsel to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the LC Issuers and the Lenders and/or the allocated costs of in-house counsel incurred from time to time, paid or incurred by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any LC Issuer or any Lender in connection with the collection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15975"/>
                <wp:effectExtent l="0" t="0" r="0" b="0"/>
                <wp:wrapNone/>
                <wp:docPr id="116" name="Frame11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enforcement of the Loan Documents. Expenses being reimbursed by the Borrower under this Section include, without limitation, reasonable costs and expenses incurred in connection with the Reports described in the following sentence;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the Borrower shall be required to reimburse reasonable and documented costs and expenses incurred in connection with Reports generated only once in a calendar year unless there is a continuing Event of Default, in which case the Borrower shall reimburse costs and expenses for Reports generated during such time. The Borrower acknowledges that from time to time U.S. Bank may prepare and may distribute to the Lenders (but shall have no obligation or duty to prepare or to distribute to the Lenders) certain audit reports (the “</w:t>
      </w:r>
      <w:r>
        <w:rPr>
          <w:rFonts w:ascii="Times New Roman;sans-serif" w:hAnsi="Times New Roman;sans-serif"/>
          <w:b w:val="false"/>
          <w:color w:val="000000"/>
          <w:sz w:val="24"/>
          <w:u w:val="single"/>
        </w:rPr>
        <w:t>Reports</w:t>
      </w:r>
      <w:r>
        <w:rPr>
          <w:color w:val="000000"/>
        </w:rPr>
        <w:t>”</w:t>
      </w:r>
      <w:r>
        <w:rPr>
          <w:rFonts w:ascii="Times New Roman;sans-serif" w:hAnsi="Times New Roman;sans-serif"/>
          <w:b w:val="false"/>
          <w:color w:val="000000"/>
          <w:sz w:val="24"/>
        </w:rPr>
        <w:t>) pertaining to the Borrower’s assets for internal use by U.S. Bank from information furnished to it by or on behalf of the Borrower, after U.S. Bank has exercised its rights of inspection pursuant to this Agreement.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 xml:space="preserve">(b)The Borrower hereby further agrees to indemnify and hold harmless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each LC Issuer, each Lender, their respective affiliates and each of their directors, officers, employees, agents and advisors (each, an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xml:space="preserve">) against all losses, claims, damages, penalties, judgments, liabilities and expenses (including, without limitation, all expenses of litigation, preparation therefor, and settlement thereof whether or not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any LC Issuer, any Lender or any affiliate is a party thereto) that any such Indemnitee may pay or incur arising out of or relating to this Agreement, the other Loan Documents, the transactions contemplated hereby or the direct or indirect application or proposed application of the proceeds of any Credit Extension hereunder except to the extent that they are determined in a final non-appealable judgment by a court of competent jurisdiction to have resulted from (1) the gross negligence or willful misconduct of the applicable Indemnitee or (2) a material breach in bad faith by such Indemnitee of its express obligations hereunder. If it is determined that a higher Applicable Margin should have applied to a period than was actually applied due to inaccurate reporting on financial statements or a compliance certificate, then the proper margin shall be applied retroactively and the Borrower shall promptly pay to the Administrative Agent, for the ratable benefit of the Lenders, an amount equal to the difference between the amount of interest and fees that would have accrued using the proper margin and the amount actually paid;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if the Applicable Margin would have resulted in higher pricing for one or more periods and lower pricing for one or more other periods (due to the shifting of income or expenses from one period to another period or any similar reason), then the amount payable by the Borrower shall be based upon the excess, if any, of the amount of interest and fees that should have been paid for all applicable periods over the amount of interest and fees paid for all such periods. The obligations of the Borrower under Section 9.6(a) and (b) shall survive the termination of this Agreement.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Numbers of Documents</w:t>
      </w:r>
      <w:r>
        <w:rPr>
          <w:rFonts w:ascii="Times New Roman;sans-serif" w:hAnsi="Times New Roman;sans-serif"/>
          <w:b w:val="false"/>
          <w:color w:val="000000"/>
          <w:sz w:val="24"/>
        </w:rPr>
        <w:t>. All statements, notices, closing documents and requests hereunder shall be furnished to the Administrative Agent with sufficient counterparts so that the Administrative Agent may furnish one to each of the Lenders.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Accounting</w:t>
      </w:r>
      <w:r>
        <w:rPr>
          <w:rFonts w:ascii="Times New Roman;sans-serif" w:hAnsi="Times New Roman;sans-serif"/>
          <w:b w:val="false"/>
          <w:color w:val="000000"/>
          <w:sz w:val="24"/>
        </w:rPr>
        <w:t>. Except as provided to the contrary herein, all accounting terms used herein shall be interpreted and all accounting determinations hereunder shall be made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15975"/>
                <wp:effectExtent l="0" t="0" r="0" b="0"/>
                <wp:wrapNone/>
                <wp:docPr id="117" name="Frame11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accordance with GAAP in a manner consistent with that used in preparing the financial statements referred to in Section 5.4. If at any time any change in GAAP would affect in any material respect the computation of any financial ratio or requirement set forth in any Loan Document, and the Borrower, the Administrative Agent or the Required Lenders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sans-serif" w:hAnsi="Times New Roman;sans-serif"/>
          <w:b w:val="false"/>
          <w:i/>
          <w:color w:val="000000"/>
          <w:sz w:val="24"/>
        </w:rPr>
        <w:t>provided that</w:t>
      </w:r>
      <w:r>
        <w:rPr>
          <w:rFonts w:ascii="Times New Roman;sans-serif" w:hAnsi="Times New Roman;sans-serif"/>
          <w:b w:val="false"/>
          <w:color w:val="000000"/>
          <w:sz w:val="24"/>
        </w:rPr>
        <w:t>,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Severability of Provisions</w:t>
      </w:r>
      <w:r>
        <w:rPr>
          <w:rFonts w:ascii="Times New Roman;sans-serif" w:hAnsi="Times New Roman;sans-serif"/>
          <w:b w:val="false"/>
          <w:color w:val="000000"/>
          <w:sz w:val="24"/>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Nonliability of Lenders</w:t>
      </w:r>
      <w:r>
        <w:rPr>
          <w:rFonts w:ascii="Times New Roman;sans-serif" w:hAnsi="Times New Roman;sans-serif"/>
          <w:b w:val="false"/>
          <w:color w:val="000000"/>
          <w:sz w:val="24"/>
        </w:rPr>
        <w:t xml:space="preserve">. The relationship between the Borrower on the one hand and the Lenders, the LC Issuers and the Administrative Agent on the other hand shall be solely that of borrower and lender. Neither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any LC Issuer nor any Lender shall have any fiduciary responsibilities to the Borrower. Neither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any LC Issuer nor any Lender undertakes any responsibility to the Borrower to review or inform the Borrower of any matter in connection with any phase of the Borrower’s business or operations. The Borrower agrees that neither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any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Neither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any LC Issuer nor any Lender shall have any liability with respect to, and the Borrower hereby waives, releases and agrees not to sue for, any special, indirect, consequential or punitive damages suffered by the Borrower in connection with, arising out of or in any way related to the Loan Documents or the transactions contemplated thereby. It is agreed that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color w:val="0000FF"/>
        </w:rPr>
        <w:t xml:space="preserve"> </w:t>
      </w:r>
      <w:r>
        <w:rPr>
          <w:rFonts w:ascii="Times New Roman;sans-serif" w:hAnsi="Times New Roman;sans-serif"/>
          <w:b w:val="false"/>
          <w:color w:val="000000"/>
          <w:sz w:val="24"/>
        </w:rPr>
        <w:t xml:space="preserve">shall, in its capacity as such, have no duties or responsibilities under the Agreement or any other Loan Document. Each Lender acknowledges that it has not relied and will not rely on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color w:val="0000FF"/>
        </w:rPr>
        <w:t xml:space="preserve"> </w:t>
      </w:r>
      <w:r>
        <w:rPr>
          <w:rFonts w:ascii="Times New Roman;sans-serif" w:hAnsi="Times New Roman;sans-serif"/>
          <w:b w:val="false"/>
          <w:color w:val="000000"/>
          <w:sz w:val="24"/>
        </w:rPr>
        <w:t>in deciding to enter into the Agreement or any other Loan Document or in taking or not taking any action.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The Administrative Agent and each Lender agrees to hold any confidential information that it receives from the Borrower and the Subsidiaries in connection with this Agreement in confidence, except for disclosure (i) to its Affiliates and to the Administrative Agent and any other Lender and their respective Affiliates and, in each case, their respective employees, directors, and officers, (ii) to its legal counsel, accountants, and other professional advisors, (iii) to regulatory officials, (iv) to any Person as requested pursuant to or 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15975"/>
                <wp:effectExtent l="0" t="0" r="0" b="0"/>
                <wp:wrapNone/>
                <wp:docPr id="118" name="Frame11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required by law, regulation or legal process, (v) to any Person in connection with any legal proceeding to which it is a party, (vi) to its direct or indirect contractual counterparties in swap agreements or to legal counsel, accountants and other professional advisors to such counterparties provided such parties have been notified of the confidential nature of such information, 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(vii) to a Transferee to the extent permitted by Section 12.4. Without limiting Section 9.4, the Borrower agrees that the terms of this Section shall set forth the entire agreement between the Borrower and the Administrative Agent and each Lender with respect to any confidential information previously or hereafter received by the Administrative Agent or such Lender in connection with this Agreement, and this Section shall supersede any and all prior confidentiality agreements entered into by the Administrative Agent or any Lender with respect to such confidential information.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Nonreliance</w:t>
      </w:r>
      <w:r>
        <w:rPr>
          <w:rFonts w:ascii="Times New Roman;sans-serif" w:hAnsi="Times New Roman;sans-serif"/>
          <w:b w:val="false"/>
          <w:color w:val="000000"/>
          <w:sz w:val="24"/>
        </w:rPr>
        <w:t>. Each Lender hereby represents that it is not relying on or looking to any margin stock (as defined in Regulation U of the Board of Governors of the Federal Reserve System) for the repayment of the Credit Extensions provided for herein.</w:t>
      </w:r>
    </w:p>
    <w:p>
      <w:pPr>
        <w:pStyle w:val="TextBody"/>
        <w:bidi w:val="0"/>
        <w:spacing w:lineRule="auto" w:line="288" w:before="241" w:after="283"/>
        <w:ind w:left="0" w:right="0" w:hanging="720"/>
        <w:jc w:val="left"/>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The Borrower and each Lender hereby acknowledge and agree that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U.S. Bank and/or its Affiliates from time to time may hold investments in, make other loans to or have other relationships with the Borrower and its Affiliates.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PATRIOT ACT NOTIFICATION</w:t>
      </w:r>
      <w:r>
        <w:rPr>
          <w:rFonts w:ascii="Times New Roman;sans-serif" w:hAnsi="Times New Roman;sans-serif"/>
          <w:b w:val="false"/>
          <w:color w:val="000000"/>
          <w:sz w:val="24"/>
        </w:rPr>
        <w:t>. The following notification is provided to the Borrower pursuant to Section 326 of the Patriot Act: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Each Lender that is subject to the requirements of the Patriot Act hereby notifies the Borrower and each Subsidiary that pursuant to the requirements of the Patriot Act, such Lender is required to obtain, verify and record information that identifies the Borrower or Subsidiary, which information includes the name and address of such Person and other information that will allow such Lender to identify such Person in accordance with the Patriot Act.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Acknowledgement and Consent to Bail-In of Affected Financial Institutions</w:t>
      </w:r>
      <w:r>
        <w:rPr>
          <w:rFonts w:ascii="Times New Roman;sans-serif" w:hAnsi="Times New Roman;sans-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(a)the application of any Write-Down and Conversion Powers by the applicable Resolution Authority to any such liabilities arising hereunder that may be payable to it by any party hereto that is an Affected Financial Institution; and</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(b)the effects of any Bail-In Action on any such liability, including,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applicable:</w: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(i)a reduction in full or in part or cancellation of any such liability;</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 conversion of all, or a portion of, such liability into shares or other instruments of ownership in such Affected Financial Institution, 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15975"/>
                <wp:effectExtent l="0" t="0" r="0" b="0"/>
                <wp:wrapNone/>
                <wp:docPr id="119" name="Frame11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(iii)the variation of the terms of such liability in connection with the exercise of the write-down and conversion powers of the applicable Resolution Authority.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To the extent that the Loan Documents provide support, through a guarantee or otherwise, for Swap Obligations or any other agreement or instrument that is a QFC (such support, “</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val="false"/>
          <w:color w:val="000000"/>
          <w:sz w:val="24"/>
          <w:u w:val="single"/>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4"/>
          <w:u w:val="single"/>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240" w:after="283"/>
        <w:jc w:val="left"/>
        <w:rPr/>
      </w:pPr>
      <w:r>
        <w:rPr/>
      </w:r>
    </w:p>
    <w:p>
      <w:pPr>
        <w:pStyle w:val="TextBody"/>
        <w:bidi w:val="0"/>
        <w:spacing w:lineRule="auto" w:line="288" w:before="1" w:after="283"/>
        <w:ind w:left="0" w:right="0" w:firstLine="720"/>
        <w:jc w:val="left"/>
        <w:rPr/>
      </w:pPr>
      <w:r>
        <w:rPr>
          <w:rFonts w:ascii="Times New Roman;sans-serif" w:hAnsi="Times New Roman;sans-serif"/>
          <w:b w:val="false"/>
          <w:color w:val="000000"/>
          <w:sz w:val="24"/>
        </w:rPr>
        <w:t>In the event a Covered Entity that is party to a Supported QFC (each, a “</w:t>
      </w:r>
      <w:r>
        <w:rPr>
          <w:rFonts w:ascii="Times New Roman;sans-serif" w:hAnsi="Times New Roman;sans-serif"/>
          <w:b w:val="false"/>
          <w:color w:val="000000"/>
          <w:sz w:val="24"/>
          <w:u w:val="single"/>
        </w:rPr>
        <w:t>Covered 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Effect of Existing Credit Agreement</w:t>
      </w:r>
      <w:r>
        <w:rPr>
          <w:rFonts w:ascii="Times New Roman;sans-serif" w:hAnsi="Times New Roman;sans-serif"/>
          <w:b w:val="false"/>
          <w:color w:val="000000"/>
          <w:sz w:val="24"/>
        </w:rPr>
        <w:t>. This Agreement amends and restates in its entirety the Existing Credit Agreement, provided that the obligations of the Borrower incurred under the Existing Credit Agreement shall continue under this Agreement and shall not in any circumstance be terminated, extinguished, or discharged hereby but shall hereafter be governed by the terms of this Agreement, and this Agreement does not constitute a novation of the Existing Credit Agreement. None of the Liens created in connection with the Existing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15975"/>
                <wp:effectExtent l="0" t="0" r="0" b="0"/>
                <wp:wrapNone/>
                <wp:docPr id="120" name="Frame12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shall be terminated, extinguished, or discharged hereby or by any Loan Document. This Agreement is not intended to and shall not constitute a novation.</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X.</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ADMINISTRATIVE AGENT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Appointment; Nature of Relationship</w:t>
      </w:r>
      <w:r>
        <w:rPr>
          <w:rFonts w:ascii="Times New Roman;sans-serif" w:hAnsi="Times New Roman;sans-serif"/>
          <w:b w:val="false"/>
          <w:color w:val="000000"/>
          <w:sz w:val="24"/>
        </w:rPr>
        <w:t>. Each Lender hereby appoints U.S. Bank as its contractual representative (herein referred to as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hereunder and under each other Loan Document, and each of the Lenders irrevocably authorizes the Administrative Agent to act as the contractual representative of such Lender with the rights and duties expressly set forth herein and in the other Loan Documents. The Administrative Agent agrees to act as such contractual representative upon the express conditions in this Article X. Notwithstanding the use of the defined term “Administrative Agent,” it is expressly understood and agreed that the Administrative Agent shall not have any fiduciary responsibilities to any Lender by reason of this Agreement or any other Loan Document and that the Administrative Agent is merely acting as the contractual representative of the Lenders with only those duties as are expressly set forth in this Agreement and the other Loan Documents. In its capacity as the Lenders’ contractual representative, the Administrative Agent (i) does not hereby assume any fiduciary duties to any of the Lenders, (ii) is a “representative” of the Lenders within the meaning of the term “secured party” as defined in the New York Uniform Commercial Code and (iii) is acting as 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Powers</w:t>
      </w:r>
      <w:r>
        <w:rPr>
          <w:rFonts w:ascii="Times New Roman;sans-serif" w:hAnsi="Times New Roman;sans-serif"/>
          <w:b w:val="false"/>
          <w:color w:val="000000"/>
          <w:sz w:val="24"/>
        </w:rPr>
        <w:t>. The Administrative Agent shall have and may exercise such powers under the Loan Documents as are specifically delegated to the Administrative Agent by the terms thereof, together with such powers as are reasonably incidental thereto. The Administrative Agent shall have no implied duties to the Lenders and no obligation to the Lenders to take any action thereunder except any action specifically provided by the Loan Documents to be taken by the Administrative Agent.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General Immunity</w:t>
      </w:r>
      <w:r>
        <w:rPr>
          <w:rFonts w:ascii="Times New Roman;sans-serif" w:hAnsi="Times New Roman;sans-serif"/>
          <w:b w:val="false"/>
          <w:color w:val="000000"/>
          <w:sz w:val="24"/>
        </w:rPr>
        <w:t>. Neither the Administrative Agent nor any of its directors, officers, agents or employees shall be liable to the Borrower, any Subsidiary, or any Lender for any action taken or omitted to be taken hereunder or under any other Loan Document or in connection herewith or therewith except to the extent such action or inaction is determined in a final non-appealable judgment by a court of competent jurisdiction to have arisen from the gross negligence or willful misconduct of the Administrative Agent or any its directors, officers, agents or employees, as the case may be.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No Responsibility for Loans, Recitals, etc.</w:t>
      </w:r>
      <w:r>
        <w:rPr>
          <w:color w:val="000000"/>
        </w:rPr>
        <w:t xml:space="preserve"> </w:t>
      </w:r>
      <w:r>
        <w:rPr>
          <w:rFonts w:ascii="Times New Roman;sans-serif" w:hAnsi="Times New Roman;sans-serif"/>
          <w:b w:val="false"/>
          <w:color w:val="000000"/>
          <w:sz w:val="24"/>
        </w:rPr>
        <w:t>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15975"/>
                <wp:effectExtent l="0" t="0" r="0" b="0"/>
                <wp:wrapNone/>
                <wp:docPr id="121" name="Frame12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limitation, any agreement by an obligor to furnish information directly to each Lender; (c) the satisfaction of any condition specified in Article IV, except receipt of items required to be delivered solely to the Administrative Agent; (d) the existence or 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Action on Instructions of Lenders</w:t>
      </w:r>
      <w:r>
        <w:rPr>
          <w:rFonts w:ascii="Times New Roman;sans-serif" w:hAnsi="Times New Roman;sans-serif"/>
          <w:b w:val="false"/>
          <w:color w:val="000000"/>
          <w:sz w:val="24"/>
        </w:rPr>
        <w:t>.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the Required Lenders request in writing that it take such action. The Administrative Agent shall be fully justified in failing or refusing to take any action hereunder and under any other Loan Document unless it is first indemnified to its satisfaction by the Lenders pro rata against any and all liability, cost and expense that it may incur by reason of taking or continuing to take any such action.</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Employment of Administrative Agents and Counsel</w:t>
      </w:r>
      <w:r>
        <w:rPr>
          <w:rFonts w:ascii="Times New Roman;sans-serif" w:hAnsi="Times New Roman;sans-serif"/>
          <w:b w:val="false"/>
          <w:color w:val="000000"/>
          <w:sz w:val="24"/>
        </w:rPr>
        <w:t>. The Administrative Agent may execute any of its duties as Administrative Agent hereunder and under any other Loan Document by or through employees, agents and attorneys-in-fact and shall not be answerable to the Lenders, except as to money or securities received by it or its authorized agents, for the default or misconduct of any employees, agents or attorneys-in-fact selected by it with reasonable care. The Administrative Agent shall be entitled to advice of counsel concerning the contractual arrangement between the Administrative Agent and the Lenders and all matters pertaining to the Administrative Agent’s duties hereunder and under any other Loan Document.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Reliance on Documents; Counsel</w:t>
      </w:r>
      <w:r>
        <w:rPr>
          <w:rFonts w:ascii="Times New Roman;sans-serif" w:hAnsi="Times New Roman;sans-serif"/>
          <w:b w:val="false"/>
          <w:color w:val="000000"/>
          <w:sz w:val="24"/>
        </w:rPr>
        <w:t>. The Administrative Agent shall be entitled to rely upon any Note, notice, consent, certificate, affidavit, letter, telegram, facsimile, telex, electronic mail message, statement, paper or document it believes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has received notice from such Lender prior to the applicable date specifying its objection thereto.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Administrative Agent’s Reimbursement and Indemnification</w:t>
      </w:r>
      <w:r>
        <w:rPr>
          <w:rFonts w:ascii="Times New Roman;sans-serif" w:hAnsi="Times New Roman;sans-serif"/>
          <w:b w:val="false"/>
          <w:color w:val="000000"/>
          <w:sz w:val="24"/>
        </w:rPr>
        <w:t>. The Lenders agree to reimburse and indemnify the Administrative Agent ratably in proportion to their respective Commitments (or, if the Commitments have been terminated, in proportion to their Commitments immediately prior to such termination), determined without excluding the Defaulting Lenders,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for any amounts not reimbursed by the Borrower for which the Administrative Agent 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15975"/>
                <wp:effectExtent l="0" t="0" r="0" b="0"/>
                <wp:wrapNone/>
                <wp:docPr id="122" name="Frame12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entitled to reimbursement by the Borrower under the Loan Documents, (ii) for any other expenses incurred by the Administrative Agent on behalf of the Lenders, in connection with the preparation, execution, delivery, administration and enforcement of the Loan Documents (including, without limitation, for any expenses incurred by the Administrative Agent in connection with any dispute between the Administrative Agent and any Lender or between two or more of the Lenders) and (iii) for any liabilities, obligations, losses, damages, penalties, actions, judgments, suits, costs, expenses or disbursements of any kind and nature whatsoever that may be imposed on, incurred by or asserted against the Administrative Agent in any way relating to or arising out of the Loan Documents or any other document delivered in connection therewith or the transactions contemplated thereby (including, without limitation, for any such amounts incurred by or asserted against the Administrative Agent in connection with any dispute between the Administrative Agent and any Lender or between two or more of the Lenders), or the enforcement of any of the terms of the Loan Documents or of any such other documents,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no Lender shall be liable for any of the foregoing to the extent any of the foregoing is found in a final non-appealable judgment by a court of competent jurisdiction to have resulted from the gross negligence or willful misconduct of the Administrative Agent and (ii) any indemnification required pursuant to Section 3.5(h) shall, notwithstanding the provisions of this Section, be paid by the relevant Lender in accordance with the provisions thereof. The obligations of the Lenders under this Section shall survive payment of the Obligations and termination of this Agreement.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Notice of Event of Default</w:t>
      </w:r>
      <w:r>
        <w:rPr>
          <w:rFonts w:ascii="Times New Roman;sans-serif" w:hAnsi="Times New Roman;sans-serif"/>
          <w:b w:val="false"/>
          <w:color w:val="000000"/>
          <w:sz w:val="24"/>
        </w:rPr>
        <w:t>.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provided that, except as expressly set forth in the Loan Documents, the Administrative Agent shall have no duty to disclose, and shall not be liable for the failure to disclose, any information relating to any of the Borrower or any of the Subsidiaries that is communicated to or obtained by the bank serving as Administrative Agent or any of its Affiliates in any capacity.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Rights as a Lender</w:t>
      </w:r>
      <w:r>
        <w:rPr>
          <w:rFonts w:ascii="Times New Roman;sans-serif" w:hAnsi="Times New Roman;sans-serif"/>
          <w:b w:val="false"/>
          <w:color w:val="000000"/>
          <w:sz w:val="24"/>
        </w:rPr>
        <w:t>. In the event the Administrative Agent is a Lender, the Administrative Agent shall have the same rights and powers hereunder and under any other Loan Document with respect to its Commitment and its Loans as any Lender and may exercise the same as though it were not the Administrative Agent, and the term “Lender” or “Lenders” shall, at any time when the Administrative Agent is a Lender, unless the context otherwise requires, include the Administrative Agent in its individual capacity. The Administrative Agent and its Affiliates may accept deposits from, lend money to and generally engage in any kind of trust, debt, equity or other transaction, in addition to those contemplated by this Agreement or any other Loan Document, with any of the Borrower or any of the Subsidiaries in which the Borrower or such Subsidiary is not restricted hereby from engaging with any other Person.</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Lender Credit Decision, Legal Representation</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(a)Each Lender acknowledges that it has, independently and without reliance upon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or any other Lender and based 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15975"/>
                <wp:effectExtent l="0" t="0" r="0" b="0"/>
                <wp:wrapNone/>
                <wp:docPr id="123" name="Frame12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rFonts w:ascii="Times New Roman;sans-serif" w:hAnsi="Times New Roman;sans-serif"/>
          <w:b w:val="false"/>
          <w:color w:val="000000"/>
          <w:sz w:val="24"/>
        </w:rPr>
        <w:t xml:space="preserve">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color w:val="0000FF"/>
        </w:rPr>
        <w:t xml:space="preserve"> </w:t>
      </w:r>
      <w:r>
        <w:rPr>
          <w:rFonts w:ascii="Times New Roman;sans-serif" w:hAnsi="Times New Roman;sans-serif"/>
          <w:b w:val="false"/>
          <w:color w:val="000000"/>
          <w:sz w:val="24"/>
        </w:rPr>
        <w:t xml:space="preserve">or any other Lender and based on such documents and information as it deems appropriate at the time, continue to make its own credit decisions in taking or not taking action under this Agreement and the other Loan Documents. Except for any notice, report, document or other information expressly required to be furnished to the Lenders by the Administrative Agent or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color w:val="0000FF"/>
        </w:rPr>
        <w:t xml:space="preserve"> </w:t>
      </w:r>
      <w:r>
        <w:rPr>
          <w:rFonts w:ascii="Times New Roman;sans-serif" w:hAnsi="Times New Roman;sans-serif"/>
          <w:b w:val="false"/>
          <w:color w:val="000000"/>
          <w:sz w:val="24"/>
        </w:rPr>
        <w:t xml:space="preserve">hereunder, neither the Administrative Agent nor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color w:val="0000FF"/>
        </w:rPr>
        <w:t xml:space="preserve"> </w:t>
      </w:r>
      <w:r>
        <w:rPr>
          <w:rFonts w:ascii="Times New Roman;sans-serif" w:hAnsi="Times New Roman;sans-serif"/>
          <w:b w:val="false"/>
          <w:color w:val="000000"/>
          <w:sz w:val="24"/>
        </w:rPr>
        <w:t xml:space="preserve">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 possession of the Administrative Agent or the Arranger (whether or not in its capacity as Administrative Agent or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or any of its Affiliates.</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(b)Each Lender further acknowledges that it has had the opportunity to be represented by legal counsel in connection with its execution of this Agreement and the other Loan Documents, that it has made its own evaluation of all applicable laws and regulations relating to the transactions contemplated hereby and that the counsel to the Administrative Agent represents only the Administrative Agent and not the Lenders in connection with this Agreement and the transactions contemplated hereby.</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Successor Administrative Agent</w:t>
      </w:r>
      <w:r>
        <w:rPr>
          <w:rFonts w:ascii="Times New Roman;sans-serif" w:hAnsi="Times New Roman;sans-serif"/>
          <w:b w:val="false"/>
          <w:color w:val="000000"/>
          <w:sz w:val="24"/>
        </w:rPr>
        <w:t>. The Administrative Agent may resign at any time by giving written notice thereof to the Lenders and the Borrower, such resignation to be effective upon the appointment of a successor Administrative Agent or, if no successor Administrative Agent has been appointed, forty-five days after the retiring Administrative Agent gives notice of its intention to resign. Upon any such resignation or removal, the Required Lenders shall have the right to appoint, on behalf of the Borrower and the Lenders, a successor Administrative Agent. If no successor Administrative Agent is so appointed by the Required Lenders within thirty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that is a commercial bank as a successor Administrative Agent hereunder. If the Administrative Agent has resigned or been removed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or removed Administrative Agent. Upon the effectiveness of the resignation of the Administrative Agent, the resigning Administrative Agent shall be discharged from its duties and obligations hereunder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15975"/>
                <wp:effectExtent l="0" t="0" r="0" b="0"/>
                <wp:wrapNone/>
                <wp:docPr id="124" name="Frame12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Agent hereunder and under the other Loan Documents.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Administrative Agent and Arranger Fees</w:t>
      </w:r>
      <w:r>
        <w:rPr>
          <w:rFonts w:ascii="Times New Roman;sans-serif" w:hAnsi="Times New Roman;sans-serif"/>
          <w:b w:val="false"/>
          <w:color w:val="000000"/>
          <w:sz w:val="24"/>
        </w:rPr>
        <w:t xml:space="preserve">. The Borrower agrees to pay to the Administrative Agent and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rFonts w:ascii="Times New Roman;sans-serif" w:hAnsi="Times New Roman;sans-serif"/>
          <w:b w:val="false"/>
          <w:color w:val="000000"/>
          <w:sz w:val="24"/>
        </w:rPr>
        <w:t xml:space="preserve">, for their respective accounts, the fees agreed to by the Borrower, the Administrative Agent and the </w:t>
      </w:r>
      <w:r>
        <w:rPr>
          <w:rFonts w:ascii="Times New Roman;sans-serif" w:hAnsi="Times New Roman;sans-serif"/>
          <w:b w:val="false"/>
          <w:strike/>
          <w:color w:val="FF0000"/>
          <w:sz w:val="24"/>
        </w:rPr>
        <w:t>Arranger</w:t>
      </w:r>
      <w:r>
        <w:rPr>
          <w:rFonts w:ascii="Times New Roman;sans-serif" w:hAnsi="Times New Roman;sans-serif"/>
          <w:b w:val="false"/>
          <w:color w:val="0000FF"/>
          <w:sz w:val="24"/>
          <w:u w:val="single"/>
        </w:rPr>
        <w:t>Arrangers</w:t>
      </w:r>
      <w:r>
        <w:rPr>
          <w:color w:val="0000FF"/>
        </w:rPr>
        <w:t xml:space="preserve"> </w:t>
      </w:r>
      <w:r>
        <w:rPr>
          <w:rFonts w:ascii="Times New Roman;sans-serif" w:hAnsi="Times New Roman;sans-serif"/>
          <w:b w:val="false"/>
          <w:color w:val="000000"/>
          <w:sz w:val="24"/>
        </w:rPr>
        <w:t>pursuant to the U.S. Bank Fee Letter, or as otherwise agreed from time to time.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Delegation to Affiliates</w:t>
      </w:r>
      <w:r>
        <w:rPr>
          <w:rFonts w:ascii="Times New Roman;sans-serif" w:hAnsi="Times New Roman;sans-serif"/>
          <w:b w:val="false"/>
          <w:color w:val="000000"/>
          <w:sz w:val="24"/>
        </w:rPr>
        <w:t>. The Borrower and the Lenders agree that the Administrative Agent may delegate any of its duties under this Agreement to any of its Affiliates. Any such Affiliate (and such Affiliate’s directors, officers, agents and employees) that performs duties in connection with this Agreement shall be entitled to the same benefits of the indemnification, waiver and other protective provisions to which the Administrative Agent is entitled under Articles IX and X.</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Execution of Collateral Documents</w:t>
      </w:r>
      <w:r>
        <w:rPr>
          <w:rFonts w:ascii="Times New Roman;sans-serif" w:hAnsi="Times New Roman;sans-serif"/>
          <w:b w:val="false"/>
          <w:color w:val="000000"/>
          <w:sz w:val="24"/>
        </w:rPr>
        <w:t>. The Lenders hereby empower and authorize the Administrative Agent to execute and deliver to the Borrower on its behalf the Collateral Documents, all related financing statements and any financing statements, agreements, documents or instruments that are necessary or appropriate to effect the purposes of the Collateral Documents.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Collateral and Guarantor Releases</w:t>
      </w:r>
      <w:r>
        <w:rPr>
          <w:rFonts w:ascii="Times New Roman;sans-serif" w:hAnsi="Times New Roman;sans-serif"/>
          <w:b w:val="false"/>
          <w:color w:val="000000"/>
          <w:sz w:val="24"/>
        </w:rPr>
        <w:t>. The Lenders hereby empower and authorize the Administrative Agent to execute and deliver to the Borrower on their behalf any agreements, documents or instruments as shall be necessary or appropriate to effect any releases of Collateral which shall be permitted by the terms hereof or of any other Loan Document (including, without limitation, in connection with any asset sale permitted hereunder or in connection with any release of a Guarantor made in accordance with the Loan Documents) or which shall otherwise have been approved by the Required Lenders (or, if required by the terms of Section 8.3, all of the Lenders) in writing. In addition, the Lenders authorize the Administrative Agent to release any Guarantor from its obligations under the Loan Documents if such Person is no longer required to be a Guarantor hereunder or if such Person is sold, transferred or assigned in accordance with and to the extent permitted by the terms of this Agreement. Upon the request of the Administrative Agent at any time, the Required Lenders will confirm in writing the Administrative Agent’s authority to release or subordinate its interest in particular types or items of Collateral, or to release any Guarantor from its obligations under the Loan Documents pursuant to the foregoing. In each case as specified hereto, the Administrative Agent (and each Lender hereby authorizes the Administrative Agent to), at the Borrower’s expense, execute and deliver to Borrower or applicable Guarantor such documents as Borrower or such Guarantor may reasonably request to evidence the release of such item of Collateral from the security interest granted under the Loan Documents or to subordinate its interest therein, or to release a Guarantor from its obligations under the Guaranty, in each case in accordance with the terms of the Loan Documents.</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Certain ERISA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15975"/>
                <wp:effectExtent l="0" t="0" r="0" b="0"/>
                <wp:wrapNone/>
                <wp:docPr id="125" name="Frame12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(i)such Lender is not using “plan assets” (within the meaning of Section 3(42) of ERISA or otherwise) of one or more Benefit Plans with respect to such Lender’s entrance into, participation in, administration of and performance of the Loans, the Facility LCs, the Commitments or this Agreement,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(iii)(A) such Lender is an investment fund managed by a “Qualified Professional Asset Manager” (within the meaning of Part VI of PTE 84-14),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such Qualified Professional Asset Manager made the investment decision on behalf of such Lender to enter into, participate in, administer and perform the Loans, the Facility LCs, the Commitments and this Agreement, (C) the entrance into, participation in, administration of and performance of the Loans, the Facility LCs, the Commitments and this Agreement satisfies the requirements of</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Commitments and this Agreement, 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15975"/>
                <wp:effectExtent l="0" t="0" r="0" b="0"/>
                <wp:wrapNone/>
                <wp:docPr id="126" name="Frame12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 is not a fiduciary with respect to the assets of such Lender involved in such Lender’s entrance into, participation in, administration of and performance of the Loans, the Facility LCs,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Erroneous Payments.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(a)If the Administrative Agent notifies a Lender, Issuing Bank or other holder of any Obligations (each, a “</w:t>
      </w:r>
      <w:r>
        <w:rPr>
          <w:rFonts w:ascii="Times New Roman;sans-serif" w:hAnsi="Times New Roman;sans-serif"/>
          <w:b w:val="false"/>
          <w:color w:val="000000"/>
          <w:sz w:val="24"/>
          <w:u w:val="single"/>
        </w:rPr>
        <w:t>Lender Party</w:t>
      </w:r>
      <w:r>
        <w:rPr>
          <w:color w:val="000000"/>
        </w:rPr>
        <w:t>”</w:t>
      </w:r>
      <w:r>
        <w:rPr>
          <w:rFonts w:ascii="Times New Roman;sans-serif" w:hAnsi="Times New Roman;sans-serif"/>
          <w:b w:val="false"/>
          <w:color w:val="000000"/>
          <w:sz w:val="24"/>
        </w:rPr>
        <w:t>), or any Person who has received funds on behalf of a Lender Party (any such Lender Party or other recipient, a “</w:t>
      </w:r>
      <w:r>
        <w:rPr>
          <w:rFonts w:ascii="Times New Roman;sans-serif" w:hAnsi="Times New Roman;sans-serif"/>
          <w:b w:val="false"/>
          <w:color w:val="000000"/>
          <w:sz w:val="24"/>
          <w:u w:val="single"/>
        </w:rPr>
        <w:t>Payment</w:t>
      </w:r>
      <w:r>
        <w:rPr>
          <w:color w:val="000000"/>
        </w:rPr>
        <w:t xml:space="preserve"> </w:t>
      </w:r>
      <w:r>
        <w:rPr>
          <w:rFonts w:ascii="Times New Roman;sans-serif" w:hAnsi="Times New Roman;sans-serif"/>
          <w:b w:val="false"/>
          <w:color w:val="000000"/>
          <w:sz w:val="24"/>
          <w:u w:val="single"/>
        </w:rPr>
        <w:t>Recipient</w:t>
      </w:r>
      <w:r>
        <w:rPr>
          <w:color w:val="000000"/>
        </w:rPr>
        <w:t>”</w:t>
      </w:r>
      <w:r>
        <w:rPr>
          <w:rFonts w:ascii="Times New Roman;sans-serif" w:hAnsi="Times New Roman;sans-serif"/>
          <w:b w:val="false"/>
          <w:color w:val="000000"/>
          <w:sz w:val="24"/>
        </w:rPr>
        <w:t>), that the Administrative Agent has determined in its sole discretion (whether or not after receipt of any notice under Section 10.18(b)) that any funds received by such Payment Recipient from the Administrative Agent or any of its Affiliates were erroneously transmitted to, or otherwise erroneously received by, such Payment Recipient (whether or not such error is known to any Payment Recipient) (any such funds, whether received as a payment, prepayment or repayment of principal, interest, fees, distribution or otherwise, individually and collectively, an “</w:t>
      </w:r>
      <w:r>
        <w:rPr>
          <w:rFonts w:ascii="Times New Roman;sans-serif" w:hAnsi="Times New Roman;sans-serif"/>
          <w:b w:val="false"/>
          <w:color w:val="000000"/>
          <w:sz w:val="24"/>
          <w:u w:val="single"/>
        </w:rPr>
        <w:t>Erroneous Payment</w:t>
      </w:r>
      <w:r>
        <w:rPr>
          <w:color w:val="000000"/>
        </w:rPr>
        <w:t>”</w:t>
      </w:r>
      <w:r>
        <w:rPr>
          <w:rFonts w:ascii="Times New Roman;sans-serif" w:hAnsi="Times New Roman;sans-serif"/>
          <w:b w:val="false"/>
          <w:color w:val="000000"/>
          <w:sz w:val="24"/>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(b)Without limiting Section 10.18(a),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(in whole or in part):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(i)(A) in the case of immediately preceding clause (x) or (y), an error shall be presumed to have been made (absent written confirmation from the Administrative Agent to the contrary) or (B) in the case of immediately preceding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15975"/>
                <wp:effectExtent l="0" t="0" r="0" b="0"/>
                <wp:wrapNone/>
                <wp:docPr id="127" name="Frame12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clause (z), an error has been made, in each case, with respect to such payment, prepayment or repayment; and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(ii)such Payment Recipient shall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10.18(b).</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(c)Each Lender Party hereby authorizes the Administrative Agent to set off, net and apply any and all amounts at any time owing to such Lender Party under any Loan Document, or otherwise payable or distributable by the Administrative Agent to such Lender Party from any source, against any amount due to the Administrative Agent under Section 10.18(a) or under the indemnification provisions of this Agreement.</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(d)An Erroneous Payment shall not pay, prepay, repay, discharge or otherwise satisfy any Obligations, except to the extent such Erroneous Payment comprises funds received by the Administrative Agent from a Loan Party for the purpose of making such Erroneous Payment.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(e)To the extent permitted by applicable law, each Payment Recipient hereby agrees not to assert any right or claim to an Erroneous Payment, and hereby waives, and is deemed to waive, any claim, counterclaim, defense or right of set-off or recoupment, including without limitation any defense based on “discharge for value” or any similar doctrine, with respect to any demand, claim or counterclaim by the Administrative Agent for the return of any Erroneous Payment.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(f)Each party’s agreements under this Section 10.18 shall survive the resignation or replacement of the Administrative Agent, any transfer of rights or obligations by, or the replacement of, a Lender or Issuing Bank, the termination of the Commitments, or the repayment, satisfaction or discharge of any or all Obligations.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SETOFF; RATABLE PAYMENTS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Setoff</w:t>
      </w:r>
      <w:r>
        <w:rPr>
          <w:rFonts w:ascii="Times New Roman;sans-serif" w:hAnsi="Times New Roman;sans-serif"/>
          <w:b w:val="false"/>
          <w:color w:val="000000"/>
          <w:sz w:val="24"/>
        </w:rPr>
        <w:t>. The Borrower hereby grants each Lender a security interest in all deposits, credits and deposit accounts (including all account balances, whether provisional or final and whether or not collected or available) other than Excluded Payroll Accounts of the Borrower with such Lender or any Affiliate of such Lender (the “</w:t>
      </w:r>
      <w:r>
        <w:rPr>
          <w:rFonts w:ascii="Times New Roman;sans-serif" w:hAnsi="Times New Roman;sans-serif"/>
          <w:b w:val="false"/>
          <w:color w:val="000000"/>
          <w:sz w:val="24"/>
          <w:u w:val="single"/>
        </w:rPr>
        <w:t>Deposits</w:t>
      </w:r>
      <w:r>
        <w:rPr>
          <w:color w:val="000000"/>
        </w:rPr>
        <w:t>”</w:t>
      </w:r>
      <w:r>
        <w:rPr>
          <w:rFonts w:ascii="Times New Roman;sans-serif" w:hAnsi="Times New Roman;sans-serif"/>
          <w:b w:val="false"/>
          <w:color w:val="000000"/>
          <w:sz w:val="24"/>
        </w:rPr>
        <w:t>). In addition to, and without limitation of, any rights of the Lenders under applicable law, if the Borrower becomes insolvent, however evidenced or defined, or any Event of Default occurs, the Borrower authorizes each Lender to offset and apply all such Deposits toward the payment of the Obligations owing to such Lender, whether or not the Obligations, or any part thereof, are then due and regardless of the existence or adequacy of any collateral, guaranty or any other security, right or remedy available to any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Ratable Payments</w:t>
      </w:r>
      <w:r>
        <w:rPr>
          <w:rFonts w:ascii="Times New Roman;sans-serif" w:hAnsi="Times New Roman;sans-serif"/>
          <w:b w:val="false"/>
          <w:color w:val="000000"/>
          <w:sz w:val="24"/>
        </w:rPr>
        <w:t>. If any Lender, whether by setoff or otherwise, has payment made to it upon its Outstanding Credit Exposure (other than payments received pursuant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15975"/>
                <wp:effectExtent l="0" t="0" r="0" b="0"/>
                <wp:wrapNone/>
                <wp:docPr id="128" name="Frame12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 3.2, 3.4 or 3.5) in a greater proportion than that received by any other Lender, such Lender agrees, promptly upon demand, to purchase a portion of the Aggregate Outstanding Credit Exposure held by the other Lenders so that after such purchase each Lender will hold its Pro Rata Share of the Aggregate Outstanding Credit Exposure. If any Lender, whether in connection with setoff or amounts that might be subject to setoff or otherwise, receives collateral or other protection for its Obligations or such amounts that may be subject to setoff, such Lender agrees, promptly upon demand, to take such action necessary such that all Lenders share in the benefits of such collateral ratably in proportion to their respective Pro Rata Shares of the Aggregate Outstanding Credit Exposure. In case any such payment is disturbed by legal process, or otherwise, the Lenders agree to make appropriate further adjustments.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BENEFIT OF AGREEMENT; ASSIGNMENTS; PARTICIPATIONS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shall be null and void, unless such attempted assignment or transfer is treated as a participation in accordance with Section 12.3.3. The parties to this Agreement acknowledge that clause (ii) of this Section relates only to absolute assignments and this Section does not prohibit assignments creating security interests, including, without limitation, (x) any pledge or assignment by any Lender of all or any portion of its rights under this Agreement and any Note to a Federal Reserve Bank or (y) in the case of a Lender that is a Fund, any pledge or assignment of all or any portion of its rights under this Agreement and any Note to its trustee in support of its obligations to its trustee;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no such pledge or assignment creating a security interest shall release the transferor Lender from its obligations hereunder unless and until the parties thereto have complied with the provisions of Section 12.3. The Administrative Agent may treat the Person that made any Loan or that holds any Note as the owner thereof for all purposes hereof unless and until such Person complies with Section 12.3;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Administrative Agent may in its discretion (but shall not be required to) follow instructions from the Person that made any Loan or that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that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1.6.1</w:t>
      </w:r>
      <w:r>
        <w:rPr>
          <w:rFonts w:ascii="Times New Roman;sans-serif" w:hAnsi="Times New Roman;sans-serif"/>
          <w:b w:val="false"/>
          <w:color w:val="000000"/>
          <w:sz w:val="24"/>
          <w:u w:val="single"/>
        </w:rPr>
        <w:t>Permitted Participants; Effect</w:t>
      </w:r>
      <w:r>
        <w:rPr>
          <w:rFonts w:ascii="Times New Roman;sans-serif" w:hAnsi="Times New Roman;sans-serif"/>
          <w:b w:val="false"/>
          <w:color w:val="000000"/>
          <w:sz w:val="24"/>
        </w:rPr>
        <w:t>. Any Lender may at any time sell to one or more banks or other entities (“</w:t>
      </w:r>
      <w:r>
        <w:rPr>
          <w:rFonts w:ascii="Times New Roman;sans-serif" w:hAnsi="Times New Roman;sans-serif"/>
          <w:b w:val="false"/>
          <w:color w:val="000000"/>
          <w:sz w:val="24"/>
          <w:u w:val="single"/>
        </w:rPr>
        <w:t>Participants</w:t>
      </w:r>
      <w:r>
        <w:rPr>
          <w:color w:val="000000"/>
        </w:rPr>
        <w:t>”</w:t>
      </w:r>
      <w:r>
        <w:rPr>
          <w:rFonts w:ascii="Times New Roman;sans-serif" w:hAnsi="Times New Roman;sans-serif"/>
          <w:b w:val="false"/>
          <w:color w:val="000000"/>
          <w:sz w:val="24"/>
        </w:rPr>
        <w:t>) participating interests in any Outstanding Credit Exposure owing to such Lender, any Note held by such Lender, any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15975"/>
                <wp:effectExtent l="0" t="0" r="0" b="0"/>
                <wp:wrapNone/>
                <wp:docPr id="129" name="Frame12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Outstanding Credit Exposure and the holder of any Note issued to it in evidence thereof for all purposes under the Loan Documents, all amounts payable by the Borrower under this Agreement shall be determined as if such Lender had not sold such participating interests and the Borrower and the Administrative Agent shall continue to deal solely and directly with such Lender in connection with such Lender’s rights and obligations under the Loan Documents.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1.6.2</w:t>
      </w:r>
      <w:r>
        <w:rPr>
          <w:rFonts w:ascii="Times New Roman;sans-serif" w:hAnsi="Times New Roman;sans-serif"/>
          <w:b w:val="false"/>
          <w:color w:val="000000"/>
          <w:sz w:val="24"/>
          <w:u w:val="single"/>
        </w:rPr>
        <w:t>Voting Rights</w:t>
      </w:r>
      <w:r>
        <w:rPr>
          <w:rFonts w:ascii="Times New Roman;sans-serif" w:hAnsi="Times New Roman;sans-serif"/>
          <w:b w:val="false"/>
          <w:color w:val="000000"/>
          <w:sz w:val="24"/>
        </w:rPr>
        <w:t>. Each Lender shall retain the sole right to approve, without the consent of any Participant, any amendment, modification or waiver of any provision of the Loan Documents other than any amendment, modification or waiver with respect to any Outstanding Credit Exposure or Commitment in which such Participant has an interest that would require consent of all of the Lenders pursuant to the terms of Section 8.3 or of any other Loan Document.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1.6.3</w:t>
      </w:r>
      <w:r>
        <w:rPr>
          <w:rFonts w:ascii="Times New Roman;sans-serif" w:hAnsi="Times New Roman;sans-serif"/>
          <w:b w:val="false"/>
          <w:color w:val="000000"/>
          <w:sz w:val="24"/>
          <w:u w:val="single"/>
        </w:rPr>
        <w:t>Benefit of Certain Provisions</w:t>
      </w:r>
      <w:r>
        <w:rPr>
          <w:rFonts w:ascii="Times New Roman;sans-serif" w:hAnsi="Times New Roman;sans-serif"/>
          <w:b w:val="false"/>
          <w:color w:val="000000"/>
          <w:sz w:val="24"/>
        </w:rPr>
        <w:t xml:space="preserve">.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3.4, 3.5,</w:t>
      </w:r>
    </w:p>
    <w:p>
      <w:pPr>
        <w:pStyle w:val="TextBody"/>
        <w:bidi w:val="0"/>
        <w:spacing w:lineRule="auto" w:line="288" w:before="0" w:after="0"/>
        <w:jc w:val="left"/>
        <w:rPr/>
      </w:pPr>
      <w:r>
        <w:rPr>
          <w:rFonts w:ascii="Times New Roman;sans-serif" w:hAnsi="Times New Roman;sans-serif"/>
          <w:b w:val="false"/>
          <w:color w:val="000000"/>
          <w:sz w:val="24"/>
        </w:rPr>
        <w:t xml:space="preserve">9.6 and 9.10 to the same extent as if it were a Lender and had acquired its interest by assignment pursuant to Section 12.3,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a Participant shall not be entitled to receive any greater payment under Section 3.1, 3.2 or 3.5 than the Lender who sold the participating interest to such Participant would have received had it retained such interest for its own account, unless the sale of such interest to such Participant is made with the prior written consent of the Borrower, and (ii) any Participant not incorporated under the laws of the United States of America or any State thereof agrees to comply with the provisions of Section 3.5 to the same extent as if it were a Lender.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1.6.4</w:t>
      </w:r>
      <w:r>
        <w:rPr>
          <w:rFonts w:ascii="Times New Roman;sans-serif" w:hAnsi="Times New Roman;sans-serif"/>
          <w:b w:val="false"/>
          <w:color w:val="000000"/>
          <w:sz w:val="24"/>
          <w:u w:val="single"/>
        </w:rPr>
        <w:t>Participant Register</w:t>
      </w:r>
      <w:r>
        <w:rPr>
          <w:rFonts w:ascii="Times New Roman;sans-serif" w:hAnsi="Times New Roman;sans-serif"/>
          <w:b w:val="false"/>
          <w:color w:val="000000"/>
          <w:sz w:val="24"/>
        </w:rPr>
        <w:t>.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4"/>
          <w:u w:val="single"/>
        </w:rPr>
        <w:t>Participant Register</w:t>
      </w:r>
      <w:r>
        <w:rPr>
          <w:color w:val="000000"/>
        </w:rPr>
        <w:t>”</w:t>
      </w:r>
      <w:r>
        <w:rPr>
          <w:rFonts w:ascii="Times New Roman;sans-serif" w:hAnsi="Times New Roman;sans-serif"/>
          <w:b w:val="false"/>
          <w:color w:val="000000"/>
          <w:sz w:val="24"/>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15975"/>
                <wp:effectExtent l="0" t="0" r="0" b="0"/>
                <wp:wrapNone/>
                <wp:docPr id="130" name="Frame13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Assignments</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1.7.1</w:t>
      </w:r>
      <w:r>
        <w:rPr>
          <w:rFonts w:ascii="Times New Roman;sans-serif" w:hAnsi="Times New Roman;sans-serif"/>
          <w:b w:val="false"/>
          <w:color w:val="000000"/>
          <w:sz w:val="24"/>
          <w:u w:val="single"/>
        </w:rPr>
        <w:t>Permitted Assignments</w:t>
      </w:r>
      <w:r>
        <w:rPr>
          <w:rFonts w:ascii="Times New Roman;sans-serif" w:hAnsi="Times New Roman;sans-serif"/>
          <w:b w:val="false"/>
          <w:color w:val="000000"/>
          <w:sz w:val="24"/>
        </w:rPr>
        <w:t>. Any Lender may at any time assign to one or more Eligible Assignees (“</w:t>
      </w:r>
      <w:r>
        <w:rPr>
          <w:rFonts w:ascii="Times New Roman;sans-serif" w:hAnsi="Times New Roman;sans-serif"/>
          <w:b w:val="false"/>
          <w:color w:val="000000"/>
          <w:sz w:val="24"/>
          <w:u w:val="single"/>
        </w:rPr>
        <w:t>Purchasers</w:t>
      </w:r>
      <w:r>
        <w:rPr>
          <w:color w:val="000000"/>
        </w:rPr>
        <w:t>”</w:t>
      </w:r>
      <w:r>
        <w:rPr>
          <w:rFonts w:ascii="Times New Roman;sans-serif" w:hAnsi="Times New Roman;sans-serif"/>
          <w:b w:val="false"/>
          <w:color w:val="000000"/>
          <w:sz w:val="24"/>
        </w:rPr>
        <w:t xml:space="preserve">) all or any part of its rights and obligations under the Loan Documents. Such assignment shall be substantially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or in such other form reasonably acceptable to the Administrative Agent as agreed to by the parties thereto. Each assignment to a Purchaser that is not a Lender, an Affiliate of a Lender or an Approved Fund shall either be in an amount equal to the entire applicable Commitment and Outstanding Credit Exposure of the assigning Lender or (unless each of the Borrower and the Administrative Agent otherwise consents) be in an aggregate amount not less than $5,000,000. The amount of the assignment shall be based on the Commitment or Outstanding Credit Exposure (if the Commitment has been terminated) subject to the assignment, determined as of the date of such assignment or as of the “Trade Date,” if the “Trade Date” is specified in the assignment.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1.7.2</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The consent of the Borrower shall be required prior to an assignment becoming effective unless the Purchaser is a Lender, an Affiliate of a Lender or an Approved Fund, provided that the consent of the Borrower shall not be required for an assignment to any Person if an Event of Default has occurred and is continuing; provided further that the Borrower shall be deemed to have consented to any such assignment unless it shall object thereto by written notice to the Administrative Agent within five (5) Business Days after having received notice thereof. The consent of the Administrative Agent shall be required prior to an assignment becoming effective. The consent of each of the LC Issuers and the Swing Line Lender shall be required prior to an assignment of a Revolving Commitment becoming effective. Any consent required under this Section 12.3.2 other than with respect to the LC Issuers or the Swing Line Lender shall not be unreasonably withheld or delayed.</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1.7.3</w:t>
      </w:r>
      <w:r>
        <w:rPr>
          <w:rFonts w:ascii="Times New Roman;sans-serif" w:hAnsi="Times New Roman;sans-serif"/>
          <w:b w:val="false"/>
          <w:color w:val="000000"/>
          <w:sz w:val="24"/>
          <w:u w:val="single"/>
        </w:rPr>
        <w:t>Effect; Effective Date</w:t>
      </w:r>
      <w:r>
        <w:rPr>
          <w:rFonts w:ascii="Times New Roman;sans-serif" w:hAnsi="Times New Roman;sans-serif"/>
          <w:b w:val="false"/>
          <w:color w:val="000000"/>
          <w:sz w:val="24"/>
        </w:rPr>
        <w:t>. Upon (i) delivery to the Administrative Agent of an assignment, together with any consents required by Sections 12.3.1 and 12.3.2, 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payment of a $3,500 fee to the Administrative Agent for processing such assignment (unless the Administrative Agent waives such fee), such assignment shall become effective on the effective date specified in such assignment. The assignment shall contain a representation by the Purchaser to the effect that none of the consideration used to make the purchase of the Commitment and Outstanding Credit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15975"/>
                <wp:effectExtent l="0" t="0" r="0" b="0"/>
                <wp:wrapNone/>
                <wp:docPr id="131" name="Frame13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or on behalf of the Lenders and shall have all the rights and obligations of a Lender under the Loan Documents, to the same extent as if it were an original party thereto, and the transferor Lender shall be released with respect to the Commitment and Outstanding Credit Exposure assigned to such Purchaser without any further consent or action by the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that survive payment of the Obligations and termination of the applicable agreement.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12.2. Upon the consummation of any assignment to a Purchaser pursuant to this Section,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Commitments, as adjusted pursuant to such assignment.</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1.7.4</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The Administrative Agent, acting solely for this purpose as an agent of the Borrower, shall maintain at one of its offices in the United States of America a copy of each assignment agreement delivered to it and a register for the recordation of the names and addresses of the Lenders, the Commitments of and principal amounts of the Loans owing to each Lender, and participations of each Lender in Facility LCs,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xml:space="preserve">).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w:t>
      </w:r>
      <w:r>
        <w:rPr>
          <w:rFonts w:ascii="Times New Roman;sans-serif" w:hAnsi="Times New Roman;sans-serif"/>
          <w:b w:val="false"/>
          <w:color w:val="0000FF"/>
          <w:sz w:val="24"/>
          <w:u w:val="single"/>
        </w:rPr>
        <w:t>and</w:t>
      </w:r>
      <w:r>
        <w:rPr>
          <w:color w:val="0000FF"/>
        </w:rPr>
        <w:t xml:space="preserve"> </w:t>
      </w:r>
      <w:r>
        <w:rPr>
          <w:rFonts w:ascii="Times New Roman;sans-serif" w:hAnsi="Times New Roman;sans-serif"/>
          <w:b w:val="false"/>
          <w:color w:val="0000FF"/>
          <w:sz w:val="24"/>
          <w:u w:val="single"/>
        </w:rPr>
        <w:t>Lenders</w:t>
      </w:r>
      <w:r>
        <w:rPr>
          <w:color w:val="0000FF"/>
        </w:rPr>
        <w:t xml:space="preserve"> </w:t>
      </w:r>
      <w:r>
        <w:rPr>
          <w:rFonts w:ascii="Times New Roman;sans-serif" w:hAnsi="Times New Roman;sans-serif"/>
          <w:b w:val="false"/>
          <w:color w:val="000000"/>
          <w:sz w:val="24"/>
        </w:rPr>
        <w:t>at any reasonable time and from time to time upon reasonable prior notice.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Dissemination of Information</w:t>
      </w:r>
      <w:r>
        <w:rPr>
          <w:rFonts w:ascii="Times New Roman;sans-serif" w:hAnsi="Times New Roman;sans-serif"/>
          <w:b w:val="false"/>
          <w:color w:val="000000"/>
          <w:sz w:val="24"/>
        </w:rPr>
        <w:t>. The Borrower authorizes each Lender to disclose to any Participant, Purchaser, other Person acquiring an interest in the Loan Documents by operation of law (each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xml:space="preserve">) and prospective Transferee any and all information in such Lender’s possession concerning the creditworthiness of the Borrower and its Subsidiaries, including without limitation any information contained in any Reports;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each Transferee and prospective Transferee agrees to be bound by Section 9.11 of this Agreement.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Tax Treatment</w:t>
      </w:r>
      <w:r>
        <w:rPr>
          <w:rFonts w:ascii="Times New Roman;sans-serif" w:hAnsi="Times New Roman;sans-serif"/>
          <w:b w:val="false"/>
          <w:color w:val="000000"/>
          <w:sz w:val="24"/>
        </w:rPr>
        <w:t>. If any interest in any Loan Document is transferred to any Transferee that is not incorporated under the laws of the United States or any State thereof, the transferor Lender shall cause such Transferee, concurrently with the effectiveness of such transfer, to comply with the provisions of Section 3.5(g).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15975"/>
                <wp:effectExtent l="0" t="0" r="0" b="0"/>
                <wp:wrapNone/>
                <wp:docPr id="132" name="Frame13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4"/>
        </w:rPr>
      </w:pPr>
      <w:r>
        <w:rPr>
          <w:rFonts w:ascii="Times New Roman;sans-serif" w:hAnsi="Times New Roman;sans-serif"/>
          <w:b/>
          <w:color w:val="000000"/>
          <w:sz w:val="24"/>
        </w:rPr>
        <w:t>ARTICLE XIII. NOTICES</w:t>
      </w:r>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Notices; Effectiveness; Electronic Communication</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Notices Generally</w:t>
      </w:r>
      <w:r>
        <w:rPr>
          <w:rFonts w:ascii="Times New Roman;sans-serif" w:hAnsi="Times New Roman;sans-serif"/>
          <w:b w:val="false"/>
          <w:color w:val="000000"/>
          <w:sz w:val="24"/>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(i)if to the Borrower, at its address or telecopier number set forth on its signature page hereof;</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(ii)if to the Administrative Agent, at its address or telecopier number set forth on its signature page hereof;</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(iii)if to a LC Issuer, at its address or telecopier number set forth on its signature page hereof; and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(iv)if to a Lender, at its address or telecopier number set forth in its Administrative Questionnaire.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Notices sent by hand or overnight courier service, or mailed by certified or registered mail, shall be deemed to have been given when received; notices sent by telecopier shall be deemed to have been given when sent (or, if not given during normal business hours for the recipient, at the opening of business on the next Business Day for the recipient). Notices delivered through electronic communications to the extent provided in paragraph (b) below shall be effective as provided in said paragraph (b).</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Electronic Communications</w:t>
      </w:r>
      <w:r>
        <w:rPr>
          <w:rFonts w:ascii="Times New Roman;sans-serif" w:hAnsi="Times New Roman;sans-serif"/>
          <w:b w:val="false"/>
          <w:color w:val="000000"/>
          <w:sz w:val="24"/>
        </w:rPr>
        <w:t>. Notices and other communications to the Lenders and the LC Issuers hereunder may be delivered or furnished by electronic communication (including e-mail and internet or intranet websites) pursuant to procedures approved by the Administrative Agent or as otherwise determined by the Administrative Agent, provided that the foregoing shall not apply to notices to any Lender or any LC Issuer pursuant to Article II if such Lender or such LC Issuer, as applicable, has notified the Administrative Agent that it is incapable of receiving notices under such Article by electronic communication. The Administrative Agent or the Borrower may, in their respective discretion, agree to accept notices and other communications to it hereunder by electronic communications pursuant to procedures approved by it or as it otherwise determines, provided that such determination or approval may be limited to particular notices or communications.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given during the normal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15975"/>
                <wp:effectExtent l="0" t="0" r="0" b="0"/>
                <wp:wrapNone/>
                <wp:docPr id="133" name="Frame13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business hours of the recipient, such notice or communication shall be deemed to have been given at the opening of business on the next Business Day for the recipient, 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Change of Address, etc.</w:t>
      </w:r>
      <w:r>
        <w:rPr>
          <w:color w:val="000000"/>
        </w:rPr>
        <w:t xml:space="preserve"> </w:t>
      </w:r>
      <w:r>
        <w:rPr>
          <w:rFonts w:ascii="Times New Roman;sans-serif" w:hAnsi="Times New Roman;sans-serif"/>
          <w:b w:val="false"/>
          <w:color w:val="000000"/>
          <w:sz w:val="24"/>
        </w:rPr>
        <w:t>Any party hereto may change its address or telecopier number for notices and other communications hereunder by notice to the other parties hereto.</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XIV.</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COUNTERPARTS; INTEGRATION; EFFECTIVENESS; ELECTRONIC EXECUTION; ELECTRONIC RECORDS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Counterparts; Effectiveness</w:t>
      </w:r>
      <w:r>
        <w:rPr>
          <w:rFonts w:ascii="Times New Roman;sans-serif" w:hAnsi="Times New Roman;sans-serif"/>
          <w:b w:val="false"/>
          <w:color w:val="000000"/>
          <w:sz w:val="24"/>
        </w:rPr>
        <w:t>.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Electronic Execution of Assignments</w:t>
      </w:r>
      <w:r>
        <w:rPr>
          <w:rFonts w:ascii="Times New Roman;sans-serif" w:hAnsi="Times New Roman;sans-serif"/>
          <w:b w:val="false"/>
          <w:color w:val="000000"/>
          <w:sz w:val="24"/>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E-SIGN, the NYESRA, or any other similar state laws based on UETA.</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Document Imaging; Telecopy and PDF Signatures; Electronic Signatures</w:t>
      </w:r>
      <w:r>
        <w:rPr>
          <w:rFonts w:ascii="Times New Roman;sans-serif" w:hAnsi="Times New Roman;sans-serif"/>
          <w:b w:val="false"/>
          <w:color w:val="000000"/>
          <w:sz w:val="24"/>
        </w:rPr>
        <w:t>. Without notice to or consent of any Loan Party, the Administrative Agent and each Lender may create electronic images of any Loan Documents and destroy paper originals of any such imaged documents. Such images have the same legal force and effect as the paper originals and are enforceable against the Borrower and any other parties thereto. The Administrative Agent and each Lender may convert any Loan Document into a “transferrable record” as such term 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defined under, and to the extent permitted by, UETA and/or NYESRA, with the image of such instrument in the Administrative Agent’s or such Lender’s possession constituting an “authoritative copy” under UETA and/or NYESRA, as applicable. If the Administrative Agent agrees, in its sole discretion, to accept delivery by telecopy or PDF of an executed counterpart of a signature page of any Loan Document or other document required to be delivered under the Loan Documents, such delivery will be valid and effective as delivery of an original manually executed counterpart of such document for all purposes. If the Administrative Agent agrees, in its sole discretion, to accept any electronic signatures of any Loan Document or other document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15975"/>
                <wp:effectExtent l="0" t="0" r="0" b="0"/>
                <wp:wrapNone/>
                <wp:docPr id="134" name="Frame13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be delivered under the Loan Documents, the words “execution,” “signed,” and “signature,” and words of like import, in or referring to any document so signed will deemed to include electronic signatures and/or the keeping of records in electronic form, which will be of the same legal effect, validity and enforceability as a manually executed signature and/or the use of a paper-based recordkeeping system, to the extent and as provided for in any applicable law, including UETA, NYESRA, E-SIGN, or any other state laws based on, or similar in effect to, such acts. The Administrative Agent and each Lender may rely on any such electronic signatures without further inquiry.</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XV.</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CHOICE OF LAW; CONSENT TO JURISDICTION; WAIVER OF JURY TRIAL</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w:t>
      </w:r>
      <w:r>
        <w:rPr>
          <w:rFonts w:ascii="Times New Roman;sans-serif" w:hAnsi="Times New Roman;sans-serif"/>
          <w:b/>
          <w:color w:val="000000"/>
          <w:sz w:val="24"/>
          <w:u w:val="single"/>
        </w:rPr>
        <w:t>CHOICE OF LAW</w:t>
      </w:r>
      <w:r>
        <w:rPr>
          <w:rFonts w:ascii="Times New Roman;sans-serif" w:hAnsi="Times New Roman;sans-serif"/>
          <w:b/>
          <w:color w:val="000000"/>
          <w:sz w:val="24"/>
        </w:rPr>
        <w:t>. THE LOAN DOCUMENTS (OTHER THAN THOSE CONTAINING A CONTRARY EXPRESS CHOICE OF LAW PROVISION) SHALL BE CONSTRUED IN ACCORDANCE WITH THE INTERNAL LAWS OF THE STATE OF NEW YORK, WITHOUT REGARD TO THE CONFLICT OF LAWS PROVISIONS THEREOF (OTHER THAN THE PROVISIONS OF SECTIONS 5-1401 OF THE GENERAL OBLIGATIONS LAW OF THE STATE OF NEW YORK) BUT GIVING EFFECT TO FEDERAL LAWS APPLICABLE TO NATIONAL BANKS.</w:t>
      </w:r>
    </w:p>
    <w:p>
      <w:pPr>
        <w:pStyle w:val="TextBody"/>
        <w:bidi w:val="0"/>
        <w:spacing w:lineRule="auto" w:line="288" w:before="241" w:after="283"/>
        <w:ind w:left="0" w:right="0" w:firstLine="720"/>
        <w:jc w:val="left"/>
        <w:rPr/>
      </w:pPr>
      <w:r>
        <w:rPr>
          <w:rFonts w:ascii="Times New Roman;sans-serif" w:hAnsi="Times New Roman;sans-serif"/>
          <w:b w:val="false"/>
          <w:color w:val="000000"/>
          <w:sz w:val="24"/>
        </w:rPr>
        <w:t>1.2.</w:t>
      </w:r>
      <w:r>
        <w:rPr>
          <w:rFonts w:ascii="Times New Roman;sans-serif" w:hAnsi="Times New Roman;sans-serif"/>
          <w:b/>
          <w:color w:val="000000"/>
          <w:sz w:val="24"/>
          <w:u w:val="single"/>
        </w:rPr>
        <w:t>CONSENT TO JURISDICTION</w:t>
      </w:r>
      <w:r>
        <w:rPr>
          <w:rFonts w:ascii="Times New Roman;sans-serif" w:hAnsi="Times New Roman;sans-serif"/>
          <w:b/>
          <w:color w:val="000000"/>
          <w:sz w:val="24"/>
        </w:rPr>
        <w:t>. THE BORROWER AND ADMINISTRATIVE AGENT AND EACH LENDER HEREBY IRREVOCABLY SUBMITS TO THE EXCLUSIVE JURISDICTION OF ANY UNITED STATES FEDERAL OR STATE COURT SITTING IN MINNEAPOLIS, MINNESOTA IN ANY ACTION OR PROCEEDING ARISING OUT OF OR RELATING TO ANY LOAN DOCUMENTS,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ANY LC ISSUER OR ANY LENDER TO BRING PROCEEDINGS AGAINST THE BORROWER OR TO ENFORCE RIGHTS AND REMEDIES IN RESPECT OF COLLATERAL IN THE COURTS OF ANY OTHER JURISDICTION. ANY JUDICIAL PROCEEDING BY THE BORROWER AGAINST THE ADMINISTRATIVE AGENT, ANY LC ISSUER OR ANY LENDER OR ANY AFFILIATE OF THE ADMINISTRATIVE AGENT, ANY LC ISSUER OR ANY LENDER INVOLVING, DIRECTLY OR INDIRECTLY, ANY MATTER IN ANY WAY ARISING OUT OF, RELATED TO OR CONNECTED WITH ANY LOAN DOCUMENT SHALL BE BROUGHT ONLY IN A COURT IN MINNEAPOLIS, MINNESOTA.</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1.3.</w:t>
      </w:r>
      <w:r>
        <w:rPr>
          <w:rFonts w:ascii="Times New Roman;sans-serif" w:hAnsi="Times New Roman;sans-serif"/>
          <w:b/>
          <w:color w:val="000000"/>
          <w:sz w:val="24"/>
          <w:u w:val="single"/>
        </w:rPr>
        <w:t>WAIVER OF JURY TRIAL</w:t>
      </w:r>
      <w:r>
        <w:rPr>
          <w:rFonts w:ascii="Times New Roman;sans-serif" w:hAnsi="Times New Roman;sans-serif"/>
          <w:b/>
          <w:color w:val="000000"/>
          <w:sz w:val="24"/>
        </w:rPr>
        <w:t>. THE BORROWER, THE ADMINISTRATIVE AGENT, EACH LC ISSUER AND EACH LENDER HEREBY WAIVE TRIAL BY JURY IN ANY JUDICIAL PROCEEDING INVOLVING, DIRECTLY OR INDIRECTLY, ANY MATTER (WHETHER SOUNDING IN TORT, CONTRACT OR OTHERWISE) IN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15975"/>
                <wp:effectExtent l="0" t="0" r="0" b="0"/>
                <wp:wrapNone/>
                <wp:docPr id="135" name="Frame13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color w:val="000000"/>
          <w:sz w:val="24"/>
        </w:rPr>
      </w:pPr>
      <w:r>
        <w:rPr>
          <w:rFonts w:ascii="Times New Roman;sans-serif" w:hAnsi="Times New Roman;sans-serif"/>
          <w:b/>
          <w:color w:val="000000"/>
          <w:sz w:val="24"/>
        </w:rPr>
        <w:t>WAY ARISING OUT OF, RELATED TO OR CONNECTED WITH ANY LOAN DOCUMENT OR THE RELATIONSHIP ESTABLISHED THEREUNDER.</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15975"/>
                <wp:effectExtent l="0" t="0" r="0" b="0"/>
                <wp:wrapNone/>
                <wp:docPr id="136" name="Frame13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Borrower, the Lenders, the LC Issuers and the Administrative Agent have executed this Agreement as of the date first above written.</w:t>
      </w:r>
    </w:p>
    <w:p>
      <w:pPr>
        <w:pStyle w:val="TextBody"/>
        <w:bidi w:val="0"/>
        <w:spacing w:lineRule="auto" w:line="556" w:before="240" w:after="283"/>
        <w:jc w:val="left"/>
        <w:rPr/>
      </w:pPr>
      <w:r>
        <w:rPr>
          <w:rFonts w:ascii="Times New Roman;sans-serif" w:hAnsi="Times New Roman;sans-serif"/>
          <w:b w:val="false"/>
          <w:color w:val="000000"/>
          <w:sz w:val="24"/>
          <w:u w:val="single"/>
        </w:rPr>
        <w:t>BORROWER</w:t>
      </w:r>
      <w:r>
        <w:rPr>
          <w:rFonts w:ascii="Times New Roman;sans-serif" w:hAnsi="Times New Roman;sans-serif"/>
          <w:b w:val="false"/>
          <w:color w:val="000000"/>
          <w:sz w:val="24"/>
        </w:rPr>
        <w:t>: HAWKINS, INC.</w: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Jeffrey P. Oldenkamp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Executive Vice President and Chief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2" w:after="283"/>
        <w:jc w:val="left"/>
        <w:rPr/>
      </w:pPr>
      <w:r>
        <w:rPr/>
      </w:r>
    </w:p>
    <w:p>
      <w:pPr>
        <w:pStyle w:val="TextBody"/>
        <w:bidi w:val="0"/>
        <w:spacing w:lineRule="auto" w:line="240" w:before="6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Address for Borrower: </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Hawkins, Inc.</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2381 Rosegate</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Roseville, MN 55113</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Jeffrey P. Oldenkamp Telephone: 612-331-6910</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Fax: 612-225-6705</w:t>
      </w:r>
    </w:p>
    <w:p>
      <w:pPr>
        <w:pStyle w:val="TextBody"/>
        <w:bidi w:val="0"/>
        <w:spacing w:before="60" w:after="283"/>
        <w:jc w:val="left"/>
        <w:rPr/>
      </w:pPr>
      <w:r>
        <w:rPr/>
      </w:r>
    </w:p>
    <w:p>
      <w:pPr>
        <w:pStyle w:val="TextBody"/>
        <w:bidi w:val="0"/>
        <w:spacing w:lineRule="auto" w:line="240" w:before="6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Copies to:</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Faegre Drinker Biddle &amp; Reath LLP 90 South Seventh Street Minneapolis, MN 55402</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Attention: Nicole Leimer </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Telephone: (612) 766-7000</w: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Fax: (612) 766-1600</w:t>
      </w:r>
    </w:p>
    <w:p>
      <w:pPr>
        <w:pStyle w:val="TextBody"/>
        <w:bidi w:val="0"/>
        <w:spacing w:before="9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81685"/>
                <wp:effectExtent l="0" t="0" r="0" b="0"/>
                <wp:wrapNone/>
                <wp:docPr id="137" name="Frame137"/>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5909" w:type="dxa"/>
                              <w:jc w:val="left"/>
                              <w:tblInd w:w="0" w:type="dxa"/>
                              <w:tblLayout w:type="fixed"/>
                              <w:tblCellMar>
                                <w:top w:w="28" w:type="dxa"/>
                                <w:left w:w="28" w:type="dxa"/>
                                <w:bottom w:w="28" w:type="dxa"/>
                                <w:right w:w="28" w:type="dxa"/>
                              </w:tblCellMar>
                            </w:tblPr>
                            <w:tblGrid>
                              <w:gridCol w:w="1889"/>
                              <w:gridCol w:w="1664"/>
                              <w:gridCol w:w="2356"/>
                            </w:tblGrid>
                            <w:tr>
                              <w:trPr/>
                              <w:tc>
                                <w:tcPr>
                                  <w:tcW w:w="1889" w:type="dxa"/>
                                  <w:tcBorders/>
                                  <w:vAlign w:val="center"/>
                                </w:tcPr>
                                <w:p>
                                  <w:pPr>
                                    <w:pStyle w:val="TableContents"/>
                                    <w:bidi w:val="0"/>
                                    <w:spacing w:before="0" w:after="283"/>
                                    <w:jc w:val="left"/>
                                    <w:rPr>
                                      <w:sz w:val="4"/>
                                      <w:szCs w:val="4"/>
                                    </w:rPr>
                                  </w:pPr>
                                  <w:r>
                                    <w:rPr>
                                      <w:sz w:val="4"/>
                                      <w:szCs w:val="4"/>
                                    </w:rPr>
                                  </w:r>
                                  <w:r>
                                    <w:br w:type="page"/>
                                  </w:r>
                                </w:p>
                              </w:tc>
                              <w:tc>
                                <w:tcPr>
                                  <w:tcW w:w="166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1 to Second Amended and Restated 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5909" w:type="dxa"/>
                        <w:jc w:val="left"/>
                        <w:tblInd w:w="0" w:type="dxa"/>
                        <w:tblLayout w:type="fixed"/>
                        <w:tblCellMar>
                          <w:top w:w="28" w:type="dxa"/>
                          <w:left w:w="28" w:type="dxa"/>
                          <w:bottom w:w="28" w:type="dxa"/>
                          <w:right w:w="28" w:type="dxa"/>
                        </w:tblCellMar>
                      </w:tblPr>
                      <w:tblGrid>
                        <w:gridCol w:w="1889"/>
                        <w:gridCol w:w="1664"/>
                        <w:gridCol w:w="2356"/>
                      </w:tblGrid>
                      <w:tr>
                        <w:trPr/>
                        <w:tc>
                          <w:tcPr>
                            <w:tcW w:w="188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1 to Second Amended and Restated 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7"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BANK NATIONAL ASSOCIATION,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 Lender, as an LC Issuer and 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Stephen J. Heinen Title: Vice President</w:t>
      </w:r>
    </w:p>
    <w:p>
      <w:pPr>
        <w:pStyle w:val="TextBody"/>
        <w:bidi w:val="0"/>
        <w:spacing w:lineRule="auto" w:line="784" w:before="2" w:after="283"/>
        <w:jc w:val="left"/>
        <w:rPr/>
      </w:pPr>
      <w:r>
        <w:rPr>
          <w:rFonts w:ascii="Times New Roman;sans-serif" w:hAnsi="Times New Roman;sans-serif"/>
          <w:b w:val="false"/>
          <w:color w:val="000000"/>
          <w:sz w:val="24"/>
        </w:rPr>
        <w:t xml:space="preserve">Address for Administrative Agent: </w:t>
      </w:r>
      <w:r>
        <w:rPr>
          <w:rFonts w:ascii="Times New Roman;sans-serif" w:hAnsi="Times New Roman;sans-serif"/>
          <w:b w:val="false"/>
          <w:strike/>
          <w:color w:val="FF0000"/>
          <w:sz w:val="24"/>
        </w:rPr>
        <w:t>101 E. 5</w:t>
      </w:r>
      <w:r>
        <w:rPr>
          <w:rFonts w:ascii="Times New Roman;sans-serif" w:hAnsi="Times New Roman;sans-serif"/>
          <w:b w:val="false"/>
          <w:strike/>
          <w:color w:val="FF0000"/>
          <w:sz w:val="15"/>
        </w:rPr>
        <w:t>th</w:t>
      </w:r>
      <w:r>
        <w:rPr>
          <w:strike/>
          <w:color w:val="FF0000"/>
        </w:rPr>
        <w:t xml:space="preserve"> </w:t>
      </w:r>
      <w:r>
        <w:rPr>
          <w:rFonts w:ascii="Times New Roman;sans-serif" w:hAnsi="Times New Roman;sans-serif"/>
          <w:b w:val="false"/>
          <w:strike/>
          <w:color w:val="FF0000"/>
          <w:sz w:val="24"/>
        </w:rPr>
        <w:t>Street</w:t>
      </w:r>
    </w:p>
    <w:p>
      <w:pPr>
        <w:pStyle w:val="TextBody"/>
        <w:bidi w:val="0"/>
        <w:spacing w:lineRule="auto" w:line="288" w:before="5" w:after="283"/>
        <w:jc w:val="left"/>
        <w:rPr/>
      </w:pPr>
      <w:r>
        <w:rPr>
          <w:rFonts w:ascii="Times New Roman;sans-serif" w:hAnsi="Times New Roman;sans-serif"/>
          <w:b w:val="false"/>
          <w:strike/>
          <w:color w:val="FF0000"/>
          <w:sz w:val="24"/>
        </w:rPr>
        <w:t>EP-MN-S22C</w:t>
      </w:r>
      <w:r>
        <w:rPr>
          <w:rFonts w:ascii="Times New Roman;sans-serif" w:hAnsi="Times New Roman;sans-serif"/>
          <w:b w:val="false"/>
          <w:color w:val="0000FF"/>
          <w:sz w:val="24"/>
          <w:u w:val="single"/>
        </w:rPr>
        <w:t>800 Nicollet Mall</w:t>
      </w:r>
      <w:r>
        <w:rPr>
          <w:color w:val="0000FF"/>
        </w:rPr>
        <w:t xml:space="preserve"> </w:t>
      </w:r>
      <w:r>
        <w:rPr>
          <w:rFonts w:ascii="Times New Roman;sans-serif" w:hAnsi="Times New Roman;sans-serif"/>
          <w:b w:val="false"/>
          <w:color w:val="0000FF"/>
          <w:sz w:val="24"/>
          <w:u w:val="single"/>
        </w:rPr>
        <w:t>BC-MN-5SPM</w:t>
      </w:r>
    </w:p>
    <w:p>
      <w:pPr>
        <w:pStyle w:val="TextBody"/>
        <w:bidi w:val="0"/>
        <w:spacing w:lineRule="auto" w:line="288" w:before="0" w:after="0"/>
        <w:jc w:val="left"/>
        <w:rPr/>
      </w:pPr>
      <w:r>
        <w:rPr>
          <w:rFonts w:ascii="Times New Roman;sans-serif" w:hAnsi="Times New Roman;sans-serif"/>
          <w:b w:val="false"/>
          <w:strike/>
          <w:color w:val="FF0000"/>
          <w:sz w:val="24"/>
        </w:rPr>
        <w:t>St. Paul</w:t>
      </w:r>
      <w:r>
        <w:rPr>
          <w:rFonts w:ascii="Times New Roman;sans-serif" w:hAnsi="Times New Roman;sans-serif"/>
          <w:b w:val="false"/>
          <w:color w:val="0000FF"/>
          <w:sz w:val="24"/>
          <w:u w:val="single"/>
        </w:rPr>
        <w:t>Minneapolis</w:t>
      </w:r>
      <w:r>
        <w:rPr>
          <w:rFonts w:ascii="Times New Roman;sans-serif" w:hAnsi="Times New Roman;sans-serif"/>
          <w:b w:val="false"/>
          <w:color w:val="000000"/>
          <w:sz w:val="24"/>
        </w:rPr>
        <w:t xml:space="preserve">, MN </w:t>
      </w:r>
      <w:r>
        <w:rPr>
          <w:rFonts w:ascii="Times New Roman;sans-serif" w:hAnsi="Times New Roman;sans-serif"/>
          <w:b w:val="false"/>
          <w:strike/>
          <w:color w:val="FF0000"/>
          <w:sz w:val="24"/>
        </w:rPr>
        <w:t>55101</w:t>
      </w:r>
      <w:r>
        <w:rPr>
          <w:rFonts w:ascii="Times New Roman;sans-serif" w:hAnsi="Times New Roman;sans-serif"/>
          <w:b w:val="false"/>
          <w:color w:val="0000FF"/>
          <w:sz w:val="24"/>
          <w:u w:val="single"/>
        </w:rPr>
        <w:t>55402</w:t>
      </w:r>
      <w:r>
        <w:rPr>
          <w:color w:val="0000FF"/>
        </w:rPr>
        <w:t xml:space="preserve"> </w:t>
      </w:r>
      <w:r>
        <w:rPr>
          <w:rFonts w:ascii="Times New Roman;sans-serif" w:hAnsi="Times New Roman;sans-serif"/>
          <w:b w:val="false"/>
          <w:color w:val="000000"/>
          <w:sz w:val="24"/>
        </w:rPr>
        <w:t>Attention:    Stephen Heinen</w:t>
      </w:r>
    </w:p>
    <w:p>
      <w:pPr>
        <w:pStyle w:val="TextBody"/>
        <w:bidi w:val="0"/>
        <w:spacing w:lineRule="auto" w:line="288" w:before="0" w:after="0"/>
        <w:jc w:val="left"/>
        <w:rPr/>
      </w:pPr>
      <w:r>
        <w:rPr>
          <w:rFonts w:ascii="Times New Roman;sans-serif" w:hAnsi="Times New Roman;sans-serif"/>
          <w:b w:val="false"/>
          <w:color w:val="000000"/>
          <w:sz w:val="24"/>
        </w:rPr>
        <w:t>Telephone:    (</w:t>
      </w:r>
      <w:r>
        <w:rPr>
          <w:rFonts w:ascii="Times New Roman;sans-serif" w:hAnsi="Times New Roman;sans-serif"/>
          <w:b w:val="false"/>
          <w:strike/>
          <w:color w:val="FF0000"/>
          <w:sz w:val="24"/>
        </w:rPr>
        <w:t>651</w:t>
      </w:r>
      <w:r>
        <w:rPr>
          <w:rFonts w:ascii="Times New Roman;sans-serif" w:hAnsi="Times New Roman;sans-serif"/>
          <w:b w:val="false"/>
          <w:color w:val="0000FF"/>
          <w:sz w:val="24"/>
          <w:u w:val="single"/>
        </w:rPr>
        <w:t>612</w:t>
      </w:r>
      <w:r>
        <w:rPr>
          <w:rFonts w:ascii="Times New Roman;sans-serif" w:hAnsi="Times New Roman;sans-serif"/>
          <w:b w:val="false"/>
          <w:color w:val="000000"/>
          <w:sz w:val="24"/>
        </w:rPr>
        <w:t>)</w:t>
      </w:r>
      <w:r>
        <w:rPr>
          <w:rFonts w:ascii="Times New Roman;sans-serif" w:hAnsi="Times New Roman;sans-serif"/>
          <w:b w:val="false"/>
          <w:strike/>
          <w:color w:val="FF0000"/>
          <w:sz w:val="24"/>
        </w:rPr>
        <w:t>-466-8128</w:t>
      </w:r>
      <w:r>
        <w:rPr>
          <w:color w:val="FF0000"/>
        </w:rPr>
        <w:t xml:space="preserve"> </w:t>
      </w:r>
      <w:r>
        <w:rPr>
          <w:rFonts w:ascii="Times New Roman;sans-serif" w:hAnsi="Times New Roman;sans-serif"/>
          <w:b w:val="false"/>
          <w:color w:val="0000FF"/>
          <w:sz w:val="24"/>
          <w:u w:val="single"/>
        </w:rPr>
        <w:t>269-2015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Fax:    (651)-466-8923</w:t>
      </w:r>
    </w:p>
    <w:p>
      <w:pPr>
        <w:pStyle w:val="TextBody"/>
        <w:bidi w:val="0"/>
        <w:spacing w:before="161"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Dorsey &amp; Whitney, LLP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 South Sixth Street, Suite 1500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Minneapolis, MN 55419 Attention: Erik Detlefsen Telephone: (612) 349-2888</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Fax: (612) 340-2868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81685"/>
                <wp:effectExtent l="0" t="0" r="0" b="0"/>
                <wp:wrapNone/>
                <wp:docPr id="138" name="Frame138"/>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5909" w:type="dxa"/>
                              <w:jc w:val="left"/>
                              <w:tblInd w:w="0" w:type="dxa"/>
                              <w:tblLayout w:type="fixed"/>
                              <w:tblCellMar>
                                <w:top w:w="28" w:type="dxa"/>
                                <w:left w:w="28" w:type="dxa"/>
                                <w:bottom w:w="28" w:type="dxa"/>
                                <w:right w:w="28" w:type="dxa"/>
                              </w:tblCellMar>
                            </w:tblPr>
                            <w:tblGrid>
                              <w:gridCol w:w="1889"/>
                              <w:gridCol w:w="1664"/>
                              <w:gridCol w:w="2356"/>
                            </w:tblGrid>
                            <w:tr>
                              <w:trPr/>
                              <w:tc>
                                <w:tcPr>
                                  <w:tcW w:w="1889" w:type="dxa"/>
                                  <w:tcBorders/>
                                  <w:vAlign w:val="center"/>
                                </w:tcPr>
                                <w:p>
                                  <w:pPr>
                                    <w:pStyle w:val="TableContents"/>
                                    <w:bidi w:val="0"/>
                                    <w:spacing w:before="0" w:after="283"/>
                                    <w:jc w:val="left"/>
                                    <w:rPr>
                                      <w:sz w:val="4"/>
                                      <w:szCs w:val="4"/>
                                    </w:rPr>
                                  </w:pPr>
                                  <w:r>
                                    <w:rPr>
                                      <w:sz w:val="4"/>
                                      <w:szCs w:val="4"/>
                                    </w:rPr>
                                  </w:r>
                                  <w:r>
                                    <w:br w:type="page"/>
                                  </w:r>
                                </w:p>
                              </w:tc>
                              <w:tc>
                                <w:tcPr>
                                  <w:tcW w:w="166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2 to Second Amended and Restated 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5909" w:type="dxa"/>
                        <w:jc w:val="left"/>
                        <w:tblInd w:w="0" w:type="dxa"/>
                        <w:tblLayout w:type="fixed"/>
                        <w:tblCellMar>
                          <w:top w:w="28" w:type="dxa"/>
                          <w:left w:w="28" w:type="dxa"/>
                          <w:bottom w:w="28" w:type="dxa"/>
                          <w:right w:w="28" w:type="dxa"/>
                        </w:tblCellMar>
                      </w:tblPr>
                      <w:tblGrid>
                        <w:gridCol w:w="1889"/>
                        <w:gridCol w:w="1664"/>
                        <w:gridCol w:w="2356"/>
                      </w:tblGrid>
                      <w:tr>
                        <w:trPr/>
                        <w:tc>
                          <w:tcPr>
                            <w:tcW w:w="188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2 to Second Amended and Restated 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7" w:after="283"/>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 Lender and an LC Issuer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Address for JPMorgan Chase Bank, N.A.: 650 3</w:t>
      </w:r>
      <w:r>
        <w:rPr>
          <w:rFonts w:ascii="Times New Roman;sans-serif" w:hAnsi="Times New Roman;sans-serif"/>
          <w:b w:val="false"/>
          <w:color w:val="000000"/>
          <w:sz w:val="15"/>
        </w:rPr>
        <w:t xml:space="preserve">rd </w:t>
      </w:r>
      <w:r>
        <w:rPr>
          <w:rFonts w:ascii="Times New Roman;sans-serif" w:hAnsi="Times New Roman;sans-serif"/>
          <w:b w:val="false"/>
          <w:color w:val="000000"/>
          <w:sz w:val="24"/>
        </w:rPr>
        <w:t>Ave. South</w:t>
      </w:r>
    </w:p>
    <w:p>
      <w:pPr>
        <w:pStyle w:val="TextBody"/>
        <w:bidi w:val="0"/>
        <w:spacing w:lineRule="auto" w:line="288" w:before="3"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Suite 450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Minneapolis, MN 55402 Attention:     Martin Cherney Telephone:    (612) 486-5492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Fax:    (612) 333-9194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81685"/>
                <wp:effectExtent l="0" t="0" r="0" b="0"/>
                <wp:wrapNone/>
                <wp:docPr id="139" name="Frame139"/>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5909" w:type="dxa"/>
                              <w:jc w:val="left"/>
                              <w:tblInd w:w="0" w:type="dxa"/>
                              <w:tblLayout w:type="fixed"/>
                              <w:tblCellMar>
                                <w:top w:w="28" w:type="dxa"/>
                                <w:left w:w="28" w:type="dxa"/>
                                <w:bottom w:w="28" w:type="dxa"/>
                                <w:right w:w="28" w:type="dxa"/>
                              </w:tblCellMar>
                            </w:tblPr>
                            <w:tblGrid>
                              <w:gridCol w:w="1889"/>
                              <w:gridCol w:w="1664"/>
                              <w:gridCol w:w="2356"/>
                            </w:tblGrid>
                            <w:tr>
                              <w:trPr/>
                              <w:tc>
                                <w:tcPr>
                                  <w:tcW w:w="1889" w:type="dxa"/>
                                  <w:tcBorders/>
                                  <w:vAlign w:val="center"/>
                                </w:tcPr>
                                <w:p>
                                  <w:pPr>
                                    <w:pStyle w:val="TableContents"/>
                                    <w:bidi w:val="0"/>
                                    <w:spacing w:before="0" w:after="283"/>
                                    <w:jc w:val="left"/>
                                    <w:rPr>
                                      <w:sz w:val="4"/>
                                      <w:szCs w:val="4"/>
                                    </w:rPr>
                                  </w:pPr>
                                  <w:r>
                                    <w:rPr>
                                      <w:sz w:val="4"/>
                                      <w:szCs w:val="4"/>
                                    </w:rPr>
                                  </w:r>
                                  <w:r>
                                    <w:br w:type="page"/>
                                  </w:r>
                                </w:p>
                              </w:tc>
                              <w:tc>
                                <w:tcPr>
                                  <w:tcW w:w="166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3 to Second Amended and Restated 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5909" w:type="dxa"/>
                        <w:jc w:val="left"/>
                        <w:tblInd w:w="0" w:type="dxa"/>
                        <w:tblLayout w:type="fixed"/>
                        <w:tblCellMar>
                          <w:top w:w="28" w:type="dxa"/>
                          <w:left w:w="28" w:type="dxa"/>
                          <w:bottom w:w="28" w:type="dxa"/>
                          <w:right w:w="28" w:type="dxa"/>
                        </w:tblCellMar>
                      </w:tblPr>
                      <w:tblGrid>
                        <w:gridCol w:w="1889"/>
                        <w:gridCol w:w="1664"/>
                        <w:gridCol w:w="2356"/>
                      </w:tblGrid>
                      <w:tr>
                        <w:trPr/>
                        <w:tc>
                          <w:tcPr>
                            <w:tcW w:w="188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3 to Second Amended and Restated 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PRICING SCHEDULE</w:t>
      </w:r>
    </w:p>
    <w:p>
      <w:pPr>
        <w:pStyle w:val="TextBody"/>
        <w:bidi w:val="0"/>
        <w:spacing w:before="9" w:after="283"/>
        <w:jc w:val="left"/>
        <w:rPr/>
      </w:pPr>
      <w:r>
        <w:rPr/>
      </w:r>
    </w:p>
    <w:tbl>
      <w:tblPr>
        <w:tblW w:w="8530" w:type="dxa"/>
        <w:jc w:val="left"/>
        <w:tblInd w:w="0" w:type="dxa"/>
        <w:tblLayout w:type="fixed"/>
        <w:tblCellMar>
          <w:top w:w="28" w:type="dxa"/>
          <w:left w:w="28" w:type="dxa"/>
          <w:bottom w:w="28" w:type="dxa"/>
          <w:right w:w="28" w:type="dxa"/>
        </w:tblCellMar>
      </w:tblPr>
      <w:tblGrid>
        <w:gridCol w:w="836"/>
        <w:gridCol w:w="735"/>
        <w:gridCol w:w="739"/>
        <w:gridCol w:w="378"/>
        <w:gridCol w:w="378"/>
        <w:gridCol w:w="383"/>
        <w:gridCol w:w="418"/>
        <w:gridCol w:w="418"/>
        <w:gridCol w:w="423"/>
        <w:gridCol w:w="418"/>
        <w:gridCol w:w="418"/>
        <w:gridCol w:w="423"/>
        <w:gridCol w:w="418"/>
        <w:gridCol w:w="418"/>
        <w:gridCol w:w="423"/>
        <w:gridCol w:w="380"/>
        <w:gridCol w:w="380"/>
        <w:gridCol w:w="54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Applicable</w:t>
            </w:r>
          </w:p>
          <w:p>
            <w:pPr>
              <w:pStyle w:val="TableContents"/>
              <w:bidi w:val="0"/>
              <w:spacing w:lineRule="atLeast" w:line="261" w:before="7" w:after="283"/>
              <w:jc w:val="left"/>
              <w:rPr>
                <w:rFonts w:ascii="Times New Roman;sans-serif" w:hAnsi="Times New Roman;sans-serif"/>
                <w:b/>
                <w:color w:val="000000"/>
                <w:sz w:val="24"/>
              </w:rPr>
            </w:pPr>
            <w:r>
              <w:rPr>
                <w:rFonts w:ascii="Times New Roman;sans-serif" w:hAnsi="Times New Roman;sans-serif"/>
                <w:b/>
                <w:color w:val="000000"/>
                <w:sz w:val="24"/>
              </w:rPr>
              <w:t>Margin</w:t>
            </w:r>
          </w:p>
        </w:tc>
        <w:tc>
          <w:tcPr>
            <w:tcW w:w="113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Level I</w:t>
            </w:r>
          </w:p>
          <w:p>
            <w:pPr>
              <w:pStyle w:val="TableContents"/>
              <w:bidi w:val="0"/>
              <w:spacing w:lineRule="atLeast" w:line="261" w:before="7" w:after="283"/>
              <w:jc w:val="left"/>
              <w:rPr>
                <w:rFonts w:ascii="Times New Roman;sans-serif" w:hAnsi="Times New Roman;sans-serif"/>
                <w:b/>
                <w:color w:val="000000"/>
                <w:sz w:val="24"/>
              </w:rPr>
            </w:pPr>
            <w:r>
              <w:rPr>
                <w:rFonts w:ascii="Times New Roman;sans-serif" w:hAnsi="Times New Roman;sans-serif"/>
                <w:b/>
                <w:color w:val="000000"/>
                <w:sz w:val="24"/>
              </w:rPr>
              <w:t>Status</w:t>
            </w:r>
          </w:p>
        </w:tc>
        <w:tc>
          <w:tcPr>
            <w:tcW w:w="125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Level II</w:t>
            </w:r>
          </w:p>
          <w:p>
            <w:pPr>
              <w:pStyle w:val="TableContents"/>
              <w:bidi w:val="0"/>
              <w:spacing w:lineRule="atLeast" w:line="261" w:before="7" w:after="283"/>
              <w:jc w:val="left"/>
              <w:rPr>
                <w:rFonts w:ascii="Times New Roman;sans-serif" w:hAnsi="Times New Roman;sans-serif"/>
                <w:b/>
                <w:color w:val="000000"/>
                <w:sz w:val="24"/>
              </w:rPr>
            </w:pPr>
            <w:r>
              <w:rPr>
                <w:rFonts w:ascii="Times New Roman;sans-serif" w:hAnsi="Times New Roman;sans-serif"/>
                <w:b/>
                <w:color w:val="000000"/>
                <w:sz w:val="24"/>
              </w:rPr>
              <w:t>Status</w:t>
            </w:r>
          </w:p>
        </w:tc>
        <w:tc>
          <w:tcPr>
            <w:tcW w:w="125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Level III</w:t>
            </w:r>
          </w:p>
          <w:p>
            <w:pPr>
              <w:pStyle w:val="TableContents"/>
              <w:bidi w:val="0"/>
              <w:spacing w:lineRule="atLeast" w:line="261" w:before="7" w:after="283"/>
              <w:jc w:val="left"/>
              <w:rPr>
                <w:rFonts w:ascii="Times New Roman;sans-serif" w:hAnsi="Times New Roman;sans-serif"/>
                <w:b/>
                <w:color w:val="000000"/>
                <w:sz w:val="24"/>
              </w:rPr>
            </w:pPr>
            <w:r>
              <w:rPr>
                <w:rFonts w:ascii="Times New Roman;sans-serif" w:hAnsi="Times New Roman;sans-serif"/>
                <w:b/>
                <w:color w:val="000000"/>
                <w:sz w:val="24"/>
              </w:rPr>
              <w:t>Status</w:t>
            </w:r>
          </w:p>
        </w:tc>
        <w:tc>
          <w:tcPr>
            <w:tcW w:w="125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Level IV</w:t>
            </w:r>
          </w:p>
          <w:p>
            <w:pPr>
              <w:pStyle w:val="TableContents"/>
              <w:bidi w:val="0"/>
              <w:spacing w:lineRule="atLeast" w:line="261" w:before="7" w:after="283"/>
              <w:jc w:val="left"/>
              <w:rPr>
                <w:rFonts w:ascii="Times New Roman;sans-serif" w:hAnsi="Times New Roman;sans-serif"/>
                <w:b/>
                <w:color w:val="000000"/>
                <w:sz w:val="24"/>
              </w:rPr>
            </w:pPr>
            <w:r>
              <w:rPr>
                <w:rFonts w:ascii="Times New Roman;sans-serif" w:hAnsi="Times New Roman;sans-serif"/>
                <w:b/>
                <w:color w:val="000000"/>
                <w:sz w:val="24"/>
              </w:rPr>
              <w:t>Status</w:t>
            </w:r>
          </w:p>
        </w:tc>
        <w:tc>
          <w:tcPr>
            <w:tcW w:w="1304" w:type="dxa"/>
            <w:gridSpan w:val="3"/>
            <w:tcBorders>
              <w:top w:val="single" w:sz="4" w:space="0" w:color="010101"/>
              <w:left w:val="single" w:sz="4" w:space="0" w:color="010101"/>
              <w:right w:val="single" w:sz="6" w:space="0" w:color="010101"/>
            </w:tcBorders>
            <w:tcMar>
              <w:top w:w="30" w:type="dxa"/>
              <w:bottom w:w="0" w:type="dxa"/>
            </w:tcMar>
            <w:vAlign w:val="center"/>
          </w:tcPr>
          <w:p>
            <w:pPr>
              <w:pStyle w:val="TableContents"/>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Level V</w:t>
            </w:r>
          </w:p>
          <w:p>
            <w:pPr>
              <w:pStyle w:val="TableContents"/>
              <w:bidi w:val="0"/>
              <w:spacing w:lineRule="atLeast" w:line="261" w:before="7" w:after="283"/>
              <w:jc w:val="left"/>
              <w:rPr>
                <w:rFonts w:ascii="Times New Roman;sans-serif" w:hAnsi="Times New Roman;sans-serif"/>
                <w:b/>
                <w:color w:val="000000"/>
                <w:sz w:val="24"/>
              </w:rPr>
            </w:pPr>
            <w:r>
              <w:rPr>
                <w:rFonts w:ascii="Times New Roman;sans-serif" w:hAnsi="Times New Roman;sans-serif"/>
                <w:b/>
                <w:color w:val="000000"/>
                <w:sz w:val="24"/>
              </w:rPr>
              <w:t>Status</w:t>
            </w:r>
          </w:p>
        </w:tc>
      </w:tr>
      <w:tr>
        <w:trPr/>
        <w:tc>
          <w:tcPr>
            <w:tcW w:w="2310"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 w:after="283"/>
              <w:jc w:val="left"/>
              <w:rPr/>
            </w:pPr>
            <w:r>
              <w:rPr>
                <w:rFonts w:ascii="Times New Roman;sans-serif" w:hAnsi="Times New Roman;sans-serif"/>
                <w:b w:val="false"/>
                <w:i/>
                <w:color w:val="000000"/>
                <w:sz w:val="24"/>
              </w:rPr>
              <w:t xml:space="preserve">Term SOFR </w:t>
            </w:r>
            <w:r>
              <w:rPr>
                <w:rFonts w:ascii="Times New Roman;sans-serif" w:hAnsi="Times New Roman;sans-serif"/>
                <w:b w:val="false"/>
                <w:i/>
                <w:color w:val="0000FF"/>
                <w:sz w:val="24"/>
                <w:u w:val="single"/>
              </w:rPr>
              <w:t>Base</w:t>
            </w:r>
            <w:r>
              <w:rPr>
                <w:color w:val="0000FF"/>
              </w:rPr>
              <w:t xml:space="preserve"> </w:t>
            </w:r>
            <w:r>
              <w:rPr>
                <w:rFonts w:ascii="Times New Roman;sans-serif" w:hAnsi="Times New Roman;sans-serif"/>
                <w:b w:val="false"/>
                <w:i/>
                <w:color w:val="000000"/>
                <w:sz w:val="24"/>
              </w:rPr>
              <w:t>Rate</w:t>
            </w:r>
          </w:p>
        </w:tc>
        <w:tc>
          <w:tcPr>
            <w:tcW w:w="113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38" w:after="283"/>
              <w:jc w:val="left"/>
              <w:rPr/>
            </w:pPr>
            <w:r>
              <w:rPr>
                <w:rFonts w:ascii="Times New Roman;sans-serif" w:hAnsi="Times New Roman;sans-serif"/>
                <w:b w:val="false"/>
                <w:i/>
                <w:strike/>
                <w:color w:val="FF0000"/>
                <w:sz w:val="24"/>
              </w:rPr>
              <w:t>0.85</w:t>
            </w:r>
            <w:r>
              <w:rPr>
                <w:rFonts w:ascii="Times New Roman;sans-serif" w:hAnsi="Times New Roman;sans-serif"/>
                <w:b w:val="false"/>
                <w:i/>
                <w:color w:val="0000FF"/>
                <w:sz w:val="24"/>
                <w:u w:val="single"/>
              </w:rPr>
              <w:t>1.00</w:t>
            </w:r>
            <w:r>
              <w:rPr>
                <w:rFonts w:ascii="Times New Roman;sans-serif" w:hAnsi="Times New Roman;sans-serif"/>
                <w:b w:val="false"/>
                <w:i/>
                <w:color w:val="000000"/>
                <w:sz w:val="24"/>
              </w:rPr>
              <w:t>%</w:t>
            </w:r>
          </w:p>
        </w:tc>
        <w:tc>
          <w:tcPr>
            <w:tcW w:w="125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38" w:after="283"/>
              <w:jc w:val="left"/>
              <w:rPr/>
            </w:pPr>
            <w:r>
              <w:rPr>
                <w:rFonts w:ascii="Times New Roman;sans-serif" w:hAnsi="Times New Roman;sans-serif"/>
                <w:b w:val="false"/>
                <w:i/>
                <w:strike/>
                <w:color w:val="FF0000"/>
                <w:sz w:val="24"/>
              </w:rPr>
              <w:t>1.00</w:t>
            </w:r>
            <w:r>
              <w:rPr>
                <w:rFonts w:ascii="Times New Roman;sans-serif" w:hAnsi="Times New Roman;sans-serif"/>
                <w:b w:val="false"/>
                <w:i/>
                <w:color w:val="0000FF"/>
                <w:sz w:val="24"/>
                <w:u w:val="single"/>
              </w:rPr>
              <w:t>1.125</w:t>
            </w:r>
            <w:r>
              <w:rPr>
                <w:rFonts w:ascii="Times New Roman;sans-serif" w:hAnsi="Times New Roman;sans-serif"/>
                <w:b w:val="false"/>
                <w:i/>
                <w:color w:val="000000"/>
                <w:sz w:val="24"/>
              </w:rPr>
              <w:t>%</w:t>
            </w:r>
          </w:p>
        </w:tc>
        <w:tc>
          <w:tcPr>
            <w:tcW w:w="125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38" w:after="283"/>
              <w:jc w:val="center"/>
              <w:rPr/>
            </w:pPr>
            <w:r>
              <w:rPr>
                <w:rFonts w:ascii="Times New Roman;sans-serif" w:hAnsi="Times New Roman;sans-serif"/>
                <w:b w:val="false"/>
                <w:i/>
                <w:strike/>
                <w:color w:val="FF0000"/>
                <w:sz w:val="24"/>
              </w:rPr>
              <w:t>1.15</w:t>
            </w:r>
            <w:r>
              <w:rPr>
                <w:rFonts w:ascii="Times New Roman;sans-serif" w:hAnsi="Times New Roman;sans-serif"/>
                <w:b w:val="false"/>
                <w:i/>
                <w:color w:val="0000FF"/>
                <w:sz w:val="24"/>
                <w:u w:val="single"/>
              </w:rPr>
              <w:t>1.350</w:t>
            </w:r>
            <w:r>
              <w:rPr>
                <w:rFonts w:ascii="Times New Roman;sans-serif" w:hAnsi="Times New Roman;sans-serif"/>
                <w:b w:val="false"/>
                <w:i/>
                <w:color w:val="000000"/>
                <w:sz w:val="24"/>
              </w:rPr>
              <w:t>%</w:t>
            </w:r>
          </w:p>
        </w:tc>
        <w:tc>
          <w:tcPr>
            <w:tcW w:w="125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38" w:after="283"/>
              <w:jc w:val="left"/>
              <w:rPr/>
            </w:pPr>
            <w:r>
              <w:rPr>
                <w:rFonts w:ascii="Times New Roman;sans-serif" w:hAnsi="Times New Roman;sans-serif"/>
                <w:b w:val="false"/>
                <w:i/>
                <w:strike/>
                <w:color w:val="FF0000"/>
                <w:sz w:val="24"/>
              </w:rPr>
              <w:t>1.25</w:t>
            </w:r>
            <w:r>
              <w:rPr>
                <w:rFonts w:ascii="Times New Roman;sans-serif" w:hAnsi="Times New Roman;sans-serif"/>
                <w:b w:val="false"/>
                <w:i/>
                <w:color w:val="0000FF"/>
                <w:sz w:val="24"/>
                <w:u w:val="single"/>
              </w:rPr>
              <w:t>1.600</w:t>
            </w:r>
            <w:r>
              <w:rPr>
                <w:rFonts w:ascii="Times New Roman;sans-serif" w:hAnsi="Times New Roman;sans-serif"/>
                <w:b w:val="false"/>
                <w:i/>
                <w:color w:val="000000"/>
                <w:sz w:val="24"/>
              </w:rPr>
              <w:t>%</w:t>
            </w:r>
          </w:p>
        </w:tc>
        <w:tc>
          <w:tcPr>
            <w:tcW w:w="1304" w:type="dxa"/>
            <w:gridSpan w:val="3"/>
            <w:tcBorders>
              <w:top w:val="single" w:sz="4" w:space="0" w:color="010101"/>
              <w:left w:val="single" w:sz="4" w:space="0" w:color="010101"/>
              <w:right w:val="single" w:sz="6" w:space="0" w:color="010101"/>
            </w:tcBorders>
            <w:tcMar>
              <w:top w:w="30" w:type="dxa"/>
              <w:bottom w:w="0" w:type="dxa"/>
            </w:tcMar>
            <w:vAlign w:val="center"/>
          </w:tcPr>
          <w:p>
            <w:pPr>
              <w:pStyle w:val="TableContents"/>
              <w:bidi w:val="0"/>
              <w:spacing w:lineRule="auto" w:line="288" w:before="138" w:after="283"/>
              <w:jc w:val="left"/>
              <w:rPr/>
            </w:pPr>
            <w:r>
              <w:rPr>
                <w:rFonts w:ascii="Times New Roman;sans-serif" w:hAnsi="Times New Roman;sans-serif"/>
                <w:b w:val="false"/>
                <w:i/>
                <w:strike/>
                <w:color w:val="FF0000"/>
                <w:sz w:val="24"/>
              </w:rPr>
              <w:t>1.35</w:t>
            </w:r>
            <w:r>
              <w:rPr>
                <w:rFonts w:ascii="Times New Roman;sans-serif" w:hAnsi="Times New Roman;sans-serif"/>
                <w:b w:val="false"/>
                <w:i/>
                <w:color w:val="0000FF"/>
                <w:sz w:val="24"/>
                <w:u w:val="single"/>
              </w:rPr>
              <w:t>1.850</w:t>
            </w:r>
            <w:r>
              <w:rPr>
                <w:rFonts w:ascii="Times New Roman;sans-serif" w:hAnsi="Times New Roman;sans-serif"/>
                <w:b w:val="false"/>
                <w:i/>
                <w:color w:val="000000"/>
                <w:sz w:val="24"/>
              </w:rPr>
              <w:t>%</w:t>
            </w:r>
          </w:p>
        </w:tc>
      </w:tr>
      <w:tr>
        <w:trPr/>
        <w:tc>
          <w:tcPr>
            <w:tcW w:w="2310"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Base Rate</w:t>
            </w:r>
          </w:p>
        </w:tc>
        <w:tc>
          <w:tcPr>
            <w:tcW w:w="1139" w:type="dxa"/>
            <w:gridSpan w:val="3"/>
            <w:tcBorders>
              <w:top w:val="single" w:sz="4" w:space="0" w:color="010101"/>
              <w:left w:val="single" w:sz="4" w:space="0" w:color="010101"/>
              <w:bottom w:val="single" w:sz="4" w:space="0" w:color="010101"/>
            </w:tcBorders>
            <w:tcMar>
              <w:top w:w="30" w:type="dxa"/>
              <w:left w:w="76"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0.00%</w:t>
            </w:r>
          </w:p>
        </w:tc>
        <w:tc>
          <w:tcPr>
            <w:tcW w:w="1259"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 w:after="283"/>
              <w:jc w:val="left"/>
              <w:rPr/>
            </w:pPr>
            <w:r>
              <w:rPr>
                <w:rFonts w:ascii="Times New Roman;sans-serif" w:hAnsi="Times New Roman;sans-serif"/>
                <w:b w:val="false"/>
                <w:i/>
                <w:strike/>
                <w:color w:val="FF0000"/>
                <w:sz w:val="24"/>
              </w:rPr>
              <w:t>0.00</w:t>
            </w:r>
            <w:r>
              <w:rPr>
                <w:rFonts w:ascii="Times New Roman;sans-serif" w:hAnsi="Times New Roman;sans-serif"/>
                <w:b w:val="false"/>
                <w:i/>
                <w:color w:val="0000FF"/>
                <w:sz w:val="24"/>
                <w:u w:val="single"/>
              </w:rPr>
              <w:t>0.125</w:t>
            </w:r>
            <w:r>
              <w:rPr>
                <w:rFonts w:ascii="Times New Roman;sans-serif" w:hAnsi="Times New Roman;sans-serif"/>
                <w:b w:val="false"/>
                <w:i/>
                <w:color w:val="000000"/>
                <w:sz w:val="24"/>
              </w:rPr>
              <w:t>%</w:t>
            </w:r>
          </w:p>
        </w:tc>
        <w:tc>
          <w:tcPr>
            <w:tcW w:w="1259"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 w:after="283"/>
              <w:jc w:val="center"/>
              <w:rPr/>
            </w:pPr>
            <w:r>
              <w:rPr>
                <w:rFonts w:ascii="Times New Roman;sans-serif" w:hAnsi="Times New Roman;sans-serif"/>
                <w:b w:val="false"/>
                <w:i/>
                <w:strike/>
                <w:color w:val="FF0000"/>
                <w:sz w:val="24"/>
              </w:rPr>
              <w:t>0.15</w:t>
            </w:r>
            <w:r>
              <w:rPr>
                <w:rFonts w:ascii="Times New Roman;sans-serif" w:hAnsi="Times New Roman;sans-serif"/>
                <w:b w:val="false"/>
                <w:i/>
                <w:color w:val="0000FF"/>
                <w:sz w:val="24"/>
                <w:u w:val="single"/>
              </w:rPr>
              <w:t>0.350</w:t>
            </w:r>
            <w:r>
              <w:rPr>
                <w:rFonts w:ascii="Times New Roman;sans-serif" w:hAnsi="Times New Roman;sans-serif"/>
                <w:b w:val="false"/>
                <w:i/>
                <w:color w:val="000000"/>
                <w:sz w:val="24"/>
              </w:rPr>
              <w:t>%</w:t>
            </w:r>
          </w:p>
        </w:tc>
        <w:tc>
          <w:tcPr>
            <w:tcW w:w="1259"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 w:after="283"/>
              <w:jc w:val="left"/>
              <w:rPr/>
            </w:pPr>
            <w:r>
              <w:rPr>
                <w:rFonts w:ascii="Times New Roman;sans-serif" w:hAnsi="Times New Roman;sans-serif"/>
                <w:b w:val="false"/>
                <w:i/>
                <w:strike/>
                <w:color w:val="FF0000"/>
                <w:sz w:val="24"/>
              </w:rPr>
              <w:t>0.25</w:t>
            </w:r>
            <w:r>
              <w:rPr>
                <w:rFonts w:ascii="Times New Roman;sans-serif" w:hAnsi="Times New Roman;sans-serif"/>
                <w:b w:val="false"/>
                <w:i/>
                <w:color w:val="0000FF"/>
                <w:sz w:val="24"/>
                <w:u w:val="single"/>
              </w:rPr>
              <w:t>0.600</w:t>
            </w:r>
            <w:r>
              <w:rPr>
                <w:rFonts w:ascii="Times New Roman;sans-serif" w:hAnsi="Times New Roman;sans-serif"/>
                <w:b w:val="false"/>
                <w:i/>
                <w:color w:val="000000"/>
                <w:sz w:val="24"/>
              </w:rPr>
              <w:t>%</w:t>
            </w:r>
          </w:p>
        </w:tc>
        <w:tc>
          <w:tcPr>
            <w:tcW w:w="1304" w:type="dxa"/>
            <w:gridSpan w:val="3"/>
            <w:tcBorders>
              <w:top w:val="single" w:sz="4" w:space="0" w:color="010101"/>
              <w:left w:val="single" w:sz="4" w:space="0" w:color="010101"/>
              <w:bottom w:val="single" w:sz="4" w:space="0" w:color="010101"/>
              <w:right w:val="single" w:sz="6" w:space="0" w:color="010101"/>
            </w:tcBorders>
            <w:tcMar>
              <w:top w:w="30" w:type="dxa"/>
              <w:bottom w:w="30" w:type="dxa"/>
            </w:tcMar>
            <w:vAlign w:val="center"/>
          </w:tcPr>
          <w:p>
            <w:pPr>
              <w:pStyle w:val="TableContents"/>
              <w:bidi w:val="0"/>
              <w:spacing w:lineRule="auto" w:line="288" w:before="1" w:after="283"/>
              <w:jc w:val="left"/>
              <w:rPr/>
            </w:pPr>
            <w:r>
              <w:rPr>
                <w:rFonts w:ascii="Times New Roman;sans-serif" w:hAnsi="Times New Roman;sans-serif"/>
                <w:b w:val="false"/>
                <w:i/>
                <w:strike/>
                <w:color w:val="FF0000"/>
                <w:sz w:val="24"/>
              </w:rPr>
              <w:t>0.35</w:t>
            </w:r>
            <w:r>
              <w:rPr>
                <w:rFonts w:ascii="Times New Roman;sans-serif" w:hAnsi="Times New Roman;sans-serif"/>
                <w:b w:val="false"/>
                <w:i/>
                <w:color w:val="0000FF"/>
                <w:sz w:val="24"/>
                <w:u w:val="single"/>
              </w:rPr>
              <w:t>0.850</w:t>
            </w:r>
            <w:r>
              <w:rPr>
                <w:rFonts w:ascii="Times New Roman;sans-serif" w:hAnsi="Times New Roman;sans-serif"/>
                <w:b w:val="false"/>
                <w:i/>
                <w:color w:val="000000"/>
                <w:sz w:val="24"/>
              </w:rPr>
              <w:t>%</w:t>
            </w:r>
          </w:p>
        </w:tc>
      </w:tr>
    </w:tbl>
    <w:p>
      <w:pPr>
        <w:pStyle w:val="TextBody"/>
        <w:bidi w:val="0"/>
        <w:spacing w:before="166" w:after="1"/>
        <w:jc w:val="left"/>
        <w:rPr/>
      </w:pPr>
      <w:r>
        <w:rPr/>
      </w:r>
    </w:p>
    <w:tbl>
      <w:tblPr>
        <w:tblW w:w="10196" w:type="dxa"/>
        <w:jc w:val="left"/>
        <w:tblInd w:w="0" w:type="dxa"/>
        <w:tblLayout w:type="fixed"/>
        <w:tblCellMar>
          <w:top w:w="28" w:type="dxa"/>
          <w:left w:w="28" w:type="dxa"/>
          <w:bottom w:w="28" w:type="dxa"/>
          <w:right w:w="28" w:type="dxa"/>
        </w:tblCellMar>
      </w:tblPr>
      <w:tblGrid>
        <w:gridCol w:w="787"/>
        <w:gridCol w:w="692"/>
        <w:gridCol w:w="696"/>
        <w:gridCol w:w="499"/>
        <w:gridCol w:w="499"/>
        <w:gridCol w:w="501"/>
        <w:gridCol w:w="529"/>
        <w:gridCol w:w="529"/>
        <w:gridCol w:w="531"/>
        <w:gridCol w:w="559"/>
        <w:gridCol w:w="559"/>
        <w:gridCol w:w="561"/>
        <w:gridCol w:w="559"/>
        <w:gridCol w:w="559"/>
        <w:gridCol w:w="561"/>
        <w:gridCol w:w="460"/>
        <w:gridCol w:w="460"/>
        <w:gridCol w:w="655"/>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5" w:before="1" w:after="283"/>
              <w:jc w:val="left"/>
              <w:rPr>
                <w:rFonts w:ascii="Times New Roman;sans-serif" w:hAnsi="Times New Roman;sans-serif"/>
                <w:b/>
                <w:color w:val="000000"/>
                <w:sz w:val="24"/>
              </w:rPr>
            </w:pPr>
            <w:r>
              <w:rPr>
                <w:rFonts w:ascii="Times New Roman;sans-serif" w:hAnsi="Times New Roman;sans-serif"/>
                <w:b/>
                <w:color w:val="000000"/>
                <w:sz w:val="24"/>
              </w:rPr>
              <w:t>Applicable Fee Rate</w:t>
            </w:r>
          </w:p>
        </w:tc>
        <w:tc>
          <w:tcPr>
            <w:tcW w:w="149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5" w:before="1" w:after="283"/>
              <w:jc w:val="left"/>
              <w:rPr>
                <w:rFonts w:ascii="Times New Roman;sans-serif" w:hAnsi="Times New Roman;sans-serif"/>
                <w:b/>
                <w:color w:val="000000"/>
                <w:sz w:val="24"/>
              </w:rPr>
            </w:pPr>
            <w:r>
              <w:rPr>
                <w:rFonts w:ascii="Times New Roman;sans-serif" w:hAnsi="Times New Roman;sans-serif"/>
                <w:b/>
                <w:color w:val="000000"/>
                <w:sz w:val="24"/>
              </w:rPr>
              <w:t>Level I Status</w:t>
            </w:r>
          </w:p>
        </w:tc>
        <w:tc>
          <w:tcPr>
            <w:tcW w:w="158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5" w:before="1" w:after="283"/>
              <w:jc w:val="left"/>
              <w:rPr>
                <w:rFonts w:ascii="Times New Roman;sans-serif" w:hAnsi="Times New Roman;sans-serif"/>
                <w:b/>
                <w:color w:val="000000"/>
                <w:sz w:val="24"/>
              </w:rPr>
            </w:pPr>
            <w:r>
              <w:rPr>
                <w:rFonts w:ascii="Times New Roman;sans-serif" w:hAnsi="Times New Roman;sans-serif"/>
                <w:b/>
                <w:color w:val="000000"/>
                <w:sz w:val="24"/>
              </w:rPr>
              <w:t>Level II Status</w:t>
            </w:r>
          </w:p>
        </w:tc>
        <w:tc>
          <w:tcPr>
            <w:tcW w:w="167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5" w:before="1" w:after="283"/>
              <w:jc w:val="left"/>
              <w:rPr>
                <w:rFonts w:ascii="Times New Roman;sans-serif" w:hAnsi="Times New Roman;sans-serif"/>
                <w:b/>
                <w:color w:val="000000"/>
                <w:sz w:val="24"/>
              </w:rPr>
            </w:pPr>
            <w:r>
              <w:rPr>
                <w:rFonts w:ascii="Times New Roman;sans-serif" w:hAnsi="Times New Roman;sans-serif"/>
                <w:b/>
                <w:color w:val="000000"/>
                <w:sz w:val="24"/>
              </w:rPr>
              <w:t>Level III Status</w:t>
            </w:r>
          </w:p>
        </w:tc>
        <w:tc>
          <w:tcPr>
            <w:tcW w:w="1679"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5" w:before="1" w:after="283"/>
              <w:jc w:val="left"/>
              <w:rPr>
                <w:rFonts w:ascii="Times New Roman;sans-serif" w:hAnsi="Times New Roman;sans-serif"/>
                <w:b/>
                <w:color w:val="000000"/>
                <w:sz w:val="24"/>
              </w:rPr>
            </w:pPr>
            <w:r>
              <w:rPr>
                <w:rFonts w:ascii="Times New Roman;sans-serif" w:hAnsi="Times New Roman;sans-serif"/>
                <w:b/>
                <w:color w:val="000000"/>
                <w:sz w:val="24"/>
              </w:rPr>
              <w:t>Level IV Status</w:t>
            </w:r>
          </w:p>
        </w:tc>
        <w:tc>
          <w:tcPr>
            <w:tcW w:w="1575" w:type="dxa"/>
            <w:gridSpan w:val="3"/>
            <w:tcBorders>
              <w:top w:val="single" w:sz="4" w:space="0" w:color="010101"/>
              <w:left w:val="single" w:sz="4" w:space="0" w:color="010101"/>
              <w:right w:val="single" w:sz="6" w:space="0" w:color="010101"/>
            </w:tcBorders>
            <w:tcMar>
              <w:top w:w="30" w:type="dxa"/>
              <w:bottom w:w="0" w:type="dxa"/>
            </w:tcMar>
            <w:vAlign w:val="center"/>
          </w:tcPr>
          <w:p>
            <w:pPr>
              <w:pStyle w:val="TableContents"/>
              <w:bidi w:val="0"/>
              <w:spacing w:lineRule="auto" w:line="285" w:before="1" w:after="283"/>
              <w:jc w:val="left"/>
              <w:rPr>
                <w:rFonts w:ascii="Times New Roman;sans-serif" w:hAnsi="Times New Roman;sans-serif"/>
                <w:b/>
                <w:color w:val="000000"/>
                <w:sz w:val="24"/>
              </w:rPr>
            </w:pPr>
            <w:r>
              <w:rPr>
                <w:rFonts w:ascii="Times New Roman;sans-serif" w:hAnsi="Times New Roman;sans-serif"/>
                <w:b/>
                <w:color w:val="000000"/>
                <w:sz w:val="24"/>
              </w:rPr>
              <w:t>Level 5 Status</w:t>
            </w:r>
          </w:p>
        </w:tc>
      </w:tr>
      <w:tr>
        <w:trPr/>
        <w:tc>
          <w:tcPr>
            <w:tcW w:w="2175"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Commitment Fee</w:t>
            </w:r>
          </w:p>
        </w:tc>
        <w:tc>
          <w:tcPr>
            <w:tcW w:w="1499" w:type="dxa"/>
            <w:gridSpan w:val="3"/>
            <w:tcBorders>
              <w:top w:val="single" w:sz="4" w:space="0" w:color="010101"/>
              <w:left w:val="single" w:sz="4" w:space="0" w:color="010101"/>
              <w:bottom w:val="single" w:sz="4" w:space="0" w:color="010101"/>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0.15%</w:t>
            </w:r>
          </w:p>
        </w:tc>
        <w:tc>
          <w:tcPr>
            <w:tcW w:w="1589"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98" w:after="283"/>
              <w:jc w:val="left"/>
              <w:rPr/>
            </w:pPr>
            <w:r>
              <w:rPr>
                <w:rFonts w:ascii="Times New Roman;sans-serif" w:hAnsi="Times New Roman;sans-serif"/>
                <w:b w:val="false"/>
                <w:i/>
                <w:strike/>
                <w:color w:val="FF0000"/>
                <w:sz w:val="24"/>
              </w:rPr>
              <w:t>0.15</w:t>
            </w:r>
            <w:r>
              <w:rPr>
                <w:rFonts w:ascii="Times New Roman;sans-serif" w:hAnsi="Times New Roman;sans-serif"/>
                <w:b w:val="false"/>
                <w:i/>
                <w:color w:val="0000FF"/>
                <w:sz w:val="24"/>
                <w:u w:val="single"/>
              </w:rPr>
              <w:t>0.175</w:t>
            </w:r>
            <w:r>
              <w:rPr>
                <w:rFonts w:ascii="Times New Roman;sans-serif" w:hAnsi="Times New Roman;sans-serif"/>
                <w:b w:val="false"/>
                <w:i/>
                <w:color w:val="000000"/>
                <w:sz w:val="24"/>
              </w:rPr>
              <w:t>%</w:t>
            </w:r>
          </w:p>
        </w:tc>
        <w:tc>
          <w:tcPr>
            <w:tcW w:w="1679" w:type="dxa"/>
            <w:gridSpan w:val="3"/>
            <w:tcBorders>
              <w:top w:val="single" w:sz="4" w:space="0" w:color="010101"/>
              <w:left w:val="single" w:sz="4" w:space="0" w:color="010101"/>
              <w:bottom w:val="single" w:sz="4" w:space="0" w:color="010101"/>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0.20%</w:t>
            </w:r>
          </w:p>
        </w:tc>
        <w:tc>
          <w:tcPr>
            <w:tcW w:w="1679"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98" w:after="283"/>
              <w:jc w:val="left"/>
              <w:rPr/>
            </w:pPr>
            <w:r>
              <w:rPr>
                <w:rFonts w:ascii="Times New Roman;sans-serif" w:hAnsi="Times New Roman;sans-serif"/>
                <w:b w:val="false"/>
                <w:i/>
                <w:strike/>
                <w:color w:val="FF0000"/>
                <w:sz w:val="24"/>
              </w:rPr>
              <w:t>0.20</w:t>
            </w:r>
            <w:r>
              <w:rPr>
                <w:rFonts w:ascii="Times New Roman;sans-serif" w:hAnsi="Times New Roman;sans-serif"/>
                <w:b w:val="false"/>
                <w:i/>
                <w:color w:val="0000FF"/>
                <w:sz w:val="24"/>
                <w:u w:val="single"/>
              </w:rPr>
              <w:t>0.225</w:t>
            </w:r>
            <w:r>
              <w:rPr>
                <w:rFonts w:ascii="Times New Roman;sans-serif" w:hAnsi="Times New Roman;sans-serif"/>
                <w:b w:val="false"/>
                <w:i/>
                <w:color w:val="000000"/>
                <w:sz w:val="24"/>
              </w:rPr>
              <w:t>%</w:t>
            </w:r>
          </w:p>
        </w:tc>
        <w:tc>
          <w:tcPr>
            <w:tcW w:w="1575" w:type="dxa"/>
            <w:gridSpan w:val="3"/>
            <w:tcBorders>
              <w:top w:val="single" w:sz="4" w:space="0" w:color="010101"/>
              <w:left w:val="single" w:sz="4" w:space="0" w:color="010101"/>
              <w:bottom w:val="single" w:sz="4" w:space="0" w:color="010101"/>
              <w:right w:val="single" w:sz="6" w:space="0" w:color="010101"/>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0.25%</w:t>
            </w:r>
          </w:p>
        </w:tc>
      </w:tr>
    </w:tbl>
    <w:p>
      <w:pPr>
        <w:pStyle w:val="TextBody"/>
        <w:bidi w:val="0"/>
        <w:spacing w:before="242"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the purposes of this Schedule, the following terms have the following meanings, subject to the final paragraph of this Schedule:</w:t>
      </w:r>
    </w:p>
    <w:p>
      <w:pPr>
        <w:pStyle w:val="TextBody"/>
        <w:bidi w:val="0"/>
        <w:spacing w:lineRule="auto" w:line="288" w:before="241" w:after="283"/>
        <w:ind w:left="0" w:right="0" w:firstLine="720"/>
        <w:jc w:val="left"/>
        <w:rPr>
          <w:color w:val="000000"/>
        </w:rPr>
      </w:pPr>
      <w:r>
        <w:rPr>
          <w:color w:val="000000"/>
        </w:rPr>
        <w:t>“</w:t>
      </w:r>
      <w:r>
        <w:rPr>
          <w:rFonts w:ascii="Times New Roman;sans-serif" w:hAnsi="Times New Roman;sans-serif"/>
          <w:b w:val="false"/>
          <w:color w:val="000000"/>
          <w:sz w:val="24"/>
        </w:rPr>
        <w:t>Financials” means the annual or quarterly financial statements of the Borrower delivered pursuant to Section 6.1(a) or (b).</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rPr>
        <w:t xml:space="preserve">Level I Status” exists at any date if, as of the last day of the Fiscal Quarter referred to in the most recent Financials, the Total Cash Flow Leverage Ratio as of the last day of any Fiscal Quarter for the four consecutive Fiscal Quarters ending on that date is less than </w:t>
      </w:r>
      <w:r>
        <w:rPr>
          <w:rFonts w:ascii="Times New Roman;sans-serif" w:hAnsi="Times New Roman;sans-serif"/>
          <w:b w:val="false"/>
          <w:strike/>
          <w:color w:val="FF0000"/>
          <w:sz w:val="24"/>
        </w:rPr>
        <w:t>1.00</w:t>
      </w:r>
      <w:r>
        <w:rPr>
          <w:rFonts w:ascii="Times New Roman;sans-serif" w:hAnsi="Times New Roman;sans-serif"/>
          <w:b w:val="false"/>
          <w:color w:val="0000FF"/>
          <w:sz w:val="24"/>
          <w:u w:val="single"/>
        </w:rPr>
        <w:t>0.75</w:t>
      </w:r>
      <w:r>
        <w:rPr>
          <w:color w:val="0000FF"/>
        </w:rPr>
        <w:t xml:space="preserve"> </w:t>
      </w:r>
      <w:r>
        <w:rPr>
          <w:rFonts w:ascii="Times New Roman;sans-serif" w:hAnsi="Times New Roman;sans-serif"/>
          <w:b w:val="false"/>
          <w:color w:val="000000"/>
          <w:sz w:val="24"/>
        </w:rPr>
        <w:t>to 1.00.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rPr>
        <w:t xml:space="preserve">Level II Status” exists at any date if, as of the last day of the Fiscal Quarter referred to in the most recent Financials, (i) the Borrower has not qualified for Level I Status and (ii) the Total Cash Flow Leverage Ratio for the four consecutive Fiscal Quarters ending on that date is </w:t>
      </w:r>
      <w:r>
        <w:rPr>
          <w:rFonts w:ascii="Times New Roman;sans-serif" w:hAnsi="Times New Roman;sans-serif"/>
          <w:b w:val="false"/>
          <w:color w:val="0000FF"/>
          <w:sz w:val="24"/>
          <w:u w:val="single"/>
        </w:rPr>
        <w:t>greater</w:t>
      </w:r>
      <w:r>
        <w:rPr>
          <w:color w:val="0000FF"/>
        </w:rPr>
        <w:t xml:space="preserve"> </w:t>
      </w:r>
      <w:r>
        <w:rPr>
          <w:rFonts w:ascii="Times New Roman;sans-serif" w:hAnsi="Times New Roman;sans-serif"/>
          <w:b w:val="false"/>
          <w:color w:val="0000FF"/>
          <w:sz w:val="24"/>
          <w:u w:val="single"/>
        </w:rPr>
        <w:t>than or equal to 0.75 to 1.00 but</w:t>
      </w:r>
      <w:r>
        <w:rPr>
          <w:color w:val="0000FF"/>
        </w:rPr>
        <w:t xml:space="preserve"> </w:t>
      </w:r>
      <w:r>
        <w:rPr>
          <w:rFonts w:ascii="Times New Roman;sans-serif" w:hAnsi="Times New Roman;sans-serif"/>
          <w:b w:val="false"/>
          <w:color w:val="000000"/>
          <w:sz w:val="24"/>
        </w:rPr>
        <w:t>less than 1.50 to 1.00.</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rPr>
        <w:t xml:space="preserve">Level III Status” exists at any date if, as of the last day of the Fiscal Quarter referred to in the most recent Financials, (i) the Borrower has not qualified for Level I Status or Level II Status and (ii) the Total Cash Flow Leverage Ratio for the four consecutive Fiscal Quarters ending on that date is </w:t>
      </w:r>
      <w:r>
        <w:rPr>
          <w:rFonts w:ascii="Times New Roman;sans-serif" w:hAnsi="Times New Roman;sans-serif"/>
          <w:b w:val="false"/>
          <w:color w:val="0000FF"/>
          <w:sz w:val="24"/>
          <w:u w:val="single"/>
        </w:rPr>
        <w:t>greater than or equal to 1.50 to 1.00 but</w:t>
      </w:r>
      <w:r>
        <w:rPr>
          <w:color w:val="0000FF"/>
        </w:rPr>
        <w:t xml:space="preserve"> </w:t>
      </w:r>
      <w:r>
        <w:rPr>
          <w:rFonts w:ascii="Times New Roman;sans-serif" w:hAnsi="Times New Roman;sans-serif"/>
          <w:b w:val="false"/>
          <w:color w:val="000000"/>
          <w:sz w:val="24"/>
        </w:rPr>
        <w:t xml:space="preserve">less than </w:t>
      </w:r>
      <w:r>
        <w:rPr>
          <w:rFonts w:ascii="Times New Roman;sans-serif" w:hAnsi="Times New Roman;sans-serif"/>
          <w:b w:val="false"/>
          <w:strike/>
          <w:color w:val="FF0000"/>
          <w:sz w:val="24"/>
        </w:rPr>
        <w:t>2.00</w:t>
      </w:r>
      <w:r>
        <w:rPr>
          <w:rFonts w:ascii="Times New Roman;sans-serif" w:hAnsi="Times New Roman;sans-serif"/>
          <w:b w:val="false"/>
          <w:color w:val="0000FF"/>
          <w:sz w:val="24"/>
          <w:u w:val="single"/>
        </w:rPr>
        <w:t>2.25</w:t>
      </w:r>
      <w:r>
        <w:rPr>
          <w:color w:val="0000FF"/>
        </w:rPr>
        <w:t xml:space="preserve"> </w:t>
      </w:r>
      <w:r>
        <w:rPr>
          <w:rFonts w:ascii="Times New Roman;sans-serif" w:hAnsi="Times New Roman;sans-serif"/>
          <w:b w:val="false"/>
          <w:color w:val="000000"/>
          <w:sz w:val="24"/>
        </w:rPr>
        <w:t>to 1.00.</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rPr>
        <w:t xml:space="preserve">Level IV Status” exists at any date if, as of the last day of the Fiscal Quarter referred to in the most recent Financials, (i) the Borrower has not qualified for Level I Status or Level II Status and (ii) the Total Cash Flow Leverage Ratio for the four consecutive Fiscal Quarters ending on that date is </w:t>
      </w:r>
      <w:r>
        <w:rPr>
          <w:rFonts w:ascii="Times New Roman;sans-serif" w:hAnsi="Times New Roman;sans-serif"/>
          <w:b w:val="false"/>
          <w:color w:val="0000FF"/>
          <w:sz w:val="24"/>
          <w:u w:val="single"/>
        </w:rPr>
        <w:t>greater than or equal to 2.25 to 1.00 but</w:t>
      </w:r>
      <w:r>
        <w:rPr>
          <w:color w:val="0000FF"/>
        </w:rPr>
        <w:t xml:space="preserve"> </w:t>
      </w:r>
      <w:r>
        <w:rPr>
          <w:rFonts w:ascii="Times New Roman;sans-serif" w:hAnsi="Times New Roman;sans-serif"/>
          <w:b w:val="false"/>
          <w:color w:val="000000"/>
          <w:sz w:val="24"/>
        </w:rPr>
        <w:t xml:space="preserve">less than </w:t>
      </w:r>
      <w:r>
        <w:rPr>
          <w:rFonts w:ascii="Times New Roman;sans-serif" w:hAnsi="Times New Roman;sans-serif"/>
          <w:b w:val="false"/>
          <w:strike/>
          <w:color w:val="FF0000"/>
          <w:sz w:val="24"/>
        </w:rPr>
        <w:t>2.50</w:t>
      </w:r>
      <w:r>
        <w:rPr>
          <w:rFonts w:ascii="Times New Roman;sans-serif" w:hAnsi="Times New Roman;sans-serif"/>
          <w:b w:val="false"/>
          <w:color w:val="0000FF"/>
          <w:sz w:val="24"/>
          <w:u w:val="single"/>
        </w:rPr>
        <w:t>3.00</w:t>
      </w:r>
      <w:r>
        <w:rPr>
          <w:color w:val="0000FF"/>
        </w:rPr>
        <w:t xml:space="preserve"> </w:t>
      </w:r>
      <w:r>
        <w:rPr>
          <w:rFonts w:ascii="Times New Roman;sans-serif" w:hAnsi="Times New Roman;sans-serif"/>
          <w:b w:val="false"/>
          <w:color w:val="000000"/>
          <w:sz w:val="24"/>
        </w:rPr>
        <w:t>to 1.00.</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4"/>
        </w:rPr>
        <w:t xml:space="preserve">Level V Status” exists at any date if </w:t>
      </w:r>
      <w:r>
        <w:rPr>
          <w:rFonts w:ascii="Times New Roman;sans-serif" w:hAnsi="Times New Roman;sans-serif"/>
          <w:b w:val="false"/>
          <w:color w:val="0000FF"/>
          <w:sz w:val="24"/>
          <w:u w:val="single"/>
        </w:rPr>
        <w:t>(i)</w:t>
      </w:r>
      <w:r>
        <w:rPr>
          <w:color w:val="0000FF"/>
        </w:rPr>
        <w:t xml:space="preserve"> </w:t>
      </w:r>
      <w:r>
        <w:rPr>
          <w:rFonts w:ascii="Times New Roman;sans-serif" w:hAnsi="Times New Roman;sans-serif"/>
          <w:b w:val="false"/>
          <w:color w:val="000000"/>
          <w:sz w:val="24"/>
        </w:rPr>
        <w:t>the Borrower has not qualified for Level I Status, Level II Status, Level III Status or Level IV Status</w:t>
      </w:r>
      <w:r>
        <w:rPr>
          <w:rFonts w:ascii="Times New Roman;sans-serif" w:hAnsi="Times New Roman;sans-serif"/>
          <w:b w:val="false"/>
          <w:color w:val="0000FF"/>
          <w:sz w:val="24"/>
          <w:u w:val="single"/>
        </w:rPr>
        <w:t>, and (ii) the Total Cash Flow Leverage Ratio</w:t>
      </w:r>
      <w:r>
        <w:rPr>
          <w:color w:val="0000FF"/>
        </w:rPr>
        <w:t xml:space="preserve"> </w:t>
      </w:r>
      <w:r>
        <w:rPr>
          <w:rFonts w:ascii="Times New Roman;sans-serif" w:hAnsi="Times New Roman;sans-serif"/>
          <w:b w:val="false"/>
          <w:color w:val="0000FF"/>
          <w:sz w:val="24"/>
          <w:u w:val="single"/>
        </w:rPr>
        <w:t>for the four consecutive Fiscal Quarters ending on that date is greater than or equal to 3.00 to</w:t>
      </w:r>
      <w:r>
        <w:rPr>
          <w:color w:val="0000FF"/>
        </w:rPr>
        <w:t xml:space="preserve"> </w:t>
      </w:r>
      <w:r>
        <w:rPr>
          <w:rFonts w:ascii="Times New Roman;sans-serif" w:hAnsi="Times New Roman;sans-serif"/>
          <w:b w:val="false"/>
          <w:color w:val="0000FF"/>
          <w:sz w:val="24"/>
          <w:u w:val="single"/>
        </w:rPr>
        <w:t>1.00</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firstLine="720"/>
        <w:jc w:val="left"/>
        <w:rPr>
          <w:color w:val="000000"/>
        </w:rPr>
      </w:pPr>
      <w:r>
        <w:rPr>
          <w:color w:val="000000"/>
        </w:rPr>
        <w:t>“</w:t>
      </w:r>
      <w:r>
        <w:rPr>
          <w:rFonts w:ascii="Times New Roman;sans-serif" w:hAnsi="Times New Roman;sans-serif"/>
          <w:b w:val="false"/>
          <w:color w:val="000000"/>
          <w:sz w:val="24"/>
        </w:rPr>
        <w:t>Status” means either Level I Status, Level II Status, Level III Status, Level IV Status or Level V Status.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Notwithstanding the foregoing, from the Restatement Date until the delivery of the Compliance Certificate based on the related Financials for the period ending </w:t>
      </w:r>
      <w:r>
        <w:rPr>
          <w:rFonts w:ascii="Times New Roman;sans-serif" w:hAnsi="Times New Roman;sans-serif"/>
          <w:b w:val="false"/>
          <w:strike/>
          <w:color w:val="FF0000"/>
          <w:sz w:val="24"/>
        </w:rPr>
        <w:t>April 3,</w:t>
      </w:r>
      <w:r>
        <w:rPr>
          <w:color w:val="FF0000"/>
        </w:rPr>
        <w:t xml:space="preserve"> </w:t>
      </w:r>
      <w:r>
        <w:rPr>
          <w:rFonts w:ascii="Times New Roman;sans-serif" w:hAnsi="Times New Roman;sans-serif"/>
          <w:b w:val="false"/>
          <w:strike/>
          <w:color w:val="FF0000"/>
          <w:sz w:val="24"/>
        </w:rPr>
        <w:t>2022,</w:t>
      </w:r>
      <w:r>
        <w:rPr>
          <w:rFonts w:ascii="Times New Roman;sans-serif" w:hAnsi="Times New Roman;sans-serif"/>
          <w:b w:val="false"/>
          <w:color w:val="0000FF"/>
          <w:sz w:val="24"/>
          <w:u w:val="single"/>
        </w:rPr>
        <w:t>March 30, 2025</w:t>
      </w:r>
      <w:r>
        <w:rPr>
          <w:color w:val="0000FF"/>
        </w:rPr>
        <w:t xml:space="preserve"> </w:t>
      </w:r>
      <w:r>
        <w:rPr>
          <w:rFonts w:ascii="Times New Roman;sans-serif" w:hAnsi="Times New Roman;sans-serif"/>
          <w:b w:val="false"/>
          <w:color w:val="000000"/>
          <w:sz w:val="24"/>
        </w:rPr>
        <w:t xml:space="preserve">the Applicable Margin and Applicable Fee Rate shall be determined as if Level </w:t>
      </w:r>
      <w:r>
        <w:rPr>
          <w:rFonts w:ascii="Times New Roman;sans-serif" w:hAnsi="Times New Roman;sans-serif"/>
          <w:b w:val="false"/>
          <w:strike/>
          <w:color w:val="FF0000"/>
          <w:sz w:val="24"/>
        </w:rPr>
        <w:t>II</w:t>
      </w:r>
      <w:r>
        <w:rPr>
          <w:rFonts w:ascii="Times New Roman;sans-serif" w:hAnsi="Times New Roman;sans-serif"/>
          <w:b w:val="false"/>
          <w:color w:val="0000FF"/>
          <w:sz w:val="24"/>
          <w:u w:val="single"/>
        </w:rPr>
        <w:t>III</w:t>
      </w:r>
      <w:r>
        <w:rPr>
          <w:color w:val="0000FF"/>
        </w:rPr>
        <w:t xml:space="preserve"> </w:t>
      </w:r>
      <w:r>
        <w:rPr>
          <w:rFonts w:ascii="Times New Roman;sans-serif" w:hAnsi="Times New Roman;sans-serif"/>
          <w:b w:val="false"/>
          <w:color w:val="000000"/>
          <w:sz w:val="24"/>
        </w:rPr>
        <w:t>Status was applicable. Thereafter, the Applicable Margin and Applicable Fee Rate shall be determined in accordance with the foregoing table based on the Borrower’s Status as reflected in the then most recent Compliance Certificate based on the related Financials.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Adjustments, if any, to the Applicable Margin or Applicable Fee Rate shall be effective from and after the fifth day after such Compliance Certificate is delivered until the fifth day immediately following the next such date on which any subsequent Compliance Certificate is delivered. If the Borrower fails to deliver the Compliance Certificate based on the related Financials to the Administrative Agent at the time required pursuant to Section 6.1, then the Applicable Margin and Applicable Fee Rate shall be the highest Applicable Margin and Applicable Fee Rate set forth in the foregoing table until five (5) days after such Compliance Certificate based on the related Financials are so delivered.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88"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93345"/>
                <wp:effectExtent l="0" t="0" r="0" b="0"/>
                <wp:wrapNone/>
                <wp:docPr id="141" name="Frame141"/>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pPr>
                            <w:r>
                              <w:rPr>
                                <w:rFonts w:ascii="Times New Roman;sans-serif" w:hAnsi="Times New Roman;sans-serif"/>
                                <w:b w:val="false"/>
                                <w:color w:val="000000"/>
                                <w:sz w:val="2"/>
                              </w:rPr>
                              <w:t xml:space="preserve">5 </w:t>
                            </w:r>
                            <w:r>
                              <w:rPr>
                                <w:rFonts w:ascii="Times New Roman;sans-serif" w:hAnsi="Times New Roman;sans-serif"/>
                                <w:b w:val="false"/>
                                <w:color w:val="000000"/>
                                <w:sz w:val="16"/>
                              </w:rPr>
                              <w:t>US.103595345.03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pPr>
                      <w:r>
                        <w:rPr>
                          <w:rFonts w:ascii="Times New Roman;sans-serif" w:hAnsi="Times New Roman;sans-serif"/>
                          <w:b w:val="false"/>
                          <w:color w:val="000000"/>
                          <w:sz w:val="2"/>
                        </w:rPr>
                        <w:t xml:space="preserve">5 </w:t>
                      </w:r>
                      <w:r>
                        <w:rPr>
                          <w:rFonts w:ascii="Times New Roman;sans-serif" w:hAnsi="Times New Roman;sans-serif"/>
                          <w:b w:val="false"/>
                          <w:color w:val="000000"/>
                          <w:sz w:val="16"/>
                        </w:rPr>
                        <w:t>US.103595345.03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148</Pages>
  <Words>63867</Words>
  <Characters>342852</Characters>
  <CharactersWithSpaces>405978</CharactersWithSpaces>
  <Paragraphs>1472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