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6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1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-173355</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60" w:type="dxa"/>
            <w:vAlign w:val="bottom"/>
          </w:tcPr>
          <w:p>
            <w:pPr>
              <w:jc w:val="center"/>
              <w:ind w:right="1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3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60" w:type="dxa"/>
            <w:vAlign w:val="bottom"/>
            <w:vMerge w:val="restart"/>
          </w:tcPr>
          <w:p>
            <w:pPr>
              <w:jc w:val="center"/>
              <w:ind w:right="1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5414645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-608330</wp:posOffset>
            </wp:positionV>
            <wp:extent cx="126936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-1506220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40" w:space="240"/>
            <w:col w:w="870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Stauber Daniel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HAWKINS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HWKN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07/30/2020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ROSEVILLE</w:t>
            </w:r>
          </w:p>
        </w:tc>
        <w:tc>
          <w:tcPr>
            <w:tcW w:w="960" w:type="dxa"/>
            <w:vAlign w:val="bottom"/>
          </w:tcPr>
          <w:p>
            <w:pPr>
              <w:ind w:left="140"/>
              <w:spacing w:after="0"/>
              <w:rPr>
                <w:sz w:val="20"/>
                <w:szCs w:val="20"/>
                <w:color w:val="auto"/>
              </w:rPr>
            </w:pPr>
            <w:r>
              <w:rPr>
                <w:rFonts w:ascii="Arial" w:cs="Arial" w:eastAsia="Arial" w:hAnsi="Arial"/>
                <w:sz w:val="17"/>
                <w:szCs w:val="17"/>
                <w:color w:val="0000FF"/>
              </w:rPr>
              <w:t>MN</w:t>
            </w:r>
          </w:p>
        </w:tc>
        <w:tc>
          <w:tcPr>
            <w:tcW w:w="1600" w:type="dxa"/>
            <w:vAlign w:val="bottom"/>
          </w:tcPr>
          <w:p>
            <w:pPr>
              <w:ind w:left="400"/>
              <w:spacing w:after="0"/>
              <w:rPr>
                <w:sz w:val="20"/>
                <w:szCs w:val="20"/>
                <w:color w:val="auto"/>
              </w:rPr>
            </w:pPr>
            <w:r>
              <w:rPr>
                <w:rFonts w:ascii="Arial" w:cs="Arial" w:eastAsia="Arial" w:hAnsi="Arial"/>
                <w:sz w:val="17"/>
                <w:szCs w:val="17"/>
                <w:color w:val="0000FF"/>
              </w:rPr>
              <w:t>55113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07/30/2020</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979</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280"/>
              <w:spacing w:after="0"/>
              <w:rPr>
                <w:sz w:val="20"/>
                <w:szCs w:val="20"/>
                <w:color w:val="auto"/>
              </w:rPr>
            </w:pPr>
            <w:r>
              <w:rPr>
                <w:rFonts w:ascii="Arial" w:cs="Arial" w:eastAsia="Arial" w:hAnsi="Arial"/>
                <w:sz w:val="17"/>
                <w:szCs w:val="17"/>
                <w:color w:val="0000FF"/>
              </w:rPr>
              <w:t>13,571.559</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12.449 shares acquired on September 4, 2019, 13.188 shares acquired on December 3, 2019, 16.530 shares acquired on March 10, 2020 and 15.692 shares acquired on June 23, 2020 pursuant to the Issuer's dividend reinvestment plan, 351 shares acquired in December 2019 and 360 shares acquired in June 2020 pursuant to the Issuer's employee stock purchase plan.</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Joshua L. Colburn,</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08/03/2020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66284" TargetMode="External"/><Relationship Id="rId14"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2020-08-03T16:55:01Z</dcterms:created>
  <dcterms:modified xsi:type="dcterms:W3CDTF">2020-08-03T16:55:01Z</dcterms:modified>
</cp:coreProperties>
</file>