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40" w:space="540"/>
            <w:col w:w="4620" w:space="720"/>
            <w:col w:w="2060" w:space="720"/>
            <w:col w:w="1020"/>
          </w:cols>
          <w:pgMar w:left="240" w:top="10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40" w:space="640"/>
            <w:col w:w="160" w:space="80"/>
            <w:col w:w="4380" w:space="720"/>
            <w:col w:w="2080" w:space="700"/>
            <w:col w:w="1020"/>
          </w:cols>
          <w:pgMar w:left="240" w:top="1030"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July 26, 2013</w:t>
            </w:r>
          </w:p>
        </w:tc>
        <w:tc>
          <w:tcPr>
            <w:tcW w:w="540" w:type="dxa"/>
            <w:vAlign w:val="bottom"/>
          </w:tcPr>
          <w:p>
            <w:pPr>
              <w:spacing w:after="0"/>
              <w:rPr>
                <w:sz w:val="16"/>
                <w:szCs w:val="16"/>
                <w:color w:val="auto"/>
              </w:rPr>
            </w:pPr>
          </w:p>
        </w:tc>
      </w:tr>
      <w:tr>
        <w:trPr>
          <w:trHeight w:val="243"/>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Common Stock, par value $.05 per share</w:t>
            </w:r>
          </w:p>
        </w:tc>
        <w:tc>
          <w:tcPr>
            <w:tcW w:w="4860" w:type="dxa"/>
            <w:vAlign w:val="bottom"/>
          </w:tcPr>
          <w:p>
            <w:pPr>
              <w:jc w:val="right"/>
              <w:ind w:right="1939"/>
              <w:spacing w:after="0"/>
              <w:rPr>
                <w:sz w:val="20"/>
                <w:szCs w:val="20"/>
                <w:color w:val="auto"/>
              </w:rPr>
            </w:pPr>
            <w:r>
              <w:rPr>
                <w:rFonts w:ascii="Arial" w:cs="Arial" w:eastAsia="Arial" w:hAnsi="Arial"/>
                <w:sz w:val="18"/>
                <w:szCs w:val="18"/>
                <w:color w:val="auto"/>
              </w:rPr>
              <w:t>10,599,987</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8820" w:type="dxa"/>
            <w:vAlign w:val="bottom"/>
            <w:gridSpan w:val="15"/>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2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 June 30, 2013 and March 31, 2013</w:t>
              </w:r>
            </w:hyperlink>
          </w:p>
        </w:tc>
        <w:tc>
          <w:tcPr>
            <w:tcW w:w="116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2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 Three Months Ended June 30, 2013 and July 1, 2012</w:t>
              </w:r>
            </w:hyperlink>
          </w:p>
        </w:tc>
        <w:tc>
          <w:tcPr>
            <w:tcW w:w="116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20" w:type="dxa"/>
            <w:vAlign w:val="bottom"/>
            <w:gridSpan w:val="15"/>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Comprehensive Income – Three Months Ended June 30, 2013 and July</w:t>
              </w:r>
            </w:hyperlink>
          </w:p>
        </w:tc>
        <w:tc>
          <w:tcPr>
            <w:tcW w:w="11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4">
              <w:r>
                <w:rPr>
                  <w:rFonts w:ascii="Arial" w:cs="Arial" w:eastAsia="Arial" w:hAnsi="Arial"/>
                  <w:sz w:val="18"/>
                  <w:szCs w:val="18"/>
                  <w:color w:val="0000FF"/>
                  <w:w w:val="93"/>
                </w:rPr>
                <w:t>1, 2012</w:t>
              </w:r>
            </w:hyperlink>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 Three Months Ended June 30, 2013 and July 1, 2012</w:t>
              </w:r>
            </w:hyperlink>
          </w:p>
        </w:tc>
        <w:tc>
          <w:tcPr>
            <w:tcW w:w="1120" w:type="dxa"/>
            <w:vAlign w:val="bottom"/>
            <w:gridSpan w:val="2"/>
          </w:tcPr>
          <w:p>
            <w:pPr>
              <w:spacing w:after="0"/>
              <w:rPr>
                <w:sz w:val="24"/>
                <w:szCs w:val="24"/>
                <w:color w:val="auto"/>
              </w:rPr>
            </w:pPr>
          </w:p>
        </w:tc>
        <w:tc>
          <w:tcPr>
            <w:tcW w:w="10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2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16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rFonts w:ascii="Arial" w:cs="Arial" w:eastAsia="Arial" w:hAnsi="Arial"/>
                <w:sz w:val="18"/>
                <w:szCs w:val="18"/>
                <w:color w:val="0000FF"/>
                <w:w w:val="90"/>
              </w:rPr>
            </w:pPr>
            <w:hyperlink w:anchor="page10">
              <w:r>
                <w:rPr>
                  <w:rFonts w:ascii="Arial" w:cs="Arial" w:eastAsia="Arial" w:hAnsi="Arial"/>
                  <w:sz w:val="18"/>
                  <w:szCs w:val="18"/>
                  <w:color w:val="0000FF"/>
                  <w:w w:val="90"/>
                </w:rPr>
                <w:t>Management’s Discussion and Analysis of Financial Condition and Results of Operations</w:t>
              </w:r>
            </w:hyperlink>
          </w:p>
        </w:tc>
        <w:tc>
          <w:tcPr>
            <w:tcW w:w="2360" w:type="dxa"/>
            <w:vAlign w:val="bottom"/>
            <w:gridSpan w:val="4"/>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1"/>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Quantitative and Qualitative Disclosures about Market Risk</w:t>
              </w:r>
            </w:hyperlink>
          </w:p>
        </w:tc>
        <w:tc>
          <w:tcPr>
            <w:tcW w:w="2360" w:type="dxa"/>
            <w:vAlign w:val="bottom"/>
            <w:gridSpan w:val="4"/>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Controls and Procedures</w:t>
              </w:r>
            </w:hyperlink>
          </w:p>
        </w:tc>
        <w:tc>
          <w:tcPr>
            <w:tcW w:w="4520" w:type="dxa"/>
            <w:vAlign w:val="bottom"/>
            <w:gridSpan w:val="6"/>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FF"/>
            </w:tcBorders>
            <w:gridSpan w:val="5"/>
          </w:tcPr>
          <w:p>
            <w:pPr>
              <w:spacing w:after="0"/>
              <w:rPr>
                <w:rFonts w:ascii="Arial" w:cs="Arial" w:eastAsia="Arial" w:hAnsi="Arial"/>
                <w:sz w:val="18"/>
                <w:szCs w:val="18"/>
                <w:b w:val="1"/>
                <w:bCs w:val="1"/>
                <w:color w:val="0000FF"/>
              </w:rPr>
            </w:pPr>
            <w:hyperlink w:anchor="page14">
              <w:r>
                <w:rPr>
                  <w:rFonts w:ascii="Arial" w:cs="Arial" w:eastAsia="Arial" w:hAnsi="Arial"/>
                  <w:sz w:val="18"/>
                  <w:szCs w:val="18"/>
                  <w:b w:val="1"/>
                  <w:bCs w:val="1"/>
                  <w:color w:val="0000FF"/>
                </w:rPr>
                <w:t>OTHER INFORMATION</w:t>
              </w:r>
            </w:hyperlink>
          </w:p>
        </w:tc>
        <w:tc>
          <w:tcPr>
            <w:tcW w:w="6800" w:type="dxa"/>
            <w:vAlign w:val="bottom"/>
            <w:gridSpan w:val="10"/>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15"/>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Legal Proceedings</w:t>
              </w:r>
            </w:hyperlink>
          </w:p>
        </w:tc>
        <w:tc>
          <w:tcPr>
            <w:tcW w:w="116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15">
              <w:r>
                <w:rPr>
                  <w:rFonts w:ascii="Arial" w:cs="Arial" w:eastAsia="Arial" w:hAnsi="Arial"/>
                  <w:sz w:val="18"/>
                  <w:szCs w:val="18"/>
                  <w:color w:val="0000FF"/>
                  <w:w w:val="87"/>
                </w:rPr>
                <w:t>Risk Factors</w:t>
              </w:r>
            </w:hyperlink>
          </w:p>
        </w:tc>
        <w:tc>
          <w:tcPr>
            <w:tcW w:w="420" w:type="dxa"/>
            <w:vAlign w:val="bottom"/>
          </w:tcPr>
          <w:p>
            <w:pPr>
              <w:spacing w:after="0"/>
              <w:rPr>
                <w:sz w:val="24"/>
                <w:szCs w:val="24"/>
                <w:color w:val="auto"/>
              </w:rPr>
            </w:pPr>
          </w:p>
        </w:tc>
        <w:tc>
          <w:tcPr>
            <w:tcW w:w="7500" w:type="dxa"/>
            <w:vAlign w:val="bottom"/>
            <w:gridSpan w:val="12"/>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88"/>
              </w:rPr>
            </w:pPr>
            <w:hyperlink w:anchor="page15">
              <w:r>
                <w:rPr>
                  <w:rFonts w:ascii="Arial" w:cs="Arial" w:eastAsia="Arial" w:hAnsi="Arial"/>
                  <w:sz w:val="18"/>
                  <w:szCs w:val="18"/>
                  <w:color w:val="0000FF"/>
                  <w:w w:val="88"/>
                </w:rPr>
                <w:t>Exhibits</w:t>
              </w:r>
            </w:hyperlink>
          </w:p>
        </w:tc>
        <w:tc>
          <w:tcPr>
            <w:tcW w:w="300" w:type="dxa"/>
            <w:vAlign w:val="bottom"/>
          </w:tcPr>
          <w:p>
            <w:pPr>
              <w:spacing w:after="0"/>
              <w:rPr>
                <w:sz w:val="24"/>
                <w:szCs w:val="24"/>
                <w:color w:val="auto"/>
              </w:rPr>
            </w:pPr>
          </w:p>
        </w:tc>
        <w:tc>
          <w:tcPr>
            <w:tcW w:w="7920" w:type="dxa"/>
            <w:vAlign w:val="bottom"/>
            <w:gridSpan w:val="13"/>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760" w:type="dxa"/>
            <w:vAlign w:val="bottom"/>
          </w:tcPr>
          <w:p>
            <w:pPr>
              <w:spacing w:after="0"/>
              <w:rPr>
                <w:rFonts w:ascii="Arial" w:cs="Arial" w:eastAsia="Arial" w:hAnsi="Arial"/>
                <w:sz w:val="18"/>
                <w:szCs w:val="18"/>
                <w:color w:val="0000FF"/>
                <w:w w:val="85"/>
              </w:rPr>
            </w:pPr>
            <w:hyperlink w:anchor="page16">
              <w:r>
                <w:rPr>
                  <w:rFonts w:ascii="Arial" w:cs="Arial" w:eastAsia="Arial" w:hAnsi="Arial"/>
                  <w:sz w:val="18"/>
                  <w:szCs w:val="18"/>
                  <w:color w:val="0000FF"/>
                  <w:w w:val="85"/>
                </w:rPr>
                <w:t>Signatures</w:t>
              </w:r>
            </w:hyperlink>
          </w:p>
        </w:tc>
        <w:tc>
          <w:tcPr>
            <w:tcW w:w="6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18</w:t>
              </w:r>
            </w:hyperlink>
          </w:p>
        </w:tc>
      </w:tr>
      <w:tr>
        <w:trPr>
          <w:trHeight w:val="507"/>
        </w:trPr>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5600" w:type="dxa"/>
            <w:vAlign w:val="bottom"/>
            <w:gridSpan w:val="10"/>
          </w:tcPr>
          <w:p>
            <w:pPr>
              <w:ind w:left="424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17,097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28,715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available-for-sale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Trade receivables — less allowance for doubtful accounts: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$490 as of June 30, 2013 and $469 as of March 31, 2013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35,920</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28,208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108,316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111,081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153,055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(62,081)</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90,974</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Intangible assets — less accumulated amortization:</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$2,551 as of June 30, 2013 and $2,398 as of March 31, 2013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other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223,726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222,148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Accounts payable — trade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18,516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Accrued payroll and employee benefits</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35,125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WITHDRAWAL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51,976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authorized: 30,000,000 shares of $0.05 par value; 10,528,462 and 10,495,427 shares issued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 for June 30, 2013 and March 31, 2013,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48,779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120,974</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174,981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170,172</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223,726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222,148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580"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580"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July 1,</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90,099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(74,792)</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15,307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10,522,185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10,430,874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10,567,308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10,496,437</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dividends declared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July 1,</w:t>
            </w:r>
          </w:p>
        </w:tc>
      </w:tr>
      <w:tr>
        <w:trPr>
          <w:trHeight w:val="234"/>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4,385</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July 1,</w:t>
            </w:r>
          </w:p>
        </w:tc>
      </w:tr>
      <w:tr>
        <w:trPr>
          <w:trHeight w:val="234"/>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4,383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Reconciliation to cash flows: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2,328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property disposals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Changes in operating accounts providing (using) cash:</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Trade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1,177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8,090</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 and maturities of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property disposals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Shares surrendered for payroll taxes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Excess tax benefit from share-based compensation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17,097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34,085</w:t>
            </w: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Noncash investing activities - Capital expenditures in 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consolidated financial statements and footnotes included in our Annual Report on Form 10-K for the fiscal year ended March 31, 2013,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2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March 31, 2013 filed with the SEC on May 30, 2013. There has been no significant change in our accounting policies since the end of fiscal 2013.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for the period ended June 30, 2013 are not necessarily indicative of the results that may be expected for the full year.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2013 refer to the fiscal year ended March 31, 2013 and references to fiscal 2014 refer to the fiscal year ending March 30, 2014.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920" w:type="dxa"/>
            <w:vAlign w:val="bottom"/>
            <w:gridSpan w:val="4"/>
          </w:tcPr>
          <w:p>
            <w:pPr>
              <w:ind w:left="60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3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b w:val="1"/>
                <w:bCs w:val="1"/>
                <w:color w:val="auto"/>
              </w:rPr>
              <w:t>June 30,</w:t>
            </w:r>
          </w:p>
        </w:tc>
        <w:tc>
          <w:tcPr>
            <w:tcW w:w="1460" w:type="dxa"/>
            <w:vAlign w:val="bottom"/>
            <w:gridSpan w:val="2"/>
          </w:tcPr>
          <w:p>
            <w:pPr>
              <w:ind w:left="400"/>
              <w:spacing w:after="0"/>
              <w:rPr>
                <w:sz w:val="20"/>
                <w:szCs w:val="20"/>
                <w:color w:val="auto"/>
              </w:rPr>
            </w:pPr>
            <w:r>
              <w:rPr>
                <w:rFonts w:ascii="Arial" w:cs="Arial" w:eastAsia="Arial" w:hAnsi="Arial"/>
                <w:sz w:val="18"/>
                <w:szCs w:val="18"/>
                <w:b w:val="1"/>
                <w:bCs w:val="1"/>
                <w:color w:val="auto"/>
              </w:rPr>
              <w:t>July 1,</w:t>
            </w:r>
          </w:p>
        </w:tc>
      </w:tr>
      <w:tr>
        <w:trPr>
          <w:trHeight w:val="234"/>
        </w:trPr>
        <w:tc>
          <w:tcPr>
            <w:tcW w:w="83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10,522,185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10,430,874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45,123</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65,563</w:t>
            </w:r>
          </w:p>
        </w:tc>
        <w:tc>
          <w:tcPr>
            <w:tcW w:w="120" w:type="dxa"/>
            <w:vAlign w:val="bottom"/>
          </w:tcPr>
          <w:p>
            <w:pPr>
              <w:spacing w:after="0"/>
              <w:rPr>
                <w:sz w:val="21"/>
                <w:szCs w:val="2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10,567,308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10,496,437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periods ended June 30, 2013 and July 1, 2012, there were no shares or stock options excluded from the calculation of weighted-average common shares for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Investments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9"/>
                <w:szCs w:val="19"/>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17,097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17,097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459"/>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 w:name="page8"/>
    <w:bookmarkEnd w:id="7"/>
    <w:p>
      <w:pPr>
        <w:ind w:right="80"/>
        <w:spacing w:after="0" w:line="302" w:lineRule="auto"/>
        <w:rPr>
          <w:sz w:val="20"/>
          <w:szCs w:val="20"/>
          <w:color w:val="auto"/>
        </w:rPr>
      </w:pPr>
      <w:r>
        <w:rPr>
          <w:rFonts w:ascii="Arial" w:cs="Arial" w:eastAsia="Arial" w:hAnsi="Arial"/>
          <w:sz w:val="16"/>
          <w:szCs w:val="16"/>
          <w:color w:val="auto"/>
        </w:rPr>
        <w:t>Our financial assets that are measured at fair value on a recurring basis are certificates of deposit (“CD’s”) and municipal bonds, with original maturities ranging from three months to two years which fall within valuation technique Level 2. The CD’s and municipal bonds are classified as investments in current assets and noncurrent assets on the condensed consolidated balance sheets. As of June 30, 2013, the combined CD’s and municipal bonds in current assets had a fair value of $16.1 million, and in noncurrent assets, the combined CD’s and municipal bonds had a fair value of $9.9 million.</w:t>
      </w:r>
    </w:p>
    <w:p>
      <w:pPr>
        <w:spacing w:after="0" w:line="10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carrying value of cash and cash equivalents accounts approximates fair value, as original maturities are three months or less. We did not have any financial liability instruments subject to recurring fair value measurements as of June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June 30, 2013 and March 31, 2013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r>
      <w:tr>
        <w:trPr>
          <w:trHeight w:val="221"/>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9"/>
                <w:szCs w:val="19"/>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35,281</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(7,073)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$37.7 million at June 30, 2013 and $30.3 million at March 31, 2013. The remainder of the inventory was valued and accounted for under the FIFO method.</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LIFO reserve increased $0.2 million during the three months ended June 30, 2013, and $0.1 million during the three months ended July 1, 2012. The valuation of LIFO inventory for interim periods is based on our estimates of year-end inventory levels and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as of June 30, 2013 and March 31, 2013 was $6.5 million.</w:t>
      </w:r>
    </w:p>
    <w:p>
      <w:pPr>
        <w:spacing w:after="0" w:line="1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Intangible assets consist primarily of customer lists, trademarks, trade secrets and non-compete agreements classified as finite life and trade names classified as indefinite life, related to business acquisitions. A summary of our intangible assets as of June 30, 2013 and March 31, 2013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March 31, 2013</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8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3"/>
                <w:szCs w:val="13"/>
                <w:color w:val="auto"/>
              </w:rPr>
            </w:pPr>
          </w:p>
        </w:tc>
        <w:tc>
          <w:tcPr>
            <w:tcW w:w="122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3"/>
                <w:szCs w:val="13"/>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58"/>
        </w:trPr>
        <w:tc>
          <w:tcPr>
            <w:tcW w:w="3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122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4,458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5,508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(981)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Trademark</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Trade secrets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962</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Carrier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8,849</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(2,398)</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26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preparation of our condensed consolidated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condensed consolidated balance sheet. These assets and liabilities are analyzed regularly and management assesses the likelihood that deferred tax assets will be recovered from future taxable income. We record any interest and penalties related to income taxes as income tax expense in the condensed consolidated statements of income.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Changes in recognition or measurement are reflected in the period in which the change in judgment occurs.</w:t>
      </w:r>
    </w:p>
    <w:p>
      <w:pPr>
        <w:spacing w:after="0" w:line="11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file income tax returns in the U.S. federal jurisdiction and numerous state and local jurisdictions. The tax years beginning with our fiscal year ended March 29, 2009 remain open to examination by the Internal Revenue Service, and with few exceptions, state and local income tax jurisdictions.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on our balance sheet, net of tax, were as follows:</w:t>
      </w:r>
    </w:p>
    <w:p>
      <w:pPr>
        <w:spacing w:after="0" w:line="16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March 31,</w:t>
            </w:r>
          </w:p>
        </w:tc>
      </w:tr>
      <w:tr>
        <w:trPr>
          <w:trHeight w:val="221"/>
        </w:trPr>
        <w:tc>
          <w:tcPr>
            <w:tcW w:w="76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Unrealized gain (loss) 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80" w:type="dxa"/>
            <w:vAlign w:val="bottom"/>
            <w:gridSpan w:val="2"/>
          </w:tcPr>
          <w:p>
            <w:pPr>
              <w:ind w:left="360"/>
              <w:spacing w:after="0"/>
              <w:rPr>
                <w:sz w:val="20"/>
                <w:szCs w:val="20"/>
                <w:color w:val="auto"/>
              </w:rPr>
            </w:pPr>
            <w:r>
              <w:rPr>
                <w:rFonts w:ascii="Arial" w:cs="Arial" w:eastAsia="Arial" w:hAnsi="Arial"/>
                <w:sz w:val="18"/>
                <w:szCs w:val="18"/>
                <w:color w:val="auto"/>
              </w:rPr>
              <w:t>Available-for-sale investments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Post-retirement plan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7600" w:type="dxa"/>
            <w:vAlign w:val="bottom"/>
            <w:gridSpan w:val="3"/>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Although no stock options have been granted since the fiscal year ended March 28, 2010, our Board of Directors has approved a long-term incentive equity compensation arrangement for our executive officers which provides for the grant of non-qualified stock options that vested at the end of a three-year period. As of June 30, 2013, we had 9,333 stock options outstanding and exercisable at a weighted average exercise price of $19.90. No compensation expense was recorded related to stock options for the three months ended June 30, 2013. Compensation expense for the three months ended July 1, 2012 related to stock options was nominal.</w:t>
      </w:r>
    </w:p>
    <w:p>
      <w:pPr>
        <w:spacing w:after="0" w:line="134"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i w:val="1"/>
          <w:iCs w:val="1"/>
          <w:color w:val="auto"/>
        </w:rPr>
        <w:t xml:space="preserve">Performance-Based Restricted Stock Units. </w:t>
      </w:r>
      <w:r>
        <w:rPr>
          <w:rFonts w:ascii="Arial" w:cs="Arial" w:eastAsia="Arial" w:hAnsi="Arial"/>
          <w:sz w:val="17"/>
          <w:szCs w:val="17"/>
          <w:color w:val="auto"/>
        </w:rPr>
        <w:t>Our Board of Directors (“the Board”) approved a performance-based equity compensation arrangement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during the first quarters of each of fiscal 2014 and 2013. These performance-based arrangements provide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39,833 shares in the aggregate for fiscal 2014.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June 30, 2013:</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28,648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36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recorded compensation expense of $0.1 million and $0.3 million related to performance share units and restricted stock for the three months ended June 30, 2013 and July 1, 2012, respectively. Substantially all of the compensation expense was recorded in selling, general and administrative expenses in the Condensed Consolidated Statements of Income.</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As part of their retainer, each non-employee director receives an annual grant of restricted stock for their Board services.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are expensed over the requisite vesting period, which is one year from the date of issuance, based on the market value on the date of grant. As of June 30, 2013, there were 5,724 shares of restricted stock with a weighted averaged grant date fair value of $36.65 outstanding under this program. Compensation expense for the three months ended June 30, 2013 and July 1, 2012 related to restricted stock awards to the Board was $0.1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 Employee Pension Plans</w:t>
      </w:r>
    </w:p>
    <w:p>
      <w:pPr>
        <w:spacing w:after="0" w:line="256" w:lineRule="exact"/>
        <w:rPr>
          <w:sz w:val="20"/>
          <w:szCs w:val="20"/>
          <w:color w:val="auto"/>
        </w:rPr>
      </w:pPr>
    </w:p>
    <w:p>
      <w:pPr>
        <w:jc w:val="both"/>
        <w:ind w:firstLine="243"/>
        <w:spacing w:after="0" w:line="360" w:lineRule="auto"/>
        <w:rPr>
          <w:sz w:val="20"/>
          <w:szCs w:val="20"/>
          <w:color w:val="auto"/>
        </w:rPr>
      </w:pPr>
      <w:r>
        <w:rPr>
          <w:rFonts w:ascii="Arial" w:cs="Arial" w:eastAsia="Arial" w:hAnsi="Arial"/>
          <w:sz w:val="16"/>
          <w:szCs w:val="16"/>
          <w:i w:val="1"/>
          <w:iCs w:val="1"/>
          <w:color w:val="auto"/>
        </w:rPr>
        <w:t>Multiemployer pension plan</w:t>
      </w:r>
      <w:r>
        <w:rPr>
          <w:rFonts w:ascii="Arial" w:cs="Arial" w:eastAsia="Arial" w:hAnsi="Arial"/>
          <w:sz w:val="16"/>
          <w:szCs w:val="16"/>
          <w:color w:val="auto"/>
        </w:rPr>
        <w:t>. In fiscal 2013, we concluded negotiations with two collective bargaining units to discontinue our participation in the Central</w:t>
      </w:r>
      <w:r>
        <w:rPr>
          <w:rFonts w:ascii="Arial" w:cs="Arial" w:eastAsia="Arial" w:hAnsi="Arial"/>
          <w:sz w:val="16"/>
          <w:szCs w:val="16"/>
          <w:i w:val="1"/>
          <w:iCs w:val="1"/>
          <w:color w:val="auto"/>
        </w:rPr>
        <w:t xml:space="preserve"> </w:t>
      </w:r>
      <w:r>
        <w:rPr>
          <w:rFonts w:ascii="Arial" w:cs="Arial" w:eastAsia="Arial" w:hAnsi="Arial"/>
          <w:sz w:val="16"/>
          <w:szCs w:val="16"/>
          <w:color w:val="auto"/>
        </w:rPr>
        <w:t>States, Southeast and Southwest Areas Pension Fund (“CSS” or “the plan”), a collectively bargained multiemployer pension plan. As a result, we recorded a pre-tax charge of $7.2 million (approximately $4.5 million after tax, or $0.43 per share, fully diluted) in the third quarter of fiscal 2013. This charge represents the discounted value of our estimated withdrawal payment obligation and was recorded as a charge to cost of sales in our Industrial segment.</w:t>
      </w:r>
    </w:p>
    <w:p>
      <w:pPr>
        <w:spacing w:after="0" w:line="1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Payment of our share of the unfunded vested benefit liability may be made over 20 years and is subject to a cap. At the end of the 20-year period we would have no further liability, even if our share of the unfunded vested benefit liability had not yet been paid in full. We estimate the aggregate cash payments to be made to total approximately $9.3 million, or $467,000 per year beginning later in fiscal 2014.</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March 1, 2013, we established defined-contribution retirement benefits to our union employees that are similar to those benefits currently offered to our non-union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Litigation, Commitments and Contingencies</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 party from time to time to ordinary routine litigation incidental to the business. Legal fees associated with such matters are expensed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w:t>
      </w:r>
    </w:p>
    <w:p>
      <w:pPr>
        <w:spacing w:after="0" w:line="11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the first quarter of fiscal 2013, we entered into a settlement agreement with ICL Performance Products LP (“ICL”), a chemical supplier to us, pursuant to which we mutually resolved the previously disclosed litigation and all disputes among us. Our obligations under the settlement agreement resulted in a $3.2 million charge to pretax income recorded in cost of sales in our Industrial segment (approximately $2.0 million or $0.19 per share, fully diluted, after tax) in the first quarter of fiscal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two reportable segments: Industrial and Water Treatment. The accounting policies of the segments are the same as those described in the summary of significant accounting policies as disclosed in our fiscal 2013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31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Water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6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Industrial</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Treatment</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6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Three months ended June 30, 2013:</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67,031</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27,713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94,744</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17,231</w:t>
            </w:r>
          </w:p>
        </w:tc>
      </w:tr>
      <w:tr>
        <w:trPr>
          <w:trHeight w:val="243"/>
        </w:trPr>
        <w:tc>
          <w:tcPr>
            <w:tcW w:w="20" w:type="dxa"/>
            <w:vAlign w:val="bottom"/>
          </w:tcPr>
          <w:p>
            <w:pPr>
              <w:spacing w:after="0"/>
              <w:rPr>
                <w:sz w:val="21"/>
                <w:szCs w:val="21"/>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8,970</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8,261</w:t>
            </w:r>
          </w:p>
        </w:tc>
      </w:tr>
      <w:tr>
        <w:trPr>
          <w:trHeight w:val="243"/>
        </w:trPr>
        <w:tc>
          <w:tcPr>
            <w:tcW w:w="6160" w:type="dxa"/>
            <w:vAlign w:val="bottom"/>
            <w:gridSpan w:val="3"/>
          </w:tcPr>
          <w:p>
            <w:pPr>
              <w:ind w:left="20"/>
              <w:spacing w:after="0"/>
              <w:rPr>
                <w:sz w:val="20"/>
                <w:szCs w:val="20"/>
                <w:color w:val="auto"/>
              </w:rPr>
            </w:pPr>
            <w:r>
              <w:rPr>
                <w:rFonts w:ascii="Arial" w:cs="Arial" w:eastAsia="Arial" w:hAnsi="Arial"/>
                <w:sz w:val="18"/>
                <w:szCs w:val="18"/>
                <w:color w:val="auto"/>
              </w:rPr>
              <w:t>Three months ended July 1, 2012:</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62,151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90,099</w:t>
            </w:r>
          </w:p>
        </w:tc>
      </w:tr>
      <w:tr>
        <w:trPr>
          <w:trHeight w:val="243"/>
        </w:trPr>
        <w:tc>
          <w:tcPr>
            <w:tcW w:w="20" w:type="dxa"/>
            <w:vAlign w:val="bottom"/>
          </w:tcPr>
          <w:p>
            <w:pPr>
              <w:spacing w:after="0"/>
              <w:rPr>
                <w:sz w:val="21"/>
                <w:szCs w:val="21"/>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15,307</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8,227</w:t>
            </w:r>
          </w:p>
        </w:tc>
      </w:tr>
      <w:tr>
        <w:trPr>
          <w:trHeight w:val="243"/>
        </w:trPr>
        <w:tc>
          <w:tcPr>
            <w:tcW w:w="20" w:type="dxa"/>
            <w:vAlign w:val="bottom"/>
          </w:tcPr>
          <w:p>
            <w:pPr>
              <w:spacing w:after="0"/>
              <w:rPr>
                <w:sz w:val="21"/>
                <w:szCs w:val="21"/>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7,080</w:t>
            </w: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fiscal 2013, gross profit for our Industrial segment was negatively impacted by a $3.2 million (pre-tax) charge related to the legal settlement discussed in Note 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58" w:right="239" w:bottom="1440" w:gutter="0" w:footer="0" w:header="0"/>
        </w:sectPr>
      </w:pPr>
    </w:p>
    <w:bookmarkStart w:id="10" w:name="page11"/>
    <w:bookmarkEnd w:id="10"/>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months ended June 30, 2013 as compared to July 1, 2012. This discussion should be read in conjunction with the Condensed Consolidated Financial Statements and Notes to Condensed Consolidated Financial Statements included in this Form 10-Q and Item 8 of our Annual Report on Form 10-K for the fiscal year ended March 31, 2013 (“fiscal 2013”). References to fiscal 2014 refer to the fiscal year ending March 30,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w:t>
      </w: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continued to invest in growing our business. During fiscal 2013, we completed construction of a new Industrial manufacturing facility in Rosemount, Minnesota. The site provides capacity for future business growth and lessens our dependence on our flood-prone sites on the Mississippi River. While we have transferred some blending and manufacturing activity to the Rosemount site, we do not intend to close any sites we currently operate as a result of this transfer of activity. In the first quarter of fiscal 2014, we incurred incremental costs related to this new facility of approximately $0.6 million, which have been recorded in cost of sales in our Industrial segment. We anticipate full-year incremental costs of approximately $1.3 million in fiscal 2014 to operate this facility for the entire year.</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2013, we moved into a new corporate headquarters located in Roseville, Minnesota. The move was necessary because we had outgrown our former corporate headquarters that had been our home for over 60 years. As a result of this move, we incurred incremental costs during the first quarter of fiscal 2014 of approximately $0.3 million, recorded in selling, general and administrative expenses and allocated among both our Water Treatment and Industrial segments during the first quarter of fiscal 2014. We expect to incur incremental costs of approximately $1.0 million in fiscal 2014 to lease and operate this facility for the entire year.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fiscal 2013, we entered into a settlement agreement with ICL Performance Products LP (“ICL”), a chemical supplier to us, pursuant to which we mutually resolved the previously disclosed litigation and all disputes among us. The settlement agreement provided for a cash payment by us to ICL and provided that both parties enter into new contracts for the supply by ICL of certain chemicals to us. Our obligations under the settlement agreement resulted in a $3.2 million charge to pre-tax income recorded in cost of sales in our Industrial segment (approximately $2.0 million after tax or $0.19 per share, fully diluted) in the first quarter of fiscal 2013.</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fiscal 2014, we expect to vacate our leased facility currently used to serve our bulk pharmaceutical customers. We will transfer production of certain products to our other Industrial production facilities and discontinue production of the remaining product lines. As a result, we recorded pre-tax charges of approximately $0.4 million in cost of sales in our Industrial segment (approximately $0.2 million after tax) related to accelerated depreciation on leasehold improvements and manufacturing equipment related to this facility in the first quarter of fiscal 2014. We expect to incur additional pre-tax charges of $0.4 to $0.6 million during the second quarter of fiscal 2014 related to additional depreciation expense and other costs associated with exiting this facility.</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use the last in, first out (“LIFO”) method for valuing substantially all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bulk chemical raw material prices. We recorded a $0.2 million increase in our LIFO reserve for the three months ended June 30, 2013, and a $0.1 million increase in our LIFO reserve for the three months ended July 1, 2012, both of which decreased our gross profit for the respective periods by that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66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678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spacing w:after="0"/>
              <w:rPr>
                <w:sz w:val="20"/>
                <w:szCs w:val="20"/>
                <w:color w:val="auto"/>
              </w:rPr>
            </w:pPr>
          </w:p>
        </w:tc>
        <w:tc>
          <w:tcPr>
            <w:tcW w:w="1980" w:type="dxa"/>
            <w:vAlign w:val="bottom"/>
            <w:gridSpan w:val="2"/>
          </w:tcPr>
          <w:p>
            <w:pPr>
              <w:ind w:left="420"/>
              <w:spacing w:after="0"/>
              <w:rPr>
                <w:sz w:val="20"/>
                <w:szCs w:val="20"/>
                <w:color w:val="auto"/>
              </w:rPr>
            </w:pPr>
            <w:r>
              <w:rPr>
                <w:rFonts w:ascii="Arial" w:cs="Arial" w:eastAsia="Arial" w:hAnsi="Arial"/>
                <w:sz w:val="18"/>
                <w:szCs w:val="18"/>
                <w:b w:val="1"/>
                <w:bCs w:val="1"/>
                <w:color w:val="auto"/>
              </w:rPr>
              <w:t>June 30, 2013</w:t>
            </w: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1, 2012</w:t>
            </w:r>
          </w:p>
        </w:tc>
      </w:tr>
      <w:tr>
        <w:trPr>
          <w:trHeight w:val="27"/>
        </w:trPr>
        <w:tc>
          <w:tcPr>
            <w:tcW w:w="67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8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7"/>
        </w:trPr>
        <w:tc>
          <w:tcPr>
            <w:tcW w:w="67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67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1980" w:type="dxa"/>
            <w:vAlign w:val="bottom"/>
            <w:gridSpan w:val="2"/>
          </w:tcPr>
          <w:p>
            <w:pPr>
              <w:ind w:left="144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7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7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1980" w:type="dxa"/>
            <w:vAlign w:val="bottom"/>
            <w:gridSpan w:val="2"/>
          </w:tcPr>
          <w:p>
            <w:pPr>
              <w:ind w:left="144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7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880"/>
        <w:spacing w:after="0" w:line="344" w:lineRule="auto"/>
        <w:rPr>
          <w:sz w:val="20"/>
          <w:szCs w:val="20"/>
          <w:color w:val="auto"/>
        </w:rPr>
      </w:pPr>
      <w:r>
        <w:rPr>
          <w:rFonts w:ascii="Arial" w:cs="Arial" w:eastAsia="Arial" w:hAnsi="Arial"/>
          <w:sz w:val="18"/>
          <w:szCs w:val="18"/>
          <w:b w:val="1"/>
          <w:bCs w:val="1"/>
          <w:i w:val="1"/>
          <w:iCs w:val="1"/>
          <w:color w:val="auto"/>
        </w:rPr>
        <w:t xml:space="preserve">Three Months Ended June 30, 2013 Compared to the Three Months Ended July 1, 2012 </w:t>
      </w:r>
      <w:r>
        <w:rPr>
          <w:rFonts w:ascii="Arial" w:cs="Arial" w:eastAsia="Arial" w:hAnsi="Arial"/>
          <w:sz w:val="18"/>
          <w:szCs w:val="18"/>
          <w:i w:val="1"/>
          <w:iCs w:val="1"/>
          <w:color w:val="auto"/>
        </w:rPr>
        <w:t>Sales</w:t>
      </w:r>
    </w:p>
    <w:p>
      <w:pPr>
        <w:spacing w:after="0" w:line="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Sales increased $4.6 million, or 5.2%, to $94.7 million for the three months ended June 30, 2013, as compared to $90.1 million for the same period of the prior year. Sales of bulk chemicals, including caustic soda, were approximately 23% of sales during the three months ended June 30, 2013 as compared to 21% during the same period of the prior year.</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$4.9 million, or 7.9%, to $67.0 million for the three months ended June 30, 2013, as compared to $62.2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the prior year. The increase in sales was due to increased sales volumes, primarily in our bulk and commodity products which carry lower per-unit selling prices and margins. In addition, we were unable to pass along cost increases in certain cases due to heightened competitive pressures, which negatively impacted our sales growth in this quarter.</w:t>
      </w:r>
    </w:p>
    <w:p>
      <w:pPr>
        <w:spacing w:after="0" w:line="13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decreased slightly to $27.7 million for the three months ended June 30, 2013, as compared to $27.9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of the prior year. Sales volumes in this segment were relatively unchanged year over year as growth in its newer branches offset the negative impact of significantly less favorable weather conditions this quarter as compared to the same period of the prior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profit increased $1.9 million to $17.2 million, or 18.2% of sales, for the three months ended June 30, 2013, as compared to $15.3 million, or 17.0% of sales, for the same period of the prior year. Gross profit was negatively impacted by the incremental costs to operate our new Industrial manufacturing facility ($0.6 million) as well as the costs incurred related to exiting the leased facility currently used to serve our bulk pharmaceutical customers ($0.4 million). Gross profit was also negatively impacted by a product mix shift to lower-margin bulk and commodity products and, in certain cases, our inability to pass along cost increases due to heightened competitive pressures as well as unfavorable weather conditions. The prior year's gross profit was adversely impacted by the $3.2 million charge resulting from the litigation settlement in the first quarter of fiscal 2013. The settlement charge constituted 3.6% of sales for that quarter. The LIFO method of valuing inventory decreased gross profit by $0.2 million for the current quarter and $0.1 million for the same period of the prior year.</w:t>
      </w:r>
    </w:p>
    <w:p>
      <w:pPr>
        <w:spacing w:after="0" w:line="273"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increased $1.9 million to $9.2 million, or 13.8% of sales,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2013, as compared to $7.3 million, or 11.7% of sales, for the same period of the prior year. Gross profit was negatively impacted by the incremental costs to operate our new Industrial manufacturing facility ($0.6 million) as well as the costs incurred related to exiting the leased facility currently used to serve our bulk pharmaceutical customers ($0.4 million). Despite higher sales volumes, gross profit was also negatively impacted by a product mix shift to lower-margin bulk and commodity products and, in certain cases, our inability to pass along cost increases due to heightened competitive pressures. The prior year's gross profit was adversely impacted by the $3.2 million charge resulting from the litigation settlement in the first quarter of fiscal 2013. The settlement charge constituted 5.2% of Industrial segment sales for that quarter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27" w:right="259" w:bottom="1440" w:gutter="0" w:footer="0" w:header="0"/>
        </w:sectPr>
      </w:pPr>
    </w:p>
    <w:bookmarkStart w:id="12" w:name="page13"/>
    <w:bookmarkEnd w:id="12"/>
    <w:p>
      <w:pPr>
        <w:ind w:right="180"/>
        <w:spacing w:after="0" w:line="277" w:lineRule="auto"/>
        <w:rPr>
          <w:sz w:val="20"/>
          <w:szCs w:val="20"/>
          <w:color w:val="auto"/>
        </w:rPr>
      </w:pPr>
      <w:r>
        <w:rPr>
          <w:rFonts w:ascii="Arial" w:cs="Arial" w:eastAsia="Arial" w:hAnsi="Arial"/>
          <w:sz w:val="18"/>
          <w:szCs w:val="18"/>
          <w:color w:val="auto"/>
        </w:rPr>
        <w:t>The LIFO method of valuing inventory decreased gross profit in this segment by $0.2 million for the current quarter and $0.1 million for the same period of the prior year.</w:t>
      </w:r>
    </w:p>
    <w:p>
      <w:pPr>
        <w:spacing w:after="0" w:line="11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was $8.0 million, or 28.9% of sales, for the three months ended June 30, 2013, and</w:t>
      </w:r>
      <w:r>
        <w:rPr>
          <w:rFonts w:ascii="Arial" w:cs="Arial" w:eastAsia="Arial" w:hAnsi="Arial"/>
          <w:sz w:val="17"/>
          <w:szCs w:val="17"/>
          <w:i w:val="1"/>
          <w:iCs w:val="1"/>
          <w:color w:val="auto"/>
        </w:rPr>
        <w:t xml:space="preserve"> </w:t>
      </w:r>
      <w:r>
        <w:rPr>
          <w:rFonts w:ascii="Arial" w:cs="Arial" w:eastAsia="Arial" w:hAnsi="Arial"/>
          <w:sz w:val="17"/>
          <w:szCs w:val="17"/>
          <w:color w:val="auto"/>
        </w:rPr>
        <w:t>$8.0 million, or 28.7% of sales, for the same period in the prior year. While this segment reported growth in its newer branches, this was offset by the negative impact of significantly less favorable weather conditions this quarter as compared to the same period in the prior year. The LIFO Method of valuing inventory nominally decreased gross profit for the current quarter and the same period of the prior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Selling, general and administrative expenses were $9.0 million, or 9.5% of sales, for the three months ended June 30, 2013, as compared to $8.2 million, or 9.1% of sales, for the same period of the prior year. The increase in expenses was primarily driven by the $0.3 million of costs related to our new headquarters facility as well as additional sales staffing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income was $8.3 million for the three months ended June 30, 2013 and $7.1 million for the same period of the prior year. Operating income for the Industrial segment increased $1.6 million and operating income for the Water Treatment segment decreased $0.4 million, primarily as a result of the impact to gross profit for the items discussed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effective income tax rate was 38.0% for the three months ended June 30, 2013 and 38.6% for the same period of the prior year. The effective tax rate is impacted by projected levels of taxable income, permanent items, and state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Cash provided by operating activities for the three months ended June 30, 2013 was $1.3 million compared to $14.0 million for the same period of the prior year. The decrease in cash provided by operating activities was due to an increase in cash used to fund working capital, primarily relating to the timing of inventory purchases and the payment of trade payables. Due to the nature of our operations, which includes purchases of large quantities of bulk chemicals, timing of purchases can result in significant changes in working capital investment and the resulting operating cash flow. Inventory levels at June 30, 2013 were higher due to additional volumes on hand to guard against potential delays in barge receipts. Additionally, inventory levels increased due to added storage capacity at our new Industrial production facility. Typically,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generally increases during the period of April through September.</w:t>
      </w:r>
    </w:p>
    <w:p>
      <w:pPr>
        <w:spacing w:after="0" w:line="1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Cash and investments available-for-sale of $43.1 million at June 30, 2013 decreased by $6.8 million as compared with the $49.9 million available as of March 31, 2013, primarily due to the increase in inventories of $7.1 million discussed above, as well as capital expenditures and dividends paid during that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expect cash balances and our cash flows from operations will be sufficient to fund our cash requirements in fiscal 2014.</w:t>
      </w:r>
    </w:p>
    <w:p>
      <w:pPr>
        <w:spacing w:after="0" w:line="9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Capital expenditures were $4.1 million for the three months ended June 30, 2013, as compared to $4.2 million in the same period of the prior fiscal year. Significant capital expenditures during the three months ended June 30, 2013 consisted of approximately $1.4 million related to our new corporate headquarters and $0.5 million related to our new Industrial manufacturing facility. Other capital spending was related to regulatory, safety, and facility improvements and replacement trucks for the Water Treatment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March 31, 2013. The accounting policies used in preparing our interim fiscal 2014 condensed consolidated financial statements are the same as those described in our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right="20"/>
        <w:spacing w:after="0" w:line="290" w:lineRule="auto"/>
        <w:rPr>
          <w:sz w:val="20"/>
          <w:szCs w:val="20"/>
          <w:color w:val="auto"/>
        </w:rPr>
      </w:pPr>
      <w:r>
        <w:rPr>
          <w:rFonts w:ascii="Arial" w:cs="Arial" w:eastAsia="Arial" w:hAnsi="Arial"/>
          <w:sz w:val="16"/>
          <w:szCs w:val="16"/>
          <w:color w:val="auto"/>
        </w:rPr>
        <w:t>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31, 2013.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June 30, 2013, our investment portfolio included $26.0 million of certificates of deposit and municipal bonds classified as fixed income securities and cash and cash equivalents of $17.1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 as our pricing must be competitive.</w:t>
      </w:r>
    </w:p>
    <w:p>
      <w:pPr>
        <w:spacing w:after="0" w:line="2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2014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March 31, 2013.</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 The following table sets forth information concerning purchases of our common stock for the quarter ended June 30, 2013:</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230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Purchased as Part of a</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Maximum Number of Shares</w:t>
            </w:r>
          </w:p>
        </w:tc>
      </w:tr>
      <w:tr>
        <w:trPr>
          <w:trHeight w:val="216"/>
        </w:trPr>
        <w:tc>
          <w:tcPr>
            <w:tcW w:w="2020" w:type="dxa"/>
            <w:vAlign w:val="bottom"/>
          </w:tcPr>
          <w:p>
            <w:pPr>
              <w:spacing w:after="0"/>
              <w:rPr>
                <w:sz w:val="18"/>
                <w:szCs w:val="18"/>
                <w:color w:val="auto"/>
              </w:rPr>
            </w:pPr>
          </w:p>
        </w:tc>
        <w:tc>
          <w:tcPr>
            <w:tcW w:w="2460" w:type="dxa"/>
            <w:vAlign w:val="bottom"/>
          </w:tcPr>
          <w:p>
            <w:pPr>
              <w:jc w:val="center"/>
              <w:ind w:left="290"/>
              <w:spacing w:after="0"/>
              <w:rPr>
                <w:sz w:val="20"/>
                <w:szCs w:val="20"/>
                <w:color w:val="auto"/>
              </w:rPr>
            </w:pPr>
            <w:r>
              <w:rPr>
                <w:rFonts w:ascii="Arial" w:cs="Arial" w:eastAsia="Arial" w:hAnsi="Arial"/>
                <w:sz w:val="18"/>
                <w:szCs w:val="18"/>
                <w:color w:val="auto"/>
                <w:w w:val="89"/>
              </w:rPr>
              <w:t>Total Number of Shares</w:t>
            </w:r>
          </w:p>
        </w:tc>
        <w:tc>
          <w:tcPr>
            <w:tcW w:w="24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Publicly Announced Plan 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that May Yet be Purchased</w:t>
            </w:r>
          </w:p>
        </w:tc>
      </w:tr>
      <w:tr>
        <w:trPr>
          <w:trHeight w:val="257"/>
        </w:trPr>
        <w:tc>
          <w:tcPr>
            <w:tcW w:w="2020" w:type="dxa"/>
            <w:vAlign w:val="bottom"/>
          </w:tcPr>
          <w:p>
            <w:pPr>
              <w:jc w:val="right"/>
              <w:ind w:right="550"/>
              <w:spacing w:after="0"/>
              <w:rPr>
                <w:sz w:val="20"/>
                <w:szCs w:val="20"/>
                <w:color w:val="auto"/>
              </w:rPr>
            </w:pPr>
            <w:r>
              <w:rPr>
                <w:rFonts w:ascii="Arial" w:cs="Arial" w:eastAsia="Arial" w:hAnsi="Arial"/>
                <w:sz w:val="18"/>
                <w:szCs w:val="18"/>
                <w:color w:val="auto"/>
              </w:rPr>
              <w:t>Period</w:t>
            </w:r>
          </w:p>
        </w:tc>
        <w:tc>
          <w:tcPr>
            <w:tcW w:w="2460" w:type="dxa"/>
            <w:vAlign w:val="bottom"/>
          </w:tcPr>
          <w:p>
            <w:pPr>
              <w:jc w:val="center"/>
              <w:ind w:left="270"/>
              <w:spacing w:after="0" w:line="257" w:lineRule="exact"/>
              <w:rPr>
                <w:sz w:val="20"/>
                <w:szCs w:val="20"/>
                <w:color w:val="auto"/>
              </w:rPr>
            </w:pPr>
            <w:r>
              <w:rPr>
                <w:rFonts w:ascii="Arial" w:cs="Arial" w:eastAsia="Arial" w:hAnsi="Arial"/>
                <w:sz w:val="18"/>
                <w:szCs w:val="18"/>
                <w:color w:val="auto"/>
                <w:w w:val="84"/>
              </w:rPr>
              <w:t xml:space="preserve">Purchased </w:t>
            </w:r>
            <w:r>
              <w:rPr>
                <w:rFonts w:ascii="Arial" w:cs="Arial" w:eastAsia="Arial" w:hAnsi="Arial"/>
                <w:sz w:val="25"/>
                <w:szCs w:val="25"/>
                <w:color w:val="auto"/>
                <w:w w:val="84"/>
                <w:vertAlign w:val="superscript"/>
              </w:rPr>
              <w:t>(1)</w:t>
            </w:r>
          </w:p>
        </w:tc>
        <w:tc>
          <w:tcPr>
            <w:tcW w:w="2400" w:type="dxa"/>
            <w:vAlign w:val="bottom"/>
          </w:tcPr>
          <w:p>
            <w:pPr>
              <w:ind w:left="180"/>
              <w:spacing w:after="0"/>
              <w:rPr>
                <w:sz w:val="20"/>
                <w:szCs w:val="20"/>
                <w:color w:val="auto"/>
              </w:rPr>
            </w:pPr>
            <w:r>
              <w:rPr>
                <w:rFonts w:ascii="Arial" w:cs="Arial" w:eastAsia="Arial" w:hAnsi="Arial"/>
                <w:sz w:val="18"/>
                <w:szCs w:val="18"/>
                <w:color w:val="auto"/>
                <w:w w:val="91"/>
              </w:rPr>
              <w:t>Average Price Paid Per Share</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Program</w:t>
            </w: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under Plans or Programs</w:t>
            </w:r>
          </w:p>
        </w:tc>
      </w:tr>
      <w:tr>
        <w:trPr>
          <w:trHeight w:val="250"/>
        </w:trPr>
        <w:tc>
          <w:tcPr>
            <w:tcW w:w="20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2"/>
              </w:rPr>
              <w:t>04/01/13 - 04/28/13</w:t>
            </w:r>
          </w:p>
        </w:tc>
        <w:tc>
          <w:tcPr>
            <w:tcW w:w="246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90"/>
              </w:rPr>
              <w:t>12,480</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$38.83</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20" w:type="dxa"/>
            <w:vAlign w:val="bottom"/>
          </w:tcPr>
          <w:p>
            <w:pPr>
              <w:jc w:val="right"/>
              <w:ind w:right="470"/>
              <w:spacing w:after="0"/>
              <w:rPr>
                <w:sz w:val="20"/>
                <w:szCs w:val="20"/>
                <w:color w:val="auto"/>
              </w:rPr>
            </w:pPr>
            <w:r>
              <w:rPr>
                <w:rFonts w:ascii="Arial" w:cs="Arial" w:eastAsia="Arial" w:hAnsi="Arial"/>
                <w:sz w:val="18"/>
                <w:szCs w:val="18"/>
                <w:color w:val="auto"/>
                <w:w w:val="92"/>
              </w:rPr>
              <w:t>04/29/13 - 05/26/13</w:t>
            </w:r>
          </w:p>
        </w:tc>
        <w:tc>
          <w:tcPr>
            <w:tcW w:w="2460" w:type="dxa"/>
            <w:vAlign w:val="bottom"/>
          </w:tcPr>
          <w:p>
            <w:pPr>
              <w:jc w:val="center"/>
              <w:ind w:left="27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0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43"/>
        </w:trPr>
        <w:tc>
          <w:tcPr>
            <w:tcW w:w="2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05/27/13 - 06/30/13</w:t>
            </w:r>
          </w:p>
        </w:tc>
        <w:tc>
          <w:tcPr>
            <w:tcW w:w="24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0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60"/>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 shares of common stock in this column represent shares that were surrendered to us by stock plan participants in order to satisfy minimum withholding tax obligations related to the vesting of restricted stock awards.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ITEM 6.</w:t>
            </w:r>
          </w:p>
        </w:tc>
        <w:tc>
          <w:tcPr>
            <w:tcW w:w="872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720" w:type="dxa"/>
            <w:vAlign w:val="bottom"/>
            <w:gridSpan w:val="2"/>
          </w:tcPr>
          <w:p>
            <w:pPr>
              <w:ind w:left="500"/>
              <w:spacing w:after="0"/>
              <w:rPr>
                <w:sz w:val="20"/>
                <w:szCs w:val="20"/>
                <w:color w:val="auto"/>
              </w:rPr>
            </w:pPr>
            <w:r>
              <w:rPr>
                <w:rFonts w:ascii="Arial" w:cs="Arial" w:eastAsia="Arial" w:hAnsi="Arial"/>
                <w:sz w:val="18"/>
                <w:szCs w:val="18"/>
                <w:color w:val="auto"/>
              </w:rPr>
              <w:t>Exhibit Index</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Exhibit</w:t>
            </w:r>
          </w:p>
        </w:tc>
        <w:tc>
          <w:tcPr>
            <w:tcW w:w="4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980" w:type="dxa"/>
            <w:vAlign w:val="bottom"/>
          </w:tcPr>
          <w:p>
            <w:pPr>
              <w:jc w:val="center"/>
              <w:spacing w:after="0"/>
              <w:rPr>
                <w:sz w:val="20"/>
                <w:szCs w:val="20"/>
                <w:color w:val="auto"/>
              </w:rPr>
            </w:pPr>
            <w:r>
              <w:rPr>
                <w:rFonts w:ascii="Arial" w:cs="Arial" w:eastAsia="Arial" w:hAnsi="Arial"/>
                <w:sz w:val="14"/>
                <w:szCs w:val="14"/>
                <w:color w:val="auto"/>
                <w:w w:val="98"/>
              </w:rPr>
              <w:t>Method of Filing</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w:t>
            </w:r>
          </w:p>
        </w:tc>
        <w:tc>
          <w:tcPr>
            <w:tcW w:w="8720" w:type="dxa"/>
            <w:vAlign w:val="bottom"/>
            <w:gridSpan w:val="3"/>
            <w:vMerge w:val="restart"/>
          </w:tcPr>
          <w:p>
            <w:pPr>
              <w:ind w:left="120"/>
              <w:spacing w:after="0"/>
              <w:rPr>
                <w:sz w:val="20"/>
                <w:szCs w:val="20"/>
                <w:color w:val="auto"/>
              </w:rPr>
            </w:pPr>
            <w:r>
              <w:rPr>
                <w:rFonts w:ascii="Arial" w:cs="Arial" w:eastAsia="Arial" w:hAnsi="Arial"/>
                <w:sz w:val="18"/>
                <w:szCs w:val="18"/>
                <w:color w:val="auto"/>
              </w:rPr>
              <w:t>Amended and Restated Articles of Incorporation. (1)</w:t>
            </w: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720" w:type="dxa"/>
            <w:vAlign w:val="bottom"/>
            <w:gridSpan w:val="3"/>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Amended and Restated By-Laws. (2)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31.1</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Section 1350 Certification by Chief Executive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32.2</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Section 1350 Certification by 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56"/>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101</w:t>
            </w: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w w:val="94"/>
              </w:rPr>
              <w:t>Financial statements from the Quarterly Report on Form 10-Q of Hawkins, Inc. for the period ended June 30, 2013</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filed with the SEC on July 31, 2013, formatted in Extensible Business Reporting Language (XBRL); (i) the</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w w:val="94"/>
              </w:rPr>
              <w:t>Condensed Consolidated Balance Sheets at June 30, 2013 and March 31, 2013, (ii) the Condensed Consolidated</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hanging="248"/>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46" w:lineRule="exact"/>
        <w:rPr>
          <w:rFonts w:ascii="Arial" w:cs="Arial" w:eastAsia="Arial" w:hAnsi="Arial"/>
          <w:sz w:val="16"/>
          <w:szCs w:val="16"/>
          <w:color w:val="auto"/>
        </w:rPr>
      </w:pPr>
    </w:p>
    <w:p>
      <w:pPr>
        <w:ind w:left="540" w:hanging="316"/>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dated October 28, 2009 and filed November 3, 2009.</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(On behalf of the Registrant and as principal financial</w:t>
      </w:r>
    </w:p>
    <w:p>
      <w:pPr>
        <w:spacing w:after="0" w:line="3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2013</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580" w:right="379" w:bottom="1440" w:gutter="0" w:footer="0" w:header="0"/>
        </w:sectPr>
      </w:pPr>
    </w:p>
    <w:bookmarkStart w:id="17" w:name="page18"/>
    <w:bookmarkEnd w:id="17"/>
    <w:p>
      <w:pPr>
        <w:ind w:left="5040"/>
        <w:spacing w:after="0"/>
        <w:rPr>
          <w:sz w:val="20"/>
          <w:szCs w:val="20"/>
          <w:color w:val="auto"/>
        </w:rPr>
      </w:pPr>
      <w:r>
        <w:rPr>
          <w:rFonts w:ascii="Arial" w:cs="Arial" w:eastAsia="Arial" w:hAnsi="Arial"/>
          <w:sz w:val="18"/>
          <w:szCs w:val="18"/>
          <w:b w:val="1"/>
          <w:bCs w:val="1"/>
          <w:color w:val="auto"/>
        </w:rPr>
        <w:t>Exhibit Index</w:t>
      </w:r>
    </w:p>
    <w:p>
      <w:pPr>
        <w:spacing w:after="0" w:line="373"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77"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700" w:hanging="548"/>
        <w:spacing w:after="0" w:line="291"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June 30, 2013 filed with the SEC on July 31, 2013, formatted in Extensible Business Reporting Language (XBRL); (i) the Condensed Consolidated Balance Sheets at June 30, 2013 and March 31, 2013, (ii) the Condensed Consolidated Statements of Income for the Three Months Ended June 30, 2013 and July 1, 2012, (iii) the Condensed Consolidated Statements of Comprehensive Income for the Three Months Ended June 30, 2013 and July 1, 2012, (iv) the Condensed Consolidated Statements of Cash Flows for the Three Months Ended June 30, 2013 and July 1, 2012, and (v) Notes to Condensed Consolidated Financial Statements.</w:t>
      </w:r>
    </w:p>
    <w:p>
      <w:pPr>
        <w:spacing w:after="0" w:line="2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20955</wp:posOffset>
            </wp:positionV>
            <wp:extent cx="1586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9" w:lineRule="exact"/>
        <w:rPr>
          <w:sz w:val="20"/>
          <w:szCs w:val="20"/>
          <w:color w:val="auto"/>
        </w:rPr>
      </w:pPr>
    </w:p>
    <w:p>
      <w:pPr>
        <w:jc w:val="center"/>
        <w:spacing w:after="0" w:line="362"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ectPr>
          <w:pgSz w:w="11900" w:h="16838" w:orient="portrait"/>
          <w:cols w:equalWidth="0" w:num="2">
            <w:col w:w="8580" w:space="500"/>
            <w:col w:w="1920"/>
          </w:cols>
          <w:pgMar w:left="380" w:top="580" w:right="5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2013,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2013</w:t>
      </w:r>
    </w:p>
    <w:p>
      <w:pPr>
        <w:sectPr>
          <w:pgSz w:w="11900" w:h="16838" w:orient="portrait"/>
          <w:cols w:equalWidth="0" w:num="1">
            <w:col w:w="11420"/>
          </w:cols>
          <w:pgMar w:left="240" w:top="5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2013,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lowerRoman"/>
      <w:start w:val="5"/>
    </w:lvl>
  </w:abstractNum>
  <w:abstractNum w:abstractNumId="1">
    <w:nsid w:val="2AE8944A"/>
    <w:multiLevelType w:val="hybridMultilevel"/>
    <w:lvl w:ilvl="0">
      <w:lvlJc w:val="left"/>
      <w:lvlText w:val="(%1)"/>
      <w:numFmt w:val="decimal"/>
      <w:start w:val="1"/>
    </w:lvl>
    <w:lvl w:ilvl="1">
      <w:lvlJc w:val="left"/>
      <w:lvlText w:val="%2"/>
      <w:numFmt w:val="lowerRoman"/>
      <w:start w:val="1"/>
    </w:lvl>
  </w:abstractNum>
  <w:abstractNum w:abstractNumId="2">
    <w:nsid w:val="625558EC"/>
    <w:multiLevelType w:val="hybridMultilevel"/>
    <w:lvl w:ilvl="0">
      <w:lvlJc w:val="left"/>
      <w:lvlText w:val="%1"/>
      <w:numFmt w:val="decimal"/>
      <w:start w:val="10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2019-12-05T10:58:14Z</dcterms:created>
  <dcterms:modified xsi:type="dcterms:W3CDTF">2019-12-05T10:58:14Z</dcterms:modified>
</cp:coreProperties>
</file>