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Calibri" w:cs="Calibri" w:eastAsia="Calibri" w:hAnsi="Calibri"/>
          <w:sz w:val="32"/>
          <w:szCs w:val="32"/>
          <w:b w:val="1"/>
          <w:bCs w:val="1"/>
          <w:color w:val="auto"/>
        </w:rPr>
        <w:t>UNITED STATES</w:t>
      </w:r>
    </w:p>
    <w:p>
      <w:pPr>
        <w:spacing w:after="0" w:line="1" w:lineRule="exact"/>
        <w:rPr>
          <w:sz w:val="24"/>
          <w:szCs w:val="24"/>
          <w:color w:val="auto"/>
        </w:rPr>
      </w:pPr>
    </w:p>
    <w:p>
      <w:pPr>
        <w:jc w:val="center"/>
        <w:spacing w:after="0"/>
        <w:rPr>
          <w:sz w:val="20"/>
          <w:szCs w:val="20"/>
          <w:color w:val="auto"/>
        </w:rPr>
      </w:pPr>
      <w:r>
        <w:rPr>
          <w:rFonts w:ascii="Calibri" w:cs="Calibri" w:eastAsia="Calibri" w:hAnsi="Calibri"/>
          <w:sz w:val="32"/>
          <w:szCs w:val="32"/>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Washington, D.C. 20549</w:t>
      </w:r>
    </w:p>
    <w:p>
      <w:pPr>
        <w:spacing w:after="0" w:line="200" w:lineRule="exact"/>
        <w:rPr>
          <w:sz w:val="24"/>
          <w:szCs w:val="24"/>
          <w:color w:val="auto"/>
        </w:rPr>
      </w:pPr>
    </w:p>
    <w:p>
      <w:pPr>
        <w:spacing w:after="0" w:line="353" w:lineRule="exact"/>
        <w:rPr>
          <w:sz w:val="24"/>
          <w:szCs w:val="24"/>
          <w:color w:val="auto"/>
        </w:rPr>
      </w:pPr>
    </w:p>
    <w:p>
      <w:pPr>
        <w:jc w:val="center"/>
        <w:spacing w:after="0"/>
        <w:rPr>
          <w:sz w:val="20"/>
          <w:szCs w:val="20"/>
          <w:color w:val="auto"/>
        </w:rPr>
      </w:pPr>
      <w:r>
        <w:rPr>
          <w:rFonts w:ascii="Calibri" w:cs="Calibri" w:eastAsia="Calibri" w:hAnsi="Calibri"/>
          <w:sz w:val="32"/>
          <w:szCs w:val="32"/>
          <w:b w:val="1"/>
          <w:bCs w:val="1"/>
          <w:color w:val="auto"/>
        </w:rPr>
        <w:t>FORM 8-K</w:t>
      </w: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Calibri" w:cs="Calibri" w:eastAsia="Calibri" w:hAnsi="Calibri"/>
          <w:sz w:val="25"/>
          <w:szCs w:val="25"/>
          <w:b w:val="1"/>
          <w:bCs w:val="1"/>
          <w:color w:val="auto"/>
        </w:rPr>
        <w:t>CURRENT REPORT</w:t>
      </w:r>
    </w:p>
    <w:p>
      <w:pPr>
        <w:spacing w:after="0" w:line="169"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Pursuant to Secton 13 or 15(d) of the</w:t>
      </w:r>
    </w:p>
    <w:p>
      <w:pPr>
        <w:jc w:val="center"/>
        <w:spacing w:after="0" w:line="229" w:lineRule="auto"/>
        <w:rPr>
          <w:sz w:val="20"/>
          <w:szCs w:val="20"/>
          <w:color w:val="auto"/>
        </w:rPr>
      </w:pPr>
      <w:r>
        <w:rPr>
          <w:rFonts w:ascii="Calibri" w:cs="Calibri" w:eastAsia="Calibri" w:hAnsi="Calibri"/>
          <w:sz w:val="22"/>
          <w:szCs w:val="22"/>
          <w:b w:val="1"/>
          <w:bCs w:val="1"/>
          <w:color w:val="auto"/>
        </w:rPr>
        <w:t>Securites Exchange Act of 1934</w:t>
      </w:r>
    </w:p>
    <w:p>
      <w:pPr>
        <w:spacing w:after="0" w:line="161" w:lineRule="exact"/>
        <w:rPr>
          <w:sz w:val="24"/>
          <w:szCs w:val="24"/>
          <w:color w:val="auto"/>
        </w:rPr>
      </w:pPr>
    </w:p>
    <w:p>
      <w:pPr>
        <w:jc w:val="center"/>
        <w:spacing w:after="0"/>
        <w:rPr>
          <w:sz w:val="20"/>
          <w:szCs w:val="20"/>
          <w:color w:val="auto"/>
        </w:rPr>
      </w:pPr>
      <w:r>
        <w:rPr>
          <w:rFonts w:ascii="Calibri" w:cs="Calibri" w:eastAsia="Calibri" w:hAnsi="Calibri"/>
          <w:sz w:val="21"/>
          <w:szCs w:val="21"/>
          <w:b w:val="1"/>
          <w:bCs w:val="1"/>
          <w:color w:val="auto"/>
        </w:rPr>
        <w:t>Date of Report (Date of earliest event reported) August 4, 2022</w:t>
      </w:r>
    </w:p>
    <w:p>
      <w:pPr>
        <w:spacing w:after="0" w:line="354" w:lineRule="exact"/>
        <w:rPr>
          <w:sz w:val="24"/>
          <w:szCs w:val="24"/>
          <w:color w:val="auto"/>
        </w:rPr>
      </w:pPr>
    </w:p>
    <w:p>
      <w:pPr>
        <w:jc w:val="center"/>
        <w:spacing w:after="0"/>
        <w:rPr>
          <w:sz w:val="20"/>
          <w:szCs w:val="20"/>
          <w:color w:val="auto"/>
        </w:rPr>
      </w:pPr>
      <w:r>
        <w:rPr>
          <w:rFonts w:ascii="Calibri" w:cs="Calibri" w:eastAsia="Calibri" w:hAnsi="Calibri"/>
          <w:sz w:val="43"/>
          <w:szCs w:val="43"/>
          <w:b w:val="1"/>
          <w:bCs w:val="1"/>
          <w:color w:val="auto"/>
        </w:rPr>
        <w:t>Hawkins, Inc.</w:t>
      </w:r>
    </w:p>
    <w:p>
      <w:pPr>
        <w:spacing w:after="0" w:line="27" w:lineRule="exact"/>
        <w:rPr>
          <w:sz w:val="24"/>
          <w:szCs w:val="24"/>
          <w:color w:val="auto"/>
        </w:rPr>
      </w:pPr>
    </w:p>
    <w:p>
      <w:pPr>
        <w:jc w:val="center"/>
        <w:spacing w:after="0"/>
        <w:rPr>
          <w:sz w:val="20"/>
          <w:szCs w:val="20"/>
          <w:color w:val="auto"/>
        </w:rPr>
      </w:pPr>
      <w:r>
        <w:rPr>
          <w:rFonts w:ascii="Calibri" w:cs="Calibri" w:eastAsia="Calibri" w:hAnsi="Calibri"/>
          <w:sz w:val="18"/>
          <w:szCs w:val="18"/>
          <w:b w:val="1"/>
          <w:bCs w:val="1"/>
          <w:color w:val="auto"/>
        </w:rPr>
        <w:t>(Exact name of registrant as specifed in its charter)</w:t>
      </w:r>
    </w:p>
    <w:p>
      <w:pPr>
        <w:sectPr>
          <w:pgSz w:w="11900" w:h="16838" w:orient="portrait"/>
          <w:cols w:equalWidth="0" w:num="1">
            <w:col w:w="11240"/>
          </w:cols>
          <w:pgMar w:left="320" w:top="1030" w:right="339" w:bottom="1440" w:gutter="0" w:footer="0" w:header="0"/>
        </w:sectPr>
      </w:pPr>
    </w:p>
    <w:p>
      <w:pPr>
        <w:spacing w:after="0" w:line="42" w:lineRule="exact"/>
        <w:rPr>
          <w:sz w:val="24"/>
          <w:szCs w:val="24"/>
          <w:color w:val="auto"/>
        </w:rPr>
      </w:pPr>
    </w:p>
    <w:p>
      <w:pPr>
        <w:ind w:left="1200"/>
        <w:spacing w:after="0"/>
        <w:rPr>
          <w:sz w:val="20"/>
          <w:szCs w:val="20"/>
          <w:color w:val="auto"/>
        </w:rPr>
      </w:pPr>
      <w:r>
        <w:rPr>
          <w:rFonts w:ascii="Calibri" w:cs="Calibri" w:eastAsia="Calibri" w:hAnsi="Calibri"/>
          <w:sz w:val="17"/>
          <w:szCs w:val="17"/>
          <w:b w:val="1"/>
          <w:bCs w:val="1"/>
          <w:color w:val="auto"/>
        </w:rPr>
        <w:t>Minnesota</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jc w:val="center"/>
        <w:ind w:right="2320"/>
        <w:spacing w:after="0"/>
        <w:rPr>
          <w:sz w:val="20"/>
          <w:szCs w:val="20"/>
          <w:color w:val="auto"/>
        </w:rPr>
      </w:pPr>
      <w:r>
        <w:rPr>
          <w:rFonts w:ascii="Calibri" w:cs="Calibri" w:eastAsia="Calibri" w:hAnsi="Calibri"/>
          <w:sz w:val="17"/>
          <w:szCs w:val="17"/>
          <w:b w:val="1"/>
          <w:bCs w:val="1"/>
          <w:color w:val="auto"/>
        </w:rPr>
        <w:t>0-7647</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Calibri" w:cs="Calibri" w:eastAsia="Calibri" w:hAnsi="Calibri"/>
          <w:sz w:val="17"/>
          <w:szCs w:val="17"/>
          <w:b w:val="1"/>
          <w:bCs w:val="1"/>
          <w:color w:val="auto"/>
        </w:rPr>
        <w:t>41-0771293</w:t>
      </w:r>
    </w:p>
    <w:p>
      <w:pPr>
        <w:spacing w:after="0" w:line="16" w:lineRule="exact"/>
        <w:rPr>
          <w:sz w:val="24"/>
          <w:szCs w:val="24"/>
          <w:color w:val="auto"/>
        </w:rPr>
      </w:pPr>
    </w:p>
    <w:p>
      <w:pPr>
        <w:sectPr>
          <w:pgSz w:w="11900" w:h="16838" w:orient="portrait"/>
          <w:cols w:equalWidth="0" w:num="3">
            <w:col w:w="4540" w:space="720"/>
            <w:col w:w="2820" w:space="720"/>
            <w:col w:w="2440"/>
          </w:cols>
          <w:pgMar w:left="320" w:top="1030" w:right="339" w:bottom="1440" w:gutter="0" w:footer="0" w:header="0"/>
          <w:type w:val="continuous"/>
        </w:sectPr>
      </w:pPr>
    </w:p>
    <w:p>
      <w:pPr>
        <w:ind w:left="280"/>
        <w:spacing w:after="0"/>
        <w:rPr>
          <w:sz w:val="20"/>
          <w:szCs w:val="20"/>
          <w:color w:val="auto"/>
        </w:rPr>
      </w:pPr>
      <w:r>
        <w:rPr>
          <w:rFonts w:ascii="Calibri" w:cs="Calibri" w:eastAsia="Calibri" w:hAnsi="Calibri"/>
          <w:sz w:val="14"/>
          <w:szCs w:val="14"/>
          <w:b w:val="1"/>
          <w:bCs w:val="1"/>
          <w:color w:val="auto"/>
        </w:rPr>
        <w:t>(State or other Jurisdicton of Incorporaton)</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Calibri" w:cs="Calibri" w:eastAsia="Calibri" w:hAnsi="Calibri"/>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4"/>
          <w:szCs w:val="14"/>
          <w:b w:val="1"/>
          <w:bCs w:val="1"/>
          <w:color w:val="auto"/>
        </w:rPr>
        <w:t>(IRS Employer Identfcaton No.)</w:t>
      </w:r>
    </w:p>
    <w:p>
      <w:pPr>
        <w:spacing w:after="0" w:line="200" w:lineRule="exact"/>
        <w:rPr>
          <w:sz w:val="24"/>
          <w:szCs w:val="24"/>
          <w:color w:val="auto"/>
        </w:rPr>
      </w:pPr>
    </w:p>
    <w:p>
      <w:pPr>
        <w:sectPr>
          <w:pgSz w:w="11900" w:h="16838" w:orient="portrait"/>
          <w:cols w:equalWidth="0" w:num="3">
            <w:col w:w="4000" w:space="720"/>
            <w:col w:w="2820" w:space="720"/>
            <w:col w:w="2980"/>
          </w:cols>
          <w:pgMar w:left="320" w:top="1030" w:right="339" w:bottom="1440" w:gutter="0" w:footer="0" w:header="0"/>
          <w:type w:val="continuous"/>
        </w:sectPr>
      </w:pPr>
    </w:p>
    <w:p>
      <w:pPr>
        <w:spacing w:after="0" w:line="27" w:lineRule="exact"/>
        <w:rPr>
          <w:sz w:val="24"/>
          <w:szCs w:val="24"/>
          <w:color w:val="auto"/>
        </w:rPr>
      </w:pPr>
    </w:p>
    <w:p>
      <w:pPr>
        <w:ind w:left="900"/>
        <w:spacing w:after="0"/>
        <w:rPr>
          <w:sz w:val="20"/>
          <w:szCs w:val="20"/>
          <w:color w:val="auto"/>
        </w:rPr>
      </w:pPr>
      <w:r>
        <w:rPr>
          <w:rFonts w:ascii="Calibri" w:cs="Calibri" w:eastAsia="Calibri" w:hAnsi="Calibri"/>
          <w:sz w:val="17"/>
          <w:szCs w:val="17"/>
          <w:b w:val="1"/>
          <w:bCs w:val="1"/>
          <w:color w:val="auto"/>
        </w:rPr>
        <w:t>2381 Rosegate, Roseville,</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Calibri" w:cs="Calibri" w:eastAsia="Calibri" w:hAnsi="Calibri"/>
          <w:sz w:val="17"/>
          <w:szCs w:val="17"/>
          <w:b w:val="1"/>
          <w:bCs w:val="1"/>
          <w:color w:val="auto"/>
        </w:rPr>
        <w:t>Minnesota</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Calibri" w:cs="Calibri" w:eastAsia="Calibri" w:hAnsi="Calibri"/>
          <w:sz w:val="18"/>
          <w:szCs w:val="18"/>
          <w:b w:val="1"/>
          <w:bCs w:val="1"/>
          <w:color w:val="auto"/>
        </w:rPr>
        <w:t>55113</w:t>
      </w:r>
    </w:p>
    <w:p>
      <w:pPr>
        <w:spacing w:after="0" w:line="8" w:lineRule="exact"/>
        <w:rPr>
          <w:sz w:val="24"/>
          <w:szCs w:val="24"/>
          <w:color w:val="auto"/>
        </w:rPr>
      </w:pPr>
    </w:p>
    <w:p>
      <w:pPr>
        <w:sectPr>
          <w:pgSz w:w="11900" w:h="16838" w:orient="portrait"/>
          <w:cols w:equalWidth="0" w:num="3">
            <w:col w:w="2740" w:space="380"/>
            <w:col w:w="5480" w:space="720"/>
            <w:col w:w="1920"/>
          </w:cols>
          <w:pgMar w:left="320" w:top="1030" w:right="339" w:bottom="1440" w:gutter="0" w:footer="0" w:header="0"/>
          <w:type w:val="continuous"/>
        </w:sectPr>
      </w:pPr>
    </w:p>
    <w:p>
      <w:pPr>
        <w:ind w:left="1200"/>
        <w:spacing w:after="0"/>
        <w:rPr>
          <w:sz w:val="20"/>
          <w:szCs w:val="20"/>
          <w:color w:val="auto"/>
        </w:rPr>
      </w:pPr>
      <w:r>
        <w:rPr>
          <w:rFonts w:ascii="Calibri" w:cs="Calibri" w:eastAsia="Calibri" w:hAnsi="Calibri"/>
          <w:sz w:val="14"/>
          <w:szCs w:val="14"/>
          <w:b w:val="1"/>
          <w:bCs w:val="1"/>
          <w:color w:val="auto"/>
        </w:rPr>
        <w:t>(Address of Principal Executve Ofces)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4"/>
          <w:szCs w:val="14"/>
          <w:b w:val="1"/>
          <w:bCs w:val="1"/>
          <w:color w:val="auto"/>
        </w:rPr>
        <w:t>(Zip Code)</w:t>
      </w:r>
    </w:p>
    <w:p>
      <w:pPr>
        <w:spacing w:after="0" w:line="200" w:lineRule="exact"/>
        <w:rPr>
          <w:sz w:val="24"/>
          <w:szCs w:val="24"/>
          <w:color w:val="auto"/>
        </w:rPr>
      </w:pPr>
    </w:p>
    <w:p>
      <w:pPr>
        <w:sectPr>
          <w:pgSz w:w="11900" w:h="16838" w:orient="portrait"/>
          <w:cols w:equalWidth="0" w:num="2">
            <w:col w:w="8520" w:space="720"/>
            <w:col w:w="2000"/>
          </w:cols>
          <w:pgMar w:left="320" w:top="1030" w:right="339" w:bottom="1440" w:gutter="0" w:footer="0" w:header="0"/>
          <w:type w:val="continuous"/>
        </w:sectPr>
      </w:pPr>
    </w:p>
    <w:p>
      <w:pPr>
        <w:spacing w:after="0" w:line="306" w:lineRule="exact"/>
        <w:rPr>
          <w:sz w:val="24"/>
          <w:szCs w:val="24"/>
          <w:color w:val="auto"/>
        </w:rPr>
      </w:pPr>
    </w:p>
    <w:p>
      <w:pPr>
        <w:jc w:val="center"/>
        <w:ind w:right="-19"/>
        <w:spacing w:after="0"/>
        <w:rPr>
          <w:sz w:val="20"/>
          <w:szCs w:val="20"/>
          <w:color w:val="auto"/>
        </w:rPr>
      </w:pPr>
      <w:r>
        <w:rPr>
          <w:rFonts w:ascii="Calibri" w:cs="Calibri" w:eastAsia="Calibri" w:hAnsi="Calibri"/>
          <w:sz w:val="18"/>
          <w:szCs w:val="18"/>
          <w:b w:val="1"/>
          <w:bCs w:val="1"/>
          <w:color w:val="auto"/>
        </w:rPr>
        <w:t>Registrant’s Telephone Number, Including Area Code (612) 331-6910</w:t>
      </w:r>
    </w:p>
    <w:p>
      <w:pPr>
        <w:spacing w:after="0" w:line="325" w:lineRule="exact"/>
        <w:rPr>
          <w:sz w:val="24"/>
          <w:szCs w:val="24"/>
          <w:color w:val="auto"/>
        </w:rPr>
      </w:pPr>
    </w:p>
    <w:p>
      <w:pPr>
        <w:ind w:right="500" w:firstLine="445"/>
        <w:spacing w:after="0" w:line="235" w:lineRule="auto"/>
        <w:rPr>
          <w:sz w:val="20"/>
          <w:szCs w:val="20"/>
          <w:color w:val="auto"/>
        </w:rPr>
      </w:pPr>
      <w:r>
        <w:rPr>
          <w:rFonts w:ascii="Calibri" w:cs="Calibri" w:eastAsia="Calibri" w:hAnsi="Calibri"/>
          <w:sz w:val="18"/>
          <w:szCs w:val="18"/>
          <w:color w:val="auto"/>
        </w:rPr>
        <w:t>Check the appropriate box below if the Form 8-K fling is intended to simultaneously satsfy the fling obligaton of the registrant under any of the following provisions (</w:t>
      </w:r>
      <w:r>
        <w:rPr>
          <w:rFonts w:ascii="Calibri" w:cs="Calibri" w:eastAsia="Calibri" w:hAnsi="Calibri"/>
          <w:sz w:val="18"/>
          <w:szCs w:val="18"/>
          <w:i w:val="1"/>
          <w:iCs w:val="1"/>
          <w:color w:val="auto"/>
        </w:rPr>
        <w:t>see</w:t>
      </w:r>
      <w:r>
        <w:rPr>
          <w:rFonts w:ascii="Calibri" w:cs="Calibri" w:eastAsia="Calibri" w:hAnsi="Calibri"/>
          <w:sz w:val="18"/>
          <w:szCs w:val="18"/>
          <w:color w:val="auto"/>
        </w:rPr>
        <w:t xml:space="preserve"> General Instructon A.2. below):</w:t>
      </w:r>
    </w:p>
    <w:p>
      <w:pPr>
        <w:spacing w:after="0" w:line="37"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Writen communicatons pursuant to Rule 425 under the Securites Act (17 CFR 230.425)</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Solicitng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14d-2(b) under the Exchange Act (17 CFR 240.14d-2(b))</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13e-4(c) under the Exchange Act (17 CFR 240.13e-4(c))</w:t>
      </w:r>
    </w:p>
    <w:p>
      <w:pPr>
        <w:spacing w:after="0" w:line="253" w:lineRule="exact"/>
        <w:rPr>
          <w:sz w:val="24"/>
          <w:szCs w:val="24"/>
          <w:color w:val="auto"/>
        </w:rPr>
      </w:pPr>
    </w:p>
    <w:p>
      <w:pPr>
        <w:spacing w:after="0"/>
        <w:rPr>
          <w:sz w:val="20"/>
          <w:szCs w:val="20"/>
          <w:color w:val="auto"/>
        </w:rPr>
      </w:pPr>
      <w:r>
        <w:rPr>
          <w:rFonts w:ascii="Calibri" w:cs="Calibri" w:eastAsia="Calibri" w:hAnsi="Calibri"/>
          <w:sz w:val="18"/>
          <w:szCs w:val="18"/>
          <w:color w:val="auto"/>
        </w:rPr>
        <w:t>Securites registered pursuant to Secton 12(b) of the Act:</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3700" w:type="dxa"/>
            <w:vAlign w:val="bottom"/>
          </w:tcPr>
          <w:p>
            <w:pPr>
              <w:ind w:left="1160"/>
              <w:spacing w:after="0"/>
              <w:rPr>
                <w:sz w:val="20"/>
                <w:szCs w:val="20"/>
                <w:color w:val="auto"/>
              </w:rPr>
            </w:pPr>
            <w:r>
              <w:rPr>
                <w:rFonts w:ascii="Calibri" w:cs="Calibri" w:eastAsia="Calibri" w:hAnsi="Calibri"/>
                <w:sz w:val="16"/>
                <w:szCs w:val="16"/>
                <w:b w:val="1"/>
                <w:bCs w:val="1"/>
                <w:color w:val="auto"/>
              </w:rPr>
              <w:t>Title of each class</w:t>
            </w:r>
          </w:p>
        </w:tc>
        <w:tc>
          <w:tcPr>
            <w:tcW w:w="3080" w:type="dxa"/>
            <w:vAlign w:val="bottom"/>
          </w:tcPr>
          <w:p>
            <w:pPr>
              <w:jc w:val="center"/>
              <w:ind w:left="79"/>
              <w:spacing w:after="0"/>
              <w:rPr>
                <w:sz w:val="20"/>
                <w:szCs w:val="20"/>
                <w:color w:val="auto"/>
              </w:rPr>
            </w:pPr>
            <w:r>
              <w:rPr>
                <w:rFonts w:ascii="Calibri" w:cs="Calibri" w:eastAsia="Calibri" w:hAnsi="Calibri"/>
                <w:sz w:val="16"/>
                <w:szCs w:val="16"/>
                <w:b w:val="1"/>
                <w:bCs w:val="1"/>
                <w:color w:val="auto"/>
              </w:rPr>
              <w:t>Trading Symbol(s)</w:t>
            </w:r>
          </w:p>
        </w:tc>
        <w:tc>
          <w:tcPr>
            <w:tcW w:w="4240" w:type="dxa"/>
            <w:vAlign w:val="bottom"/>
          </w:tcPr>
          <w:p>
            <w:pPr>
              <w:jc w:val="center"/>
              <w:ind w:left="319"/>
              <w:spacing w:after="0"/>
              <w:rPr>
                <w:sz w:val="20"/>
                <w:szCs w:val="20"/>
                <w:color w:val="auto"/>
              </w:rPr>
            </w:pPr>
            <w:r>
              <w:rPr>
                <w:rFonts w:ascii="Calibri" w:cs="Calibri" w:eastAsia="Calibri" w:hAnsi="Calibri"/>
                <w:sz w:val="16"/>
                <w:szCs w:val="16"/>
                <w:b w:val="1"/>
                <w:bCs w:val="1"/>
                <w:color w:val="auto"/>
              </w:rPr>
              <w:t>Name of each exchange on which registered</w:t>
            </w:r>
          </w:p>
        </w:tc>
      </w:tr>
      <w:tr>
        <w:trPr>
          <w:trHeight w:val="55"/>
        </w:trPr>
        <w:tc>
          <w:tcPr>
            <w:tcW w:w="3700" w:type="dxa"/>
            <w:vAlign w:val="bottom"/>
            <w:tcBorders>
              <w:bottom w:val="single" w:sz="8" w:color="auto"/>
            </w:tcBorders>
          </w:tcPr>
          <w:p>
            <w:pPr>
              <w:spacing w:after="0"/>
              <w:rPr>
                <w:sz w:val="4"/>
                <w:szCs w:val="4"/>
                <w:color w:val="auto"/>
              </w:rPr>
            </w:pPr>
          </w:p>
        </w:tc>
        <w:tc>
          <w:tcPr>
            <w:tcW w:w="308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r>
      <w:tr>
        <w:trPr>
          <w:trHeight w:val="187"/>
        </w:trPr>
        <w:tc>
          <w:tcPr>
            <w:tcW w:w="3700" w:type="dxa"/>
            <w:vAlign w:val="bottom"/>
          </w:tcPr>
          <w:p>
            <w:pPr>
              <w:ind w:left="20"/>
              <w:spacing w:after="0" w:line="187" w:lineRule="exact"/>
              <w:rPr>
                <w:sz w:val="20"/>
                <w:szCs w:val="20"/>
                <w:color w:val="auto"/>
              </w:rPr>
            </w:pPr>
            <w:r>
              <w:rPr>
                <w:rFonts w:ascii="Calibri" w:cs="Calibri" w:eastAsia="Calibri" w:hAnsi="Calibri"/>
                <w:sz w:val="16"/>
                <w:szCs w:val="16"/>
                <w:color w:val="auto"/>
              </w:rPr>
              <w:t>Common Stock, par value $.01 per share</w:t>
            </w:r>
          </w:p>
        </w:tc>
        <w:tc>
          <w:tcPr>
            <w:tcW w:w="3080" w:type="dxa"/>
            <w:vAlign w:val="bottom"/>
          </w:tcPr>
          <w:p>
            <w:pPr>
              <w:jc w:val="center"/>
              <w:ind w:left="99"/>
              <w:spacing w:after="0" w:line="187" w:lineRule="exact"/>
              <w:rPr>
                <w:sz w:val="20"/>
                <w:szCs w:val="20"/>
                <w:color w:val="auto"/>
              </w:rPr>
            </w:pPr>
            <w:r>
              <w:rPr>
                <w:rFonts w:ascii="Calibri" w:cs="Calibri" w:eastAsia="Calibri" w:hAnsi="Calibri"/>
                <w:sz w:val="16"/>
                <w:szCs w:val="16"/>
                <w:color w:val="auto"/>
                <w:w w:val="97"/>
              </w:rPr>
              <w:t>HWKN</w:t>
            </w:r>
          </w:p>
        </w:tc>
        <w:tc>
          <w:tcPr>
            <w:tcW w:w="4240" w:type="dxa"/>
            <w:vAlign w:val="bottom"/>
          </w:tcPr>
          <w:p>
            <w:pPr>
              <w:jc w:val="center"/>
              <w:ind w:left="299"/>
              <w:spacing w:after="0" w:line="187" w:lineRule="exact"/>
              <w:rPr>
                <w:sz w:val="20"/>
                <w:szCs w:val="20"/>
                <w:color w:val="auto"/>
              </w:rPr>
            </w:pPr>
            <w:r>
              <w:rPr>
                <w:rFonts w:ascii="Calibri" w:cs="Calibri" w:eastAsia="Calibri" w:hAnsi="Calibri"/>
                <w:sz w:val="16"/>
                <w:szCs w:val="16"/>
                <w:color w:val="auto"/>
              </w:rPr>
              <w:t>Nasdaq Stock Market LLC</w:t>
            </w:r>
          </w:p>
        </w:tc>
      </w:tr>
    </w:tbl>
    <w:p>
      <w:pPr>
        <w:spacing w:after="0" w:line="365" w:lineRule="exact"/>
        <w:rPr>
          <w:sz w:val="24"/>
          <w:szCs w:val="24"/>
          <w:color w:val="auto"/>
        </w:rPr>
      </w:pPr>
    </w:p>
    <w:p>
      <w:pPr>
        <w:ind w:right="180"/>
        <w:spacing w:after="0" w:line="235" w:lineRule="auto"/>
        <w:rPr>
          <w:sz w:val="20"/>
          <w:szCs w:val="20"/>
          <w:color w:val="auto"/>
        </w:rPr>
      </w:pPr>
      <w:r>
        <w:rPr>
          <w:rFonts w:ascii="Calibri" w:cs="Calibri" w:eastAsia="Calibri" w:hAnsi="Calibri"/>
          <w:sz w:val="18"/>
          <w:szCs w:val="18"/>
          <w:color w:val="auto"/>
        </w:rPr>
        <w:t>Indicate by check mark whether the registrant is an emerging growth company as defned in Rule 405 of the Securites Act of 1933 (17 CFR 230.405) or Rule 12b-2 of the Securites Exchange Act of 1934 (17 CFR 240.12b-2).</w:t>
      </w:r>
    </w:p>
    <w:p>
      <w:pPr>
        <w:spacing w:after="0" w:line="31" w:lineRule="exact"/>
        <w:rPr>
          <w:sz w:val="24"/>
          <w:szCs w:val="24"/>
          <w:color w:val="auto"/>
        </w:rPr>
      </w:pPr>
    </w:p>
    <w:p>
      <w:pPr>
        <w:ind w:left="9120"/>
        <w:spacing w:after="0" w:line="208" w:lineRule="exact"/>
        <w:rPr>
          <w:sz w:val="20"/>
          <w:szCs w:val="20"/>
          <w:color w:val="auto"/>
        </w:rPr>
      </w:pPr>
      <w:r>
        <w:rPr>
          <w:rFonts w:ascii="Calibri" w:cs="Calibri" w:eastAsia="Calibri" w:hAnsi="Calibri"/>
          <w:sz w:val="17"/>
          <w:szCs w:val="17"/>
          <w:color w:val="auto"/>
        </w:rPr>
        <w:t xml:space="preserve">Emerging growth company </w:t>
      </w:r>
      <w:r>
        <w:rPr>
          <w:rFonts w:ascii="MS PGothic" w:cs="MS PGothic" w:eastAsia="MS PGothic" w:hAnsi="MS PGothic"/>
          <w:sz w:val="17"/>
          <w:szCs w:val="17"/>
          <w:color w:val="auto"/>
        </w:rPr>
        <w:t>☐</w:t>
      </w:r>
    </w:p>
    <w:p>
      <w:pPr>
        <w:spacing w:after="0" w:line="182" w:lineRule="exact"/>
        <w:rPr>
          <w:sz w:val="24"/>
          <w:szCs w:val="24"/>
          <w:color w:val="auto"/>
        </w:rPr>
      </w:pPr>
    </w:p>
    <w:p>
      <w:pPr>
        <w:ind w:right="100"/>
        <w:spacing w:after="0" w:line="238" w:lineRule="exact"/>
        <w:rPr>
          <w:sz w:val="20"/>
          <w:szCs w:val="20"/>
          <w:color w:val="auto"/>
        </w:rPr>
      </w:pPr>
      <w:r>
        <w:rPr>
          <w:rFonts w:ascii="Calibri" w:cs="Calibri" w:eastAsia="Calibri" w:hAnsi="Calibri"/>
          <w:sz w:val="18"/>
          <w:szCs w:val="18"/>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694690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8"/>
          <w:szCs w:val="18"/>
          <w:b w:val="1"/>
          <w:bCs w:val="1"/>
          <w:color w:val="auto"/>
        </w:rPr>
        <w:t>Item 5.07. Submission of Maters to a Vote of Security Holders.</w:t>
      </w:r>
    </w:p>
    <w:p>
      <w:pPr>
        <w:spacing w:after="0" w:line="109" w:lineRule="exact"/>
        <w:rPr>
          <w:sz w:val="20"/>
          <w:szCs w:val="20"/>
          <w:color w:val="auto"/>
        </w:rPr>
      </w:pPr>
    </w:p>
    <w:p>
      <w:pPr>
        <w:ind w:right="540" w:firstLine="648"/>
        <w:spacing w:after="0" w:line="235" w:lineRule="auto"/>
        <w:rPr>
          <w:rFonts w:ascii="Calibri" w:cs="Calibri" w:eastAsia="Calibri" w:hAnsi="Calibri"/>
          <w:sz w:val="18"/>
          <w:szCs w:val="18"/>
          <w:color w:val="0000FF"/>
        </w:rPr>
      </w:pPr>
      <w:hyperlink r:id="rId9">
        <w:r>
          <w:rPr>
            <w:rFonts w:ascii="Calibri" w:cs="Calibri" w:eastAsia="Calibri" w:hAnsi="Calibri"/>
            <w:sz w:val="18"/>
            <w:szCs w:val="18"/>
            <w:color w:val="auto"/>
          </w:rPr>
          <w:t xml:space="preserve">At our annual meetng of shareholders held August 4, 2022, the following proposals, each as described in further detail in the </w:t>
        </w:r>
        <w:r>
          <w:rPr>
            <w:rFonts w:ascii="Calibri" w:cs="Calibri" w:eastAsia="Calibri" w:hAnsi="Calibri"/>
            <w:sz w:val="18"/>
            <w:szCs w:val="18"/>
            <w:u w:val="single" w:color="auto"/>
            <w:color w:val="0000FF"/>
          </w:rPr>
          <w:t>defnitve proxy</w:t>
        </w:r>
      </w:hyperlink>
      <w:r>
        <w:rPr>
          <w:rFonts w:ascii="Calibri" w:cs="Calibri" w:eastAsia="Calibri" w:hAnsi="Calibri"/>
          <w:sz w:val="18"/>
          <w:szCs w:val="18"/>
          <w:color w:val="auto"/>
        </w:rPr>
        <w:t xml:space="preserve"> </w:t>
      </w:r>
      <w:hyperlink r:id="rId9">
        <w:r>
          <w:rPr>
            <w:rFonts w:ascii="Calibri" w:cs="Calibri" w:eastAsia="Calibri" w:hAnsi="Calibri"/>
            <w:sz w:val="18"/>
            <w:szCs w:val="18"/>
            <w:u w:val="single" w:color="auto"/>
            <w:color w:val="0000FF"/>
          </w:rPr>
          <w:t>statement fled by our company on June 21, 2022</w:t>
        </w:r>
        <w:r>
          <w:rPr>
            <w:rFonts w:ascii="Calibri" w:cs="Calibri" w:eastAsia="Calibri" w:hAnsi="Calibri"/>
            <w:sz w:val="18"/>
            <w:szCs w:val="18"/>
            <w:color w:val="000000"/>
          </w:rPr>
          <w:t>, were voted upon by our shareholders as set forth below:</w:t>
        </w:r>
      </w:hyperlink>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Proposal One – Electon of Directors</w:t>
      </w:r>
    </w:p>
    <w:p>
      <w:pPr>
        <w:spacing w:after="0" w:line="104"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Our shareholders elected each of the seven nominees to our Board of Directors, based on the following votes: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20" w:type="dxa"/>
            <w:vAlign w:val="bottom"/>
            <w:gridSpan w:val="2"/>
          </w:tcPr>
          <w:p>
            <w:pPr>
              <w:ind w:left="700"/>
              <w:spacing w:after="0"/>
              <w:rPr>
                <w:sz w:val="20"/>
                <w:szCs w:val="20"/>
                <w:color w:val="auto"/>
              </w:rPr>
            </w:pPr>
            <w:r>
              <w:rPr>
                <w:rFonts w:ascii="Calibri" w:cs="Calibri" w:eastAsia="Calibri" w:hAnsi="Calibri"/>
                <w:sz w:val="18"/>
                <w:szCs w:val="18"/>
                <w:b w:val="1"/>
                <w:bCs w:val="1"/>
                <w:color w:val="auto"/>
              </w:rPr>
              <w:t>Director Nominee</w:t>
            </w:r>
          </w:p>
        </w:tc>
        <w:tc>
          <w:tcPr>
            <w:tcW w:w="2840" w:type="dxa"/>
            <w:vAlign w:val="bottom"/>
            <w:gridSpan w:val="2"/>
          </w:tcPr>
          <w:p>
            <w:pPr>
              <w:jc w:val="center"/>
              <w:ind w:right="120"/>
              <w:spacing w:after="0"/>
              <w:rPr>
                <w:sz w:val="20"/>
                <w:szCs w:val="20"/>
                <w:color w:val="auto"/>
              </w:rPr>
            </w:pPr>
            <w:r>
              <w:rPr>
                <w:rFonts w:ascii="Calibri" w:cs="Calibri" w:eastAsia="Calibri" w:hAnsi="Calibri"/>
                <w:sz w:val="18"/>
                <w:szCs w:val="18"/>
                <w:b w:val="1"/>
                <w:bCs w:val="1"/>
                <w:color w:val="auto"/>
                <w:w w:val="98"/>
              </w:rPr>
              <w:t>For</w:t>
            </w:r>
          </w:p>
        </w:tc>
        <w:tc>
          <w:tcPr>
            <w:tcW w:w="2820" w:type="dxa"/>
            <w:vAlign w:val="bottom"/>
            <w:gridSpan w:val="2"/>
          </w:tcPr>
          <w:p>
            <w:pPr>
              <w:ind w:left="1000"/>
              <w:spacing w:after="0"/>
              <w:rPr>
                <w:sz w:val="20"/>
                <w:szCs w:val="20"/>
                <w:color w:val="auto"/>
              </w:rPr>
            </w:pPr>
            <w:r>
              <w:rPr>
                <w:rFonts w:ascii="Calibri" w:cs="Calibri" w:eastAsia="Calibri" w:hAnsi="Calibri"/>
                <w:sz w:val="18"/>
                <w:szCs w:val="18"/>
                <w:b w:val="1"/>
                <w:bCs w:val="1"/>
                <w:color w:val="auto"/>
              </w:rPr>
              <w:t>Withheld</w:t>
            </w:r>
          </w:p>
        </w:tc>
        <w:tc>
          <w:tcPr>
            <w:tcW w:w="2700" w:type="dxa"/>
            <w:vAlign w:val="bottom"/>
          </w:tcPr>
          <w:p>
            <w:pPr>
              <w:jc w:val="center"/>
              <w:spacing w:after="0"/>
              <w:rPr>
                <w:sz w:val="20"/>
                <w:szCs w:val="20"/>
                <w:color w:val="auto"/>
              </w:rPr>
            </w:pPr>
            <w:r>
              <w:rPr>
                <w:rFonts w:ascii="Calibri" w:cs="Calibri" w:eastAsia="Calibri" w:hAnsi="Calibri"/>
                <w:sz w:val="18"/>
                <w:szCs w:val="18"/>
                <w:b w:val="1"/>
                <w:bCs w:val="1"/>
                <w:color w:val="auto"/>
                <w:w w:val="96"/>
              </w:rPr>
              <w:t>Broker Non-Vote</w:t>
            </w:r>
          </w:p>
        </w:tc>
      </w:tr>
      <w:tr>
        <w:trPr>
          <w:trHeight w:val="23"/>
        </w:trPr>
        <w:tc>
          <w:tcPr>
            <w:tcW w:w="2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208"/>
        </w:trPr>
        <w:tc>
          <w:tcPr>
            <w:tcW w:w="2700" w:type="dxa"/>
            <w:vAlign w:val="bottom"/>
          </w:tcPr>
          <w:p>
            <w:pPr>
              <w:ind w:left="20"/>
              <w:spacing w:after="0" w:line="208" w:lineRule="exact"/>
              <w:rPr>
                <w:sz w:val="20"/>
                <w:szCs w:val="20"/>
                <w:color w:val="auto"/>
              </w:rPr>
            </w:pPr>
            <w:r>
              <w:rPr>
                <w:rFonts w:ascii="Calibri" w:cs="Calibri" w:eastAsia="Calibri" w:hAnsi="Calibri"/>
                <w:sz w:val="18"/>
                <w:szCs w:val="18"/>
                <w:color w:val="auto"/>
              </w:rPr>
              <w:t>James A. Faulconbridge</w:t>
            </w:r>
          </w:p>
        </w:tc>
        <w:tc>
          <w:tcPr>
            <w:tcW w:w="120" w:type="dxa"/>
            <w:vAlign w:val="bottom"/>
          </w:tcPr>
          <w:p>
            <w:pPr>
              <w:spacing w:after="0"/>
              <w:rPr>
                <w:sz w:val="18"/>
                <w:szCs w:val="18"/>
                <w:color w:val="auto"/>
              </w:rPr>
            </w:pPr>
          </w:p>
        </w:tc>
        <w:tc>
          <w:tcPr>
            <w:tcW w:w="2700" w:type="dxa"/>
            <w:vAlign w:val="bottom"/>
          </w:tcPr>
          <w:p>
            <w:pPr>
              <w:jc w:val="center"/>
              <w:spacing w:after="0" w:line="208" w:lineRule="exact"/>
              <w:rPr>
                <w:sz w:val="20"/>
                <w:szCs w:val="20"/>
                <w:color w:val="auto"/>
              </w:rPr>
            </w:pPr>
            <w:r>
              <w:rPr>
                <w:rFonts w:ascii="Calibri" w:cs="Calibri" w:eastAsia="Calibri" w:hAnsi="Calibri"/>
                <w:sz w:val="18"/>
                <w:szCs w:val="18"/>
                <w:color w:val="auto"/>
                <w:w w:val="97"/>
              </w:rPr>
              <w:t>13,738,389</w:t>
            </w:r>
          </w:p>
        </w:tc>
        <w:tc>
          <w:tcPr>
            <w:tcW w:w="140" w:type="dxa"/>
            <w:vAlign w:val="bottom"/>
          </w:tcPr>
          <w:p>
            <w:pPr>
              <w:spacing w:after="0"/>
              <w:rPr>
                <w:sz w:val="18"/>
                <w:szCs w:val="18"/>
                <w:color w:val="auto"/>
              </w:rPr>
            </w:pPr>
          </w:p>
        </w:tc>
        <w:tc>
          <w:tcPr>
            <w:tcW w:w="2700" w:type="dxa"/>
            <w:vAlign w:val="bottom"/>
          </w:tcPr>
          <w:p>
            <w:pPr>
              <w:jc w:val="center"/>
              <w:spacing w:after="0" w:line="208" w:lineRule="exact"/>
              <w:rPr>
                <w:sz w:val="20"/>
                <w:szCs w:val="20"/>
                <w:color w:val="auto"/>
              </w:rPr>
            </w:pPr>
            <w:r>
              <w:rPr>
                <w:rFonts w:ascii="Calibri" w:cs="Calibri" w:eastAsia="Calibri" w:hAnsi="Calibri"/>
                <w:sz w:val="18"/>
                <w:szCs w:val="18"/>
                <w:color w:val="auto"/>
                <w:w w:val="97"/>
              </w:rPr>
              <w:t>646,077</w:t>
            </w:r>
          </w:p>
        </w:tc>
        <w:tc>
          <w:tcPr>
            <w:tcW w:w="120" w:type="dxa"/>
            <w:vAlign w:val="bottom"/>
          </w:tcPr>
          <w:p>
            <w:pPr>
              <w:spacing w:after="0"/>
              <w:rPr>
                <w:sz w:val="18"/>
                <w:szCs w:val="18"/>
                <w:color w:val="auto"/>
              </w:rPr>
            </w:pPr>
          </w:p>
        </w:tc>
        <w:tc>
          <w:tcPr>
            <w:tcW w:w="2700" w:type="dxa"/>
            <w:vAlign w:val="bottom"/>
          </w:tcPr>
          <w:p>
            <w:pPr>
              <w:jc w:val="center"/>
              <w:spacing w:after="0" w:line="208" w:lineRule="exact"/>
              <w:rPr>
                <w:sz w:val="20"/>
                <w:szCs w:val="20"/>
                <w:color w:val="auto"/>
              </w:rPr>
            </w:pPr>
            <w:r>
              <w:rPr>
                <w:rFonts w:ascii="Calibri" w:cs="Calibri" w:eastAsia="Calibri" w:hAnsi="Calibri"/>
                <w:sz w:val="18"/>
                <w:szCs w:val="18"/>
                <w:color w:val="auto"/>
                <w:w w:val="97"/>
              </w:rPr>
              <w:t>—</w:t>
            </w:r>
          </w:p>
        </w:tc>
      </w:tr>
      <w:tr>
        <w:trPr>
          <w:trHeight w:val="221"/>
        </w:trPr>
        <w:tc>
          <w:tcPr>
            <w:tcW w:w="2820" w:type="dxa"/>
            <w:vAlign w:val="bottom"/>
            <w:gridSpan w:val="2"/>
          </w:tcPr>
          <w:p>
            <w:pPr>
              <w:ind w:left="20"/>
              <w:spacing w:after="0"/>
              <w:rPr>
                <w:sz w:val="20"/>
                <w:szCs w:val="20"/>
                <w:color w:val="auto"/>
              </w:rPr>
            </w:pPr>
            <w:r>
              <w:rPr>
                <w:rFonts w:ascii="Calibri" w:cs="Calibri" w:eastAsia="Calibri" w:hAnsi="Calibri"/>
                <w:sz w:val="18"/>
                <w:szCs w:val="18"/>
                <w:color w:val="auto"/>
              </w:rPr>
              <w:t>Patrick H. Hawkins</w:t>
            </w:r>
          </w:p>
        </w:tc>
        <w:tc>
          <w:tcPr>
            <w:tcW w:w="2700" w:type="dxa"/>
            <w:vAlign w:val="bottom"/>
          </w:tcPr>
          <w:p>
            <w:pPr>
              <w:jc w:val="center"/>
              <w:spacing w:after="0"/>
              <w:rPr>
                <w:sz w:val="20"/>
                <w:szCs w:val="20"/>
                <w:color w:val="auto"/>
              </w:rPr>
            </w:pPr>
            <w:r>
              <w:rPr>
                <w:rFonts w:ascii="Calibri" w:cs="Calibri" w:eastAsia="Calibri" w:hAnsi="Calibri"/>
                <w:sz w:val="18"/>
                <w:szCs w:val="18"/>
                <w:color w:val="auto"/>
                <w:w w:val="97"/>
              </w:rPr>
              <w:t>14,151,991</w:t>
            </w:r>
          </w:p>
        </w:tc>
        <w:tc>
          <w:tcPr>
            <w:tcW w:w="14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Calibri" w:cs="Calibri" w:eastAsia="Calibri" w:hAnsi="Calibri"/>
                <w:sz w:val="18"/>
                <w:szCs w:val="18"/>
                <w:color w:val="auto"/>
                <w:w w:val="97"/>
              </w:rPr>
              <w:t>232,475</w:t>
            </w:r>
          </w:p>
        </w:tc>
        <w:tc>
          <w:tcPr>
            <w:tcW w:w="12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Calibri" w:cs="Calibri" w:eastAsia="Calibri" w:hAnsi="Calibri"/>
                <w:sz w:val="18"/>
                <w:szCs w:val="18"/>
                <w:color w:val="auto"/>
                <w:w w:val="97"/>
              </w:rPr>
              <w:t>—</w:t>
            </w:r>
          </w:p>
        </w:tc>
      </w:tr>
      <w:tr>
        <w:trPr>
          <w:trHeight w:val="229"/>
        </w:trPr>
        <w:tc>
          <w:tcPr>
            <w:tcW w:w="2820" w:type="dxa"/>
            <w:vAlign w:val="bottom"/>
            <w:gridSpan w:val="2"/>
          </w:tcPr>
          <w:p>
            <w:pPr>
              <w:ind w:left="20"/>
              <w:spacing w:after="0"/>
              <w:rPr>
                <w:sz w:val="20"/>
                <w:szCs w:val="20"/>
                <w:color w:val="auto"/>
              </w:rPr>
            </w:pPr>
            <w:r>
              <w:rPr>
                <w:rFonts w:ascii="Calibri" w:cs="Calibri" w:eastAsia="Calibri" w:hAnsi="Calibri"/>
                <w:sz w:val="18"/>
                <w:szCs w:val="18"/>
                <w:color w:val="auto"/>
              </w:rPr>
              <w:t>Yi "Faith" Tang</w:t>
            </w:r>
          </w:p>
        </w:tc>
        <w:tc>
          <w:tcPr>
            <w:tcW w:w="2700" w:type="dxa"/>
            <w:vAlign w:val="bottom"/>
          </w:tcPr>
          <w:p>
            <w:pPr>
              <w:jc w:val="center"/>
              <w:spacing w:after="0"/>
              <w:rPr>
                <w:sz w:val="20"/>
                <w:szCs w:val="20"/>
                <w:color w:val="auto"/>
              </w:rPr>
            </w:pPr>
            <w:r>
              <w:rPr>
                <w:rFonts w:ascii="Calibri" w:cs="Calibri" w:eastAsia="Calibri" w:hAnsi="Calibri"/>
                <w:sz w:val="18"/>
                <w:szCs w:val="18"/>
                <w:color w:val="auto"/>
                <w:w w:val="97"/>
              </w:rPr>
              <w:t>14,290,859</w:t>
            </w:r>
          </w:p>
        </w:tc>
        <w:tc>
          <w:tcPr>
            <w:tcW w:w="14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Calibri" w:cs="Calibri" w:eastAsia="Calibri" w:hAnsi="Calibri"/>
                <w:sz w:val="18"/>
                <w:szCs w:val="18"/>
                <w:color w:val="auto"/>
                <w:w w:val="95"/>
              </w:rPr>
              <w:t>93,607</w:t>
            </w:r>
          </w:p>
        </w:tc>
        <w:tc>
          <w:tcPr>
            <w:tcW w:w="12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Calibri" w:cs="Calibri" w:eastAsia="Calibri" w:hAnsi="Calibri"/>
                <w:sz w:val="18"/>
                <w:szCs w:val="18"/>
                <w:color w:val="auto"/>
                <w:w w:val="97"/>
              </w:rPr>
              <w:t>—</w:t>
            </w:r>
          </w:p>
        </w:tc>
      </w:tr>
      <w:tr>
        <w:trPr>
          <w:trHeight w:val="229"/>
        </w:trPr>
        <w:tc>
          <w:tcPr>
            <w:tcW w:w="2820" w:type="dxa"/>
            <w:vAlign w:val="bottom"/>
            <w:gridSpan w:val="2"/>
          </w:tcPr>
          <w:p>
            <w:pPr>
              <w:ind w:left="20"/>
              <w:spacing w:after="0"/>
              <w:rPr>
                <w:sz w:val="20"/>
                <w:szCs w:val="20"/>
                <w:color w:val="auto"/>
              </w:rPr>
            </w:pPr>
            <w:r>
              <w:rPr>
                <w:rFonts w:ascii="Calibri" w:cs="Calibri" w:eastAsia="Calibri" w:hAnsi="Calibri"/>
                <w:sz w:val="18"/>
                <w:szCs w:val="18"/>
                <w:color w:val="auto"/>
              </w:rPr>
              <w:t>Mary J. Schumacher</w:t>
            </w:r>
          </w:p>
        </w:tc>
        <w:tc>
          <w:tcPr>
            <w:tcW w:w="2700" w:type="dxa"/>
            <w:vAlign w:val="bottom"/>
          </w:tcPr>
          <w:p>
            <w:pPr>
              <w:jc w:val="center"/>
              <w:spacing w:after="0"/>
              <w:rPr>
                <w:sz w:val="20"/>
                <w:szCs w:val="20"/>
                <w:color w:val="auto"/>
              </w:rPr>
            </w:pPr>
            <w:r>
              <w:rPr>
                <w:rFonts w:ascii="Calibri" w:cs="Calibri" w:eastAsia="Calibri" w:hAnsi="Calibri"/>
                <w:sz w:val="18"/>
                <w:szCs w:val="18"/>
                <w:color w:val="auto"/>
                <w:w w:val="97"/>
              </w:rPr>
              <w:t>13,778,660</w:t>
            </w:r>
          </w:p>
        </w:tc>
        <w:tc>
          <w:tcPr>
            <w:tcW w:w="14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Calibri" w:cs="Calibri" w:eastAsia="Calibri" w:hAnsi="Calibri"/>
                <w:sz w:val="18"/>
                <w:szCs w:val="18"/>
                <w:color w:val="auto"/>
                <w:w w:val="97"/>
              </w:rPr>
              <w:t>605,806</w:t>
            </w:r>
          </w:p>
        </w:tc>
        <w:tc>
          <w:tcPr>
            <w:tcW w:w="12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Calibri" w:cs="Calibri" w:eastAsia="Calibri" w:hAnsi="Calibri"/>
                <w:sz w:val="18"/>
                <w:szCs w:val="18"/>
                <w:color w:val="auto"/>
                <w:w w:val="97"/>
              </w:rPr>
              <w:t>—</w:t>
            </w:r>
          </w:p>
        </w:tc>
      </w:tr>
      <w:tr>
        <w:trPr>
          <w:trHeight w:val="230"/>
        </w:trPr>
        <w:tc>
          <w:tcPr>
            <w:tcW w:w="2820" w:type="dxa"/>
            <w:vAlign w:val="bottom"/>
            <w:gridSpan w:val="2"/>
          </w:tcPr>
          <w:p>
            <w:pPr>
              <w:ind w:left="20"/>
              <w:spacing w:after="0"/>
              <w:rPr>
                <w:sz w:val="20"/>
                <w:szCs w:val="20"/>
                <w:color w:val="auto"/>
              </w:rPr>
            </w:pPr>
            <w:r>
              <w:rPr>
                <w:rFonts w:ascii="Calibri" w:cs="Calibri" w:eastAsia="Calibri" w:hAnsi="Calibri"/>
                <w:sz w:val="18"/>
                <w:szCs w:val="18"/>
                <w:color w:val="auto"/>
              </w:rPr>
              <w:t>Daniel J. Stauber</w:t>
            </w:r>
          </w:p>
        </w:tc>
        <w:tc>
          <w:tcPr>
            <w:tcW w:w="2700" w:type="dxa"/>
            <w:vAlign w:val="bottom"/>
          </w:tcPr>
          <w:p>
            <w:pPr>
              <w:jc w:val="center"/>
              <w:spacing w:after="0"/>
              <w:rPr>
                <w:sz w:val="20"/>
                <w:szCs w:val="20"/>
                <w:color w:val="auto"/>
              </w:rPr>
            </w:pPr>
            <w:r>
              <w:rPr>
                <w:rFonts w:ascii="Calibri" w:cs="Calibri" w:eastAsia="Calibri" w:hAnsi="Calibri"/>
                <w:sz w:val="18"/>
                <w:szCs w:val="18"/>
                <w:color w:val="auto"/>
                <w:w w:val="97"/>
              </w:rPr>
              <w:t>13,896,583</w:t>
            </w:r>
          </w:p>
        </w:tc>
        <w:tc>
          <w:tcPr>
            <w:tcW w:w="14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Calibri" w:cs="Calibri" w:eastAsia="Calibri" w:hAnsi="Calibri"/>
                <w:sz w:val="18"/>
                <w:szCs w:val="18"/>
                <w:color w:val="auto"/>
                <w:w w:val="97"/>
              </w:rPr>
              <w:t>487,883</w:t>
            </w:r>
          </w:p>
        </w:tc>
        <w:tc>
          <w:tcPr>
            <w:tcW w:w="12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Calibri" w:cs="Calibri" w:eastAsia="Calibri" w:hAnsi="Calibri"/>
                <w:sz w:val="18"/>
                <w:szCs w:val="18"/>
                <w:color w:val="auto"/>
                <w:w w:val="97"/>
              </w:rPr>
              <w:t>—</w:t>
            </w:r>
          </w:p>
        </w:tc>
      </w:tr>
      <w:tr>
        <w:trPr>
          <w:trHeight w:val="229"/>
        </w:trPr>
        <w:tc>
          <w:tcPr>
            <w:tcW w:w="2820" w:type="dxa"/>
            <w:vAlign w:val="bottom"/>
            <w:gridSpan w:val="2"/>
          </w:tcPr>
          <w:p>
            <w:pPr>
              <w:ind w:left="20"/>
              <w:spacing w:after="0"/>
              <w:rPr>
                <w:sz w:val="20"/>
                <w:szCs w:val="20"/>
                <w:color w:val="auto"/>
              </w:rPr>
            </w:pPr>
            <w:r>
              <w:rPr>
                <w:rFonts w:ascii="Calibri" w:cs="Calibri" w:eastAsia="Calibri" w:hAnsi="Calibri"/>
                <w:sz w:val="18"/>
                <w:szCs w:val="18"/>
                <w:color w:val="auto"/>
              </w:rPr>
              <w:t>James T. Thompson</w:t>
            </w:r>
          </w:p>
        </w:tc>
        <w:tc>
          <w:tcPr>
            <w:tcW w:w="2700" w:type="dxa"/>
            <w:vAlign w:val="bottom"/>
          </w:tcPr>
          <w:p>
            <w:pPr>
              <w:jc w:val="center"/>
              <w:spacing w:after="0"/>
              <w:rPr>
                <w:sz w:val="20"/>
                <w:szCs w:val="20"/>
                <w:color w:val="auto"/>
              </w:rPr>
            </w:pPr>
            <w:r>
              <w:rPr>
                <w:rFonts w:ascii="Calibri" w:cs="Calibri" w:eastAsia="Calibri" w:hAnsi="Calibri"/>
                <w:sz w:val="18"/>
                <w:szCs w:val="18"/>
                <w:color w:val="auto"/>
                <w:w w:val="97"/>
              </w:rPr>
              <w:t>13,795,125</w:t>
            </w:r>
          </w:p>
        </w:tc>
        <w:tc>
          <w:tcPr>
            <w:tcW w:w="14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Calibri" w:cs="Calibri" w:eastAsia="Calibri" w:hAnsi="Calibri"/>
                <w:sz w:val="18"/>
                <w:szCs w:val="18"/>
                <w:color w:val="auto"/>
                <w:w w:val="97"/>
              </w:rPr>
              <w:t>589,341</w:t>
            </w:r>
          </w:p>
        </w:tc>
        <w:tc>
          <w:tcPr>
            <w:tcW w:w="12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Calibri" w:cs="Calibri" w:eastAsia="Calibri" w:hAnsi="Calibri"/>
                <w:sz w:val="18"/>
                <w:szCs w:val="18"/>
                <w:color w:val="auto"/>
                <w:w w:val="97"/>
              </w:rPr>
              <w:t>—</w:t>
            </w:r>
          </w:p>
        </w:tc>
      </w:tr>
      <w:tr>
        <w:trPr>
          <w:trHeight w:val="230"/>
        </w:trPr>
        <w:tc>
          <w:tcPr>
            <w:tcW w:w="2820" w:type="dxa"/>
            <w:vAlign w:val="bottom"/>
            <w:gridSpan w:val="2"/>
          </w:tcPr>
          <w:p>
            <w:pPr>
              <w:ind w:left="20"/>
              <w:spacing w:after="0"/>
              <w:rPr>
                <w:sz w:val="20"/>
                <w:szCs w:val="20"/>
                <w:color w:val="auto"/>
              </w:rPr>
            </w:pPr>
            <w:r>
              <w:rPr>
                <w:rFonts w:ascii="Calibri" w:cs="Calibri" w:eastAsia="Calibri" w:hAnsi="Calibri"/>
                <w:sz w:val="18"/>
                <w:szCs w:val="18"/>
                <w:color w:val="auto"/>
              </w:rPr>
              <w:t>Jefrey L. Wright</w:t>
            </w:r>
          </w:p>
        </w:tc>
        <w:tc>
          <w:tcPr>
            <w:tcW w:w="2700" w:type="dxa"/>
            <w:vAlign w:val="bottom"/>
          </w:tcPr>
          <w:p>
            <w:pPr>
              <w:jc w:val="center"/>
              <w:spacing w:after="0"/>
              <w:rPr>
                <w:sz w:val="20"/>
                <w:szCs w:val="20"/>
                <w:color w:val="auto"/>
              </w:rPr>
            </w:pPr>
            <w:r>
              <w:rPr>
                <w:rFonts w:ascii="Calibri" w:cs="Calibri" w:eastAsia="Calibri" w:hAnsi="Calibri"/>
                <w:sz w:val="18"/>
                <w:szCs w:val="18"/>
                <w:color w:val="auto"/>
                <w:w w:val="97"/>
              </w:rPr>
              <w:t>12,992,097</w:t>
            </w:r>
          </w:p>
        </w:tc>
        <w:tc>
          <w:tcPr>
            <w:tcW w:w="14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Calibri" w:cs="Calibri" w:eastAsia="Calibri" w:hAnsi="Calibri"/>
                <w:sz w:val="18"/>
                <w:szCs w:val="18"/>
                <w:color w:val="auto"/>
                <w:w w:val="98"/>
              </w:rPr>
              <w:t>1,392,369</w:t>
            </w:r>
          </w:p>
        </w:tc>
        <w:tc>
          <w:tcPr>
            <w:tcW w:w="12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Calibri" w:cs="Calibri" w:eastAsia="Calibri" w:hAnsi="Calibri"/>
                <w:sz w:val="18"/>
                <w:szCs w:val="18"/>
                <w:color w:val="auto"/>
                <w:w w:val="97"/>
              </w:rPr>
              <w:t>—</w:t>
            </w:r>
          </w:p>
        </w:tc>
      </w:tr>
      <w:tr>
        <w:trPr>
          <w:trHeight w:val="229"/>
        </w:trPr>
        <w:tc>
          <w:tcPr>
            <w:tcW w:w="2820" w:type="dxa"/>
            <w:vAlign w:val="bottom"/>
            <w:gridSpan w:val="2"/>
          </w:tcPr>
          <w:p>
            <w:pPr>
              <w:ind w:left="20"/>
              <w:spacing w:after="0"/>
              <w:rPr>
                <w:sz w:val="20"/>
                <w:szCs w:val="20"/>
                <w:color w:val="auto"/>
              </w:rPr>
            </w:pPr>
            <w:r>
              <w:rPr>
                <w:rFonts w:ascii="Calibri" w:cs="Calibri" w:eastAsia="Calibri" w:hAnsi="Calibri"/>
                <w:sz w:val="18"/>
                <w:szCs w:val="18"/>
                <w:color w:val="auto"/>
              </w:rPr>
              <w:t>Jefrey E. Spethmann</w:t>
            </w:r>
          </w:p>
        </w:tc>
        <w:tc>
          <w:tcPr>
            <w:tcW w:w="2700" w:type="dxa"/>
            <w:vAlign w:val="bottom"/>
          </w:tcPr>
          <w:p>
            <w:pPr>
              <w:jc w:val="center"/>
              <w:spacing w:after="0"/>
              <w:rPr>
                <w:sz w:val="20"/>
                <w:szCs w:val="20"/>
                <w:color w:val="auto"/>
              </w:rPr>
            </w:pPr>
            <w:r>
              <w:rPr>
                <w:rFonts w:ascii="Calibri" w:cs="Calibri" w:eastAsia="Calibri" w:hAnsi="Calibri"/>
                <w:sz w:val="18"/>
                <w:szCs w:val="18"/>
                <w:color w:val="auto"/>
                <w:w w:val="97"/>
              </w:rPr>
              <w:t>14,226,389</w:t>
            </w:r>
          </w:p>
        </w:tc>
        <w:tc>
          <w:tcPr>
            <w:tcW w:w="14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Calibri" w:cs="Calibri" w:eastAsia="Calibri" w:hAnsi="Calibri"/>
                <w:sz w:val="18"/>
                <w:szCs w:val="18"/>
                <w:color w:val="auto"/>
                <w:w w:val="97"/>
              </w:rPr>
              <w:t>158,077</w:t>
            </w:r>
          </w:p>
        </w:tc>
        <w:tc>
          <w:tcPr>
            <w:tcW w:w="12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Calibri" w:cs="Calibri" w:eastAsia="Calibri" w:hAnsi="Calibri"/>
                <w:sz w:val="18"/>
                <w:szCs w:val="18"/>
                <w:color w:val="auto"/>
                <w:w w:val="97"/>
              </w:rPr>
              <w:t>—</w:t>
            </w: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Proposal Two – Advisory Vote to Approve Executve Compensaton</w:t>
      </w:r>
    </w:p>
    <w:p>
      <w:pPr>
        <w:spacing w:after="0" w:line="109" w:lineRule="exact"/>
        <w:rPr>
          <w:sz w:val="20"/>
          <w:szCs w:val="20"/>
          <w:color w:val="auto"/>
        </w:rPr>
      </w:pPr>
    </w:p>
    <w:p>
      <w:pPr>
        <w:ind w:right="120" w:firstLine="648"/>
        <w:spacing w:after="0" w:line="235" w:lineRule="auto"/>
        <w:rPr>
          <w:sz w:val="20"/>
          <w:szCs w:val="20"/>
          <w:color w:val="auto"/>
        </w:rPr>
      </w:pPr>
      <w:r>
        <w:rPr>
          <w:rFonts w:ascii="Calibri" w:cs="Calibri" w:eastAsia="Calibri" w:hAnsi="Calibri"/>
          <w:sz w:val="18"/>
          <w:szCs w:val="18"/>
          <w:color w:val="auto"/>
        </w:rPr>
        <w:t>Our shareholders approved, on an advisory basis, the compensaton of our executve ofcers as disclosed in the above-referenced proxy statement, based on the votes listed below:</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20" w:type="dxa"/>
            <w:vAlign w:val="bottom"/>
            <w:gridSpan w:val="2"/>
          </w:tcPr>
          <w:p>
            <w:pPr>
              <w:jc w:val="center"/>
              <w:ind w:right="100"/>
              <w:spacing w:after="0"/>
              <w:rPr>
                <w:sz w:val="20"/>
                <w:szCs w:val="20"/>
                <w:color w:val="auto"/>
              </w:rPr>
            </w:pPr>
            <w:r>
              <w:rPr>
                <w:rFonts w:ascii="Calibri" w:cs="Calibri" w:eastAsia="Calibri" w:hAnsi="Calibri"/>
                <w:sz w:val="18"/>
                <w:szCs w:val="18"/>
                <w:b w:val="1"/>
                <w:bCs w:val="1"/>
                <w:color w:val="auto"/>
                <w:w w:val="98"/>
              </w:rPr>
              <w:t>For</w:t>
            </w:r>
          </w:p>
        </w:tc>
        <w:tc>
          <w:tcPr>
            <w:tcW w:w="2840" w:type="dxa"/>
            <w:vAlign w:val="bottom"/>
            <w:gridSpan w:val="2"/>
          </w:tcPr>
          <w:p>
            <w:pPr>
              <w:ind w:left="1080"/>
              <w:spacing w:after="0"/>
              <w:rPr>
                <w:sz w:val="20"/>
                <w:szCs w:val="20"/>
                <w:color w:val="auto"/>
              </w:rPr>
            </w:pPr>
            <w:r>
              <w:rPr>
                <w:rFonts w:ascii="Calibri" w:cs="Calibri" w:eastAsia="Calibri" w:hAnsi="Calibri"/>
                <w:sz w:val="18"/>
                <w:szCs w:val="18"/>
                <w:b w:val="1"/>
                <w:bCs w:val="1"/>
                <w:color w:val="auto"/>
              </w:rPr>
              <w:t>Against</w:t>
            </w:r>
          </w:p>
        </w:tc>
        <w:tc>
          <w:tcPr>
            <w:tcW w:w="2860" w:type="dxa"/>
            <w:vAlign w:val="bottom"/>
            <w:gridSpan w:val="2"/>
          </w:tcPr>
          <w:p>
            <w:pPr>
              <w:jc w:val="center"/>
              <w:ind w:right="140"/>
              <w:spacing w:after="0"/>
              <w:rPr>
                <w:sz w:val="20"/>
                <w:szCs w:val="20"/>
                <w:color w:val="auto"/>
              </w:rPr>
            </w:pPr>
            <w:r>
              <w:rPr>
                <w:rFonts w:ascii="Calibri" w:cs="Calibri" w:eastAsia="Calibri" w:hAnsi="Calibri"/>
                <w:sz w:val="18"/>
                <w:szCs w:val="18"/>
                <w:b w:val="1"/>
                <w:bCs w:val="1"/>
                <w:color w:val="auto"/>
                <w:w w:val="98"/>
              </w:rPr>
              <w:t>Abstain</w:t>
            </w:r>
          </w:p>
        </w:tc>
        <w:tc>
          <w:tcPr>
            <w:tcW w:w="2720" w:type="dxa"/>
            <w:vAlign w:val="bottom"/>
            <w:gridSpan w:val="2"/>
          </w:tcPr>
          <w:p>
            <w:pPr>
              <w:jc w:val="center"/>
              <w:ind w:right="20"/>
              <w:spacing w:after="0"/>
              <w:rPr>
                <w:sz w:val="20"/>
                <w:szCs w:val="20"/>
                <w:color w:val="auto"/>
              </w:rPr>
            </w:pPr>
            <w:r>
              <w:rPr>
                <w:rFonts w:ascii="Calibri" w:cs="Calibri" w:eastAsia="Calibri" w:hAnsi="Calibri"/>
                <w:sz w:val="18"/>
                <w:szCs w:val="18"/>
                <w:b w:val="1"/>
                <w:bCs w:val="1"/>
                <w:color w:val="auto"/>
                <w:w w:val="96"/>
              </w:rPr>
              <w:t>Broker Non-Vote</w:t>
            </w:r>
          </w:p>
        </w:tc>
      </w:tr>
      <w:tr>
        <w:trPr>
          <w:trHeight w:val="23"/>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720" w:type="dxa"/>
            <w:vAlign w:val="bottom"/>
            <w:gridSpan w:val="2"/>
          </w:tcPr>
          <w:p>
            <w:pPr>
              <w:spacing w:after="0"/>
              <w:rPr>
                <w:sz w:val="2"/>
                <w:szCs w:val="2"/>
                <w:color w:val="auto"/>
              </w:rPr>
            </w:pPr>
          </w:p>
        </w:tc>
      </w:tr>
      <w:tr>
        <w:trPr>
          <w:trHeight w:val="208"/>
        </w:trPr>
        <w:tc>
          <w:tcPr>
            <w:tcW w:w="2700" w:type="dxa"/>
            <w:vAlign w:val="bottom"/>
            <w:tcBorders>
              <w:top w:val="single" w:sz="8" w:color="auto"/>
            </w:tcBorders>
          </w:tcPr>
          <w:p>
            <w:pPr>
              <w:jc w:val="right"/>
              <w:ind w:right="850"/>
              <w:spacing w:after="0" w:line="208" w:lineRule="exact"/>
              <w:rPr>
                <w:sz w:val="20"/>
                <w:szCs w:val="20"/>
                <w:color w:val="auto"/>
              </w:rPr>
            </w:pPr>
            <w:r>
              <w:rPr>
                <w:rFonts w:ascii="Calibri" w:cs="Calibri" w:eastAsia="Calibri" w:hAnsi="Calibri"/>
                <w:sz w:val="18"/>
                <w:szCs w:val="18"/>
                <w:color w:val="auto"/>
              </w:rPr>
              <w:t>13,832,549</w:t>
            </w:r>
          </w:p>
        </w:tc>
        <w:tc>
          <w:tcPr>
            <w:tcW w:w="120" w:type="dxa"/>
            <w:vAlign w:val="bottom"/>
          </w:tcPr>
          <w:p>
            <w:pPr>
              <w:spacing w:after="0"/>
              <w:rPr>
                <w:sz w:val="18"/>
                <w:szCs w:val="18"/>
                <w:color w:val="auto"/>
              </w:rPr>
            </w:pPr>
          </w:p>
        </w:tc>
        <w:tc>
          <w:tcPr>
            <w:tcW w:w="2700" w:type="dxa"/>
            <w:vAlign w:val="bottom"/>
            <w:tcBorders>
              <w:top w:val="single" w:sz="8" w:color="auto"/>
            </w:tcBorders>
          </w:tcPr>
          <w:p>
            <w:pPr>
              <w:ind w:left="1060"/>
              <w:spacing w:after="0" w:line="208" w:lineRule="exact"/>
              <w:rPr>
                <w:sz w:val="20"/>
                <w:szCs w:val="20"/>
                <w:color w:val="auto"/>
              </w:rPr>
            </w:pPr>
            <w:r>
              <w:rPr>
                <w:rFonts w:ascii="Calibri" w:cs="Calibri" w:eastAsia="Calibri" w:hAnsi="Calibri"/>
                <w:sz w:val="18"/>
                <w:szCs w:val="18"/>
                <w:color w:val="auto"/>
              </w:rPr>
              <w:t>468,673</w:t>
            </w:r>
          </w:p>
        </w:tc>
        <w:tc>
          <w:tcPr>
            <w:tcW w:w="140" w:type="dxa"/>
            <w:vAlign w:val="bottom"/>
          </w:tcPr>
          <w:p>
            <w:pPr>
              <w:spacing w:after="0"/>
              <w:rPr>
                <w:sz w:val="18"/>
                <w:szCs w:val="18"/>
                <w:color w:val="auto"/>
              </w:rPr>
            </w:pPr>
          </w:p>
        </w:tc>
        <w:tc>
          <w:tcPr>
            <w:tcW w:w="2720" w:type="dxa"/>
            <w:vAlign w:val="bottom"/>
            <w:tcBorders>
              <w:top w:val="single" w:sz="8" w:color="auto"/>
            </w:tcBorders>
          </w:tcPr>
          <w:p>
            <w:pPr>
              <w:jc w:val="right"/>
              <w:ind w:right="1030"/>
              <w:spacing w:after="0" w:line="208" w:lineRule="exact"/>
              <w:rPr>
                <w:sz w:val="20"/>
                <w:szCs w:val="20"/>
                <w:color w:val="auto"/>
              </w:rPr>
            </w:pPr>
            <w:r>
              <w:rPr>
                <w:rFonts w:ascii="Calibri" w:cs="Calibri" w:eastAsia="Calibri" w:hAnsi="Calibri"/>
                <w:sz w:val="18"/>
                <w:szCs w:val="18"/>
                <w:color w:val="auto"/>
              </w:rPr>
              <w:t>83,244</w:t>
            </w:r>
          </w:p>
        </w:tc>
        <w:tc>
          <w:tcPr>
            <w:tcW w:w="140" w:type="dxa"/>
            <w:vAlign w:val="bottom"/>
          </w:tcPr>
          <w:p>
            <w:pPr>
              <w:spacing w:after="0"/>
              <w:rPr>
                <w:sz w:val="18"/>
                <w:szCs w:val="18"/>
                <w:color w:val="auto"/>
              </w:rPr>
            </w:pPr>
          </w:p>
        </w:tc>
        <w:tc>
          <w:tcPr>
            <w:tcW w:w="2700" w:type="dxa"/>
            <w:vAlign w:val="bottom"/>
            <w:tcBorders>
              <w:top w:val="single" w:sz="8" w:color="auto"/>
            </w:tcBorders>
          </w:tcPr>
          <w:p>
            <w:pPr>
              <w:jc w:val="center"/>
              <w:spacing w:after="0" w:line="208" w:lineRule="exact"/>
              <w:rPr>
                <w:sz w:val="20"/>
                <w:szCs w:val="20"/>
                <w:color w:val="auto"/>
              </w:rPr>
            </w:pPr>
            <w:r>
              <w:rPr>
                <w:rFonts w:ascii="Calibri" w:cs="Calibri" w:eastAsia="Calibri" w:hAnsi="Calibri"/>
                <w:sz w:val="18"/>
                <w:szCs w:val="18"/>
                <w:color w:val="auto"/>
                <w:w w:val="97"/>
              </w:rPr>
              <w:t>—</w:t>
            </w:r>
          </w:p>
        </w:tc>
        <w:tc>
          <w:tcPr>
            <w:tcW w:w="20" w:type="dxa"/>
            <w:vAlign w:val="bottom"/>
          </w:tcPr>
          <w:p>
            <w:pPr>
              <w:spacing w:after="0"/>
              <w:rPr>
                <w:sz w:val="18"/>
                <w:szCs w:val="18"/>
                <w:color w:val="auto"/>
              </w:rPr>
            </w:pPr>
          </w:p>
        </w:tc>
      </w:tr>
      <w:tr>
        <w:trPr>
          <w:trHeight w:val="1223"/>
        </w:trPr>
        <w:tc>
          <w:tcPr>
            <w:tcW w:w="2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jc w:val="center"/>
        <w:ind w:right="-19"/>
        <w:spacing w:after="0"/>
        <w:rPr>
          <w:sz w:val="20"/>
          <w:szCs w:val="20"/>
          <w:color w:val="auto"/>
        </w:rPr>
      </w:pPr>
      <w:r>
        <w:rPr>
          <w:rFonts w:ascii="Calibri" w:cs="Calibri" w:eastAsia="Calibri" w:hAnsi="Calibri"/>
          <w:sz w:val="18"/>
          <w:szCs w:val="18"/>
          <w:b w:val="1"/>
          <w:bCs w:val="1"/>
          <w:color w:val="auto"/>
        </w:rPr>
        <w:t>SIGNATURES</w:t>
      </w:r>
    </w:p>
    <w:p>
      <w:pPr>
        <w:spacing w:after="0" w:line="163" w:lineRule="exact"/>
        <w:rPr>
          <w:sz w:val="20"/>
          <w:szCs w:val="20"/>
          <w:color w:val="auto"/>
        </w:rPr>
      </w:pPr>
    </w:p>
    <w:p>
      <w:pPr>
        <w:ind w:right="560" w:firstLine="445"/>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the Registrant has duly caused this report to be signed on its behalf by the undersigned hereunto duly authorized.</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3000" w:type="dxa"/>
            <w:vAlign w:val="bottom"/>
          </w:tcPr>
          <w:p>
            <w:pPr>
              <w:spacing w:after="0"/>
              <w:rPr>
                <w:sz w:val="19"/>
                <w:szCs w:val="19"/>
                <w:color w:val="auto"/>
              </w:rPr>
            </w:pPr>
          </w:p>
        </w:tc>
        <w:tc>
          <w:tcPr>
            <w:tcW w:w="3040" w:type="dxa"/>
            <w:vAlign w:val="bottom"/>
            <w:gridSpan w:val="2"/>
          </w:tcPr>
          <w:p>
            <w:pPr>
              <w:ind w:left="1500"/>
              <w:spacing w:after="0"/>
              <w:rPr>
                <w:sz w:val="20"/>
                <w:szCs w:val="20"/>
                <w:color w:val="auto"/>
              </w:rPr>
            </w:pPr>
            <w:r>
              <w:rPr>
                <w:rFonts w:ascii="Calibri" w:cs="Calibri" w:eastAsia="Calibri" w:hAnsi="Calibri"/>
                <w:sz w:val="18"/>
                <w:szCs w:val="18"/>
                <w:color w:val="auto"/>
              </w:rPr>
              <w:t>HAWKINS, INC.</w:t>
            </w:r>
          </w:p>
        </w:tc>
        <w:tc>
          <w:tcPr>
            <w:tcW w:w="5180" w:type="dxa"/>
            <w:vAlign w:val="bottom"/>
          </w:tcPr>
          <w:p>
            <w:pPr>
              <w:spacing w:after="0"/>
              <w:rPr>
                <w:sz w:val="19"/>
                <w:szCs w:val="19"/>
                <w:color w:val="auto"/>
              </w:rPr>
            </w:pPr>
          </w:p>
        </w:tc>
      </w:tr>
      <w:tr>
        <w:trPr>
          <w:trHeight w:val="283"/>
        </w:trPr>
        <w:tc>
          <w:tcPr>
            <w:tcW w:w="3000" w:type="dxa"/>
            <w:vAlign w:val="bottom"/>
          </w:tcPr>
          <w:p>
            <w:pPr>
              <w:spacing w:after="0"/>
              <w:rPr>
                <w:sz w:val="20"/>
                <w:szCs w:val="20"/>
                <w:color w:val="auto"/>
              </w:rPr>
            </w:pPr>
            <w:r>
              <w:rPr>
                <w:rFonts w:ascii="Calibri" w:cs="Calibri" w:eastAsia="Calibri" w:hAnsi="Calibri"/>
                <w:sz w:val="18"/>
                <w:szCs w:val="18"/>
                <w:color w:val="auto"/>
              </w:rPr>
              <w:t>Date: August 8, 2022</w:t>
            </w:r>
          </w:p>
        </w:tc>
        <w:tc>
          <w:tcPr>
            <w:tcW w:w="3040" w:type="dxa"/>
            <w:vAlign w:val="bottom"/>
            <w:gridSpan w:val="2"/>
          </w:tcPr>
          <w:p>
            <w:pPr>
              <w:ind w:left="1500"/>
              <w:spacing w:after="0"/>
              <w:rPr>
                <w:sz w:val="20"/>
                <w:szCs w:val="20"/>
                <w:color w:val="auto"/>
              </w:rPr>
            </w:pPr>
            <w:r>
              <w:rPr>
                <w:rFonts w:ascii="Calibri" w:cs="Calibri" w:eastAsia="Calibri" w:hAnsi="Calibri"/>
                <w:sz w:val="18"/>
                <w:szCs w:val="18"/>
                <w:color w:val="auto"/>
              </w:rPr>
              <w:t>By:</w:t>
            </w:r>
          </w:p>
        </w:tc>
        <w:tc>
          <w:tcPr>
            <w:tcW w:w="5180" w:type="dxa"/>
            <w:vAlign w:val="bottom"/>
          </w:tcPr>
          <w:p>
            <w:pPr>
              <w:jc w:val="center"/>
              <w:ind w:right="870"/>
              <w:spacing w:after="0"/>
              <w:rPr>
                <w:sz w:val="20"/>
                <w:szCs w:val="20"/>
                <w:color w:val="auto"/>
              </w:rPr>
            </w:pPr>
            <w:r>
              <w:rPr>
                <w:rFonts w:ascii="Calibri" w:cs="Calibri" w:eastAsia="Calibri" w:hAnsi="Calibri"/>
                <w:sz w:val="18"/>
                <w:szCs w:val="18"/>
                <w:color w:val="auto"/>
                <w:w w:val="96"/>
              </w:rPr>
              <w:t>/s/ Richard G. Erstad</w:t>
            </w:r>
          </w:p>
        </w:tc>
      </w:tr>
      <w:tr>
        <w:trPr>
          <w:trHeight w:val="23"/>
        </w:trPr>
        <w:tc>
          <w:tcPr>
            <w:tcW w:w="30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08"/>
        </w:trPr>
        <w:tc>
          <w:tcPr>
            <w:tcW w:w="30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180" w:type="dxa"/>
            <w:vAlign w:val="bottom"/>
          </w:tcPr>
          <w:p>
            <w:pPr>
              <w:jc w:val="center"/>
              <w:ind w:right="870"/>
              <w:spacing w:after="0" w:line="208" w:lineRule="exact"/>
              <w:rPr>
                <w:sz w:val="20"/>
                <w:szCs w:val="20"/>
                <w:color w:val="auto"/>
              </w:rPr>
            </w:pPr>
            <w:r>
              <w:rPr>
                <w:rFonts w:ascii="Calibri" w:cs="Calibri" w:eastAsia="Calibri" w:hAnsi="Calibri"/>
                <w:sz w:val="18"/>
                <w:szCs w:val="18"/>
                <w:color w:val="auto"/>
                <w:w w:val="97"/>
              </w:rPr>
              <w:t>Richard G. Erstad</w:t>
            </w:r>
          </w:p>
        </w:tc>
      </w:tr>
      <w:tr>
        <w:trPr>
          <w:trHeight w:val="221"/>
        </w:trPr>
        <w:tc>
          <w:tcPr>
            <w:tcW w:w="30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180" w:type="dxa"/>
            <w:vAlign w:val="bottom"/>
          </w:tcPr>
          <w:p>
            <w:pPr>
              <w:jc w:val="center"/>
              <w:ind w:right="870"/>
              <w:spacing w:after="0"/>
              <w:rPr>
                <w:sz w:val="20"/>
                <w:szCs w:val="20"/>
                <w:color w:val="auto"/>
              </w:rPr>
            </w:pPr>
            <w:r>
              <w:rPr>
                <w:rFonts w:ascii="Calibri" w:cs="Calibri" w:eastAsia="Calibri" w:hAnsi="Calibri"/>
                <w:sz w:val="18"/>
                <w:szCs w:val="18"/>
                <w:color w:val="auto"/>
                <w:w w:val="97"/>
              </w:rPr>
              <w:t>Vice President, General Counsel and Secretary</w:t>
            </w:r>
          </w:p>
        </w:tc>
      </w:tr>
    </w:tbl>
    <w:p>
      <w:pPr>
        <w:spacing w:after="0" w:line="1" w:lineRule="exact"/>
        <w:rPr>
          <w:sz w:val="20"/>
          <w:szCs w:val="20"/>
          <w:color w:val="auto"/>
        </w:rPr>
      </w:pPr>
    </w:p>
    <w:sectPr>
      <w:pgSz w:w="11900" w:h="16838" w:orient="portrait"/>
      <w:cols w:equalWidth="0" w:num="1">
        <w:col w:w="11240"/>
      </w:cols>
      <w:pgMar w:left="320" w:top="8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9" Type="http://schemas.openxmlformats.org/officeDocument/2006/relationships/hyperlink" Target="https://www.sec.gov/Archives/edgar/data/46250/000004625022000019/hawkins2022prox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2022-08-08T08:16:59Z</dcterms:created>
  <dcterms:modified xsi:type="dcterms:W3CDTF">2022-08-08T08:16:59Z</dcterms:modified>
</cp:coreProperties>
</file>