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10-Q/A</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3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 OF THE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July 3, 2011</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0-7647</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5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MINNESOTA</w:t>
            </w:r>
          </w:p>
        </w:tc>
        <w:tc>
          <w:tcPr>
            <w:tcW w:w="5760" w:type="dxa"/>
            <w:vAlign w:val="bottom"/>
            <w:tcBorders>
              <w:bottom w:val="single" w:sz="8" w:color="auto"/>
            </w:tcBorders>
          </w:tcPr>
          <w:p>
            <w:pPr>
              <w:jc w:val="right"/>
              <w:ind w:right="2232"/>
              <w:spacing w:after="0"/>
              <w:rPr>
                <w:sz w:val="20"/>
                <w:szCs w:val="20"/>
                <w:color w:val="auto"/>
              </w:rPr>
            </w:pPr>
            <w:r>
              <w:rPr>
                <w:rFonts w:ascii="Arial" w:cs="Arial" w:eastAsia="Arial" w:hAnsi="Arial"/>
                <w:sz w:val="18"/>
                <w:szCs w:val="18"/>
                <w:b w:val="1"/>
                <w:bCs w:val="1"/>
                <w:color w:val="auto"/>
              </w:rPr>
              <w:t>41-0771293</w:t>
            </w:r>
          </w:p>
        </w:tc>
      </w:tr>
      <w:tr>
        <w:trPr>
          <w:trHeight w:val="202"/>
        </w:trPr>
        <w:tc>
          <w:tcPr>
            <w:tcW w:w="5660" w:type="dxa"/>
            <w:vAlign w:val="bottom"/>
          </w:tcPr>
          <w:p>
            <w:pPr>
              <w:jc w:val="center"/>
              <w:spacing w:after="0" w:line="202" w:lineRule="exact"/>
              <w:rPr>
                <w:sz w:val="20"/>
                <w:szCs w:val="20"/>
                <w:color w:val="auto"/>
              </w:rPr>
            </w:pPr>
            <w:r>
              <w:rPr>
                <w:rFonts w:ascii="Arial" w:cs="Arial" w:eastAsia="Arial" w:hAnsi="Arial"/>
                <w:sz w:val="18"/>
                <w:szCs w:val="18"/>
                <w:color w:val="auto"/>
                <w:w w:val="90"/>
              </w:rPr>
              <w:t>(State or other jurisdiction of</w:t>
            </w:r>
          </w:p>
        </w:tc>
        <w:tc>
          <w:tcPr>
            <w:tcW w:w="5760" w:type="dxa"/>
            <w:vAlign w:val="bottom"/>
          </w:tcPr>
          <w:p>
            <w:pPr>
              <w:jc w:val="center"/>
              <w:ind w:left="212"/>
              <w:spacing w:after="0" w:line="202" w:lineRule="exact"/>
              <w:rPr>
                <w:sz w:val="20"/>
                <w:szCs w:val="20"/>
                <w:color w:val="auto"/>
              </w:rPr>
            </w:pPr>
            <w:r>
              <w:rPr>
                <w:rFonts w:ascii="Arial" w:cs="Arial" w:eastAsia="Arial" w:hAnsi="Arial"/>
                <w:sz w:val="18"/>
                <w:szCs w:val="18"/>
                <w:color w:val="auto"/>
                <w:w w:val="91"/>
              </w:rPr>
              <w:t>(I.R.S. Employer Identification No.)</w:t>
            </w:r>
          </w:p>
        </w:tc>
      </w:tr>
      <w:tr>
        <w:trPr>
          <w:trHeight w:val="222"/>
        </w:trPr>
        <w:tc>
          <w:tcPr>
            <w:tcW w:w="5660" w:type="dxa"/>
            <w:vAlign w:val="bottom"/>
          </w:tcPr>
          <w:p>
            <w:pPr>
              <w:jc w:val="center"/>
              <w:spacing w:after="0"/>
              <w:rPr>
                <w:sz w:val="20"/>
                <w:szCs w:val="20"/>
                <w:color w:val="auto"/>
              </w:rPr>
            </w:pPr>
            <w:r>
              <w:rPr>
                <w:rFonts w:ascii="Arial" w:cs="Arial" w:eastAsia="Arial" w:hAnsi="Arial"/>
                <w:sz w:val="18"/>
                <w:szCs w:val="18"/>
                <w:color w:val="auto"/>
                <w:w w:val="90"/>
              </w:rPr>
              <w:t>incorporation or organization)</w:t>
            </w:r>
          </w:p>
        </w:tc>
        <w:tc>
          <w:tcPr>
            <w:tcW w:w="5760" w:type="dxa"/>
            <w:vAlign w:val="bottom"/>
          </w:tcPr>
          <w:p>
            <w:pPr>
              <w:spacing w:after="0"/>
              <w:rPr>
                <w:sz w:val="19"/>
                <w:szCs w:val="19"/>
                <w:color w:val="auto"/>
              </w:rPr>
            </w:pPr>
          </w:p>
        </w:tc>
      </w:tr>
    </w:tbl>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3100 EAST HENNEPIN AVENUE, MINNEAPOLIS, MINNESOTA 55413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(612) 331-6910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71" w:lineRule="exact"/>
        <w:rPr>
          <w:sz w:val="24"/>
          <w:szCs w:val="24"/>
          <w:color w:val="auto"/>
        </w:rPr>
      </w:pPr>
    </w:p>
    <w:p>
      <w:pPr>
        <w:jc w:val="both"/>
        <w:ind w:right="24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8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(as defined in Rule 12b-2 of the Exchange Act).</w:t>
      </w:r>
    </w:p>
    <w:p>
      <w:pPr>
        <w:spacing w:after="0" w:line="99" w:lineRule="exact"/>
        <w:rPr>
          <w:sz w:val="24"/>
          <w:szCs w:val="24"/>
          <w:color w:val="auto"/>
        </w:rPr>
      </w:pPr>
    </w:p>
    <w:p>
      <w:pPr>
        <w:spacing w:after="0" w:line="207" w:lineRule="exact"/>
        <w:tabs>
          <w:tab w:leader="none" w:pos="2020" w:val="left"/>
          <w:tab w:leader="none" w:pos="3620" w:val="left"/>
          <w:tab w:leader="none" w:pos="558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71" w:lineRule="exact"/>
        <w:rPr>
          <w:sz w:val="24"/>
          <w:szCs w:val="24"/>
          <w:color w:val="auto"/>
        </w:rPr>
      </w:pPr>
    </w:p>
    <w:p>
      <w:pPr>
        <w:spacing w:after="0" w:line="207" w:lineRule="exact"/>
        <w:tabs>
          <w:tab w:leader="none" w:pos="8140" w:val="left"/>
          <w:tab w:leader="none" w:pos="884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584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91"/>
              </w:rPr>
              <w:t>CLASS</w:t>
            </w:r>
          </w:p>
        </w:tc>
        <w:tc>
          <w:tcPr>
            <w:tcW w:w="5580" w:type="dxa"/>
            <w:vAlign w:val="bottom"/>
            <w:tcBorders>
              <w:bottom w:val="single" w:sz="8" w:color="auto"/>
            </w:tcBorders>
          </w:tcPr>
          <w:p>
            <w:pPr>
              <w:jc w:val="center"/>
              <w:ind w:left="32"/>
              <w:spacing w:after="0"/>
              <w:rPr>
                <w:sz w:val="20"/>
                <w:szCs w:val="20"/>
                <w:color w:val="auto"/>
              </w:rPr>
            </w:pPr>
            <w:r>
              <w:rPr>
                <w:rFonts w:ascii="Arial" w:cs="Arial" w:eastAsia="Arial" w:hAnsi="Arial"/>
                <w:sz w:val="18"/>
                <w:szCs w:val="18"/>
                <w:color w:val="auto"/>
                <w:w w:val="92"/>
              </w:rPr>
              <w:t>OUTSTANDING AT JULY 29, 2011</w:t>
            </w:r>
          </w:p>
        </w:tc>
      </w:tr>
      <w:tr>
        <w:trPr>
          <w:trHeight w:val="217"/>
        </w:trPr>
        <w:tc>
          <w:tcPr>
            <w:tcW w:w="5840" w:type="dxa"/>
            <w:vAlign w:val="bottom"/>
          </w:tcPr>
          <w:p>
            <w:pPr>
              <w:jc w:val="center"/>
              <w:ind w:right="12"/>
              <w:spacing w:after="0"/>
              <w:rPr>
                <w:sz w:val="20"/>
                <w:szCs w:val="20"/>
                <w:color w:val="auto"/>
              </w:rPr>
            </w:pPr>
            <w:r>
              <w:rPr>
                <w:rFonts w:ascii="Arial" w:cs="Arial" w:eastAsia="Arial" w:hAnsi="Arial"/>
                <w:sz w:val="18"/>
                <w:szCs w:val="18"/>
                <w:color w:val="auto"/>
                <w:w w:val="87"/>
              </w:rPr>
              <w:t>Common Stock, par value $.05 per share</w:t>
            </w:r>
          </w:p>
        </w:tc>
        <w:tc>
          <w:tcPr>
            <w:tcW w:w="5580" w:type="dxa"/>
            <w:vAlign w:val="bottom"/>
          </w:tcPr>
          <w:p>
            <w:pPr>
              <w:jc w:val="right"/>
              <w:ind w:right="2252"/>
              <w:spacing w:after="0"/>
              <w:rPr>
                <w:sz w:val="20"/>
                <w:szCs w:val="20"/>
                <w:color w:val="auto"/>
              </w:rPr>
            </w:pPr>
            <w:r>
              <w:rPr>
                <w:rFonts w:ascii="Arial" w:cs="Arial" w:eastAsia="Arial" w:hAnsi="Arial"/>
                <w:sz w:val="18"/>
                <w:szCs w:val="18"/>
                <w:color w:val="auto"/>
              </w:rPr>
              <w:t>10,366,935</w:t>
            </w:r>
          </w:p>
        </w:tc>
      </w:tr>
      <w:tr>
        <w:trPr>
          <w:trHeight w:val="196"/>
        </w:trPr>
        <w:tc>
          <w:tcPr>
            <w:tcW w:w="5840" w:type="dxa"/>
            <w:vAlign w:val="bottom"/>
            <w:tcBorders>
              <w:bottom w:val="single" w:sz="8" w:color="auto"/>
            </w:tcBorders>
          </w:tcPr>
          <w:p>
            <w:pPr>
              <w:spacing w:after="0"/>
              <w:rPr>
                <w:sz w:val="17"/>
                <w:szCs w:val="17"/>
                <w:color w:val="auto"/>
              </w:rPr>
            </w:pPr>
          </w:p>
        </w:tc>
        <w:tc>
          <w:tcPr>
            <w:tcW w:w="5580" w:type="dxa"/>
            <w:vAlign w:val="bottom"/>
            <w:tcBorders>
              <w:bottom w:val="single" w:sz="8" w:color="auto"/>
            </w:tcBorders>
          </w:tcPr>
          <w:p>
            <w:pPr>
              <w:spacing w:after="0"/>
              <w:rPr>
                <w:sz w:val="17"/>
                <w:szCs w:val="17"/>
                <w:color w:val="auto"/>
              </w:rPr>
            </w:pPr>
          </w:p>
        </w:tc>
      </w:tr>
      <w:tr>
        <w:trPr>
          <w:trHeight w:val="34"/>
        </w:trPr>
        <w:tc>
          <w:tcPr>
            <w:tcW w:w="5840" w:type="dxa"/>
            <w:vAlign w:val="bottom"/>
            <w:tcBorders>
              <w:bottom w:val="single" w:sz="8" w:color="auto"/>
            </w:tcBorders>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bl>
    <w:p>
      <w:pPr>
        <w:sectPr>
          <w:pgSz w:w="11900" w:h="16838" w:orient="portrait"/>
          <w:cols w:equalWidth="0" w:num="1">
            <w:col w:w="11420"/>
          </w:cols>
          <w:pgMar w:left="240" w:top="314" w:right="2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15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are filing this Amendment No. 1 on Form 10-Q/A to correct an inadvertent error in the text of Part II, Item 5 of our Quarterly Report on Form 10-Q for the quarterly period ended July 3, 2011 (the “</w:t>
      </w:r>
      <w:r>
        <w:rPr>
          <w:rFonts w:ascii="Arial" w:cs="Arial" w:eastAsia="Arial" w:hAnsi="Arial"/>
          <w:sz w:val="16"/>
          <w:szCs w:val="16"/>
          <w:i w:val="1"/>
          <w:iCs w:val="1"/>
          <w:color w:val="auto"/>
        </w:rPr>
        <w:t>Original Report</w:t>
      </w:r>
      <w:r>
        <w:rPr>
          <w:rFonts w:ascii="Arial" w:cs="Arial" w:eastAsia="Arial" w:hAnsi="Arial"/>
          <w:sz w:val="16"/>
          <w:szCs w:val="16"/>
          <w:color w:val="auto"/>
        </w:rPr>
        <w:t>”), filed with the Securities and Exchange Commission (“</w:t>
      </w:r>
      <w:r>
        <w:rPr>
          <w:rFonts w:ascii="Arial" w:cs="Arial" w:eastAsia="Arial" w:hAnsi="Arial"/>
          <w:sz w:val="16"/>
          <w:szCs w:val="16"/>
          <w:i w:val="1"/>
          <w:iCs w:val="1"/>
          <w:color w:val="auto"/>
        </w:rPr>
        <w:t>SEC</w:t>
      </w:r>
      <w:r>
        <w:rPr>
          <w:rFonts w:ascii="Arial" w:cs="Arial" w:eastAsia="Arial" w:hAnsi="Arial"/>
          <w:sz w:val="16"/>
          <w:szCs w:val="16"/>
          <w:color w:val="auto"/>
        </w:rPr>
        <w:t>”) on July 27, 2011. This Amendment correctly reflects the original determination of our Board of Directors to include a non-binding advisory vote on executive compensation in the Company’s proxy materials every year until the next required advisory vote on the frequency of shareholder votes on executive compensation. Pursuant to Rule 12b-15 promulgated under the Securities Exchange Act of 1934, as amended, this amendment contains the complete text of Part II, Item 5, as amended.</w:t>
      </w:r>
    </w:p>
    <w:p>
      <w:pPr>
        <w:spacing w:after="0" w:line="89" w:lineRule="exact"/>
        <w:rPr>
          <w:sz w:val="20"/>
          <w:szCs w:val="20"/>
          <w:color w:val="auto"/>
        </w:rPr>
      </w:pPr>
    </w:p>
    <w:p>
      <w:pPr>
        <w:ind w:right="400"/>
        <w:spacing w:after="0" w:line="306" w:lineRule="auto"/>
        <w:rPr>
          <w:sz w:val="20"/>
          <w:szCs w:val="20"/>
          <w:color w:val="auto"/>
        </w:rPr>
      </w:pPr>
      <w:r>
        <w:rPr>
          <w:rFonts w:ascii="Arial" w:cs="Arial" w:eastAsia="Arial" w:hAnsi="Arial"/>
          <w:sz w:val="16"/>
          <w:szCs w:val="16"/>
          <w:color w:val="auto"/>
        </w:rPr>
        <w:t>Except as described above, we have not modified or updated other disclosures presented in the Original Report. This Amendment does not amend, update or change the financial statements or other disclosures in the Original Report and does not reflect events occurring after the filing of the Original Report. This Amendment should be read in conjunction with our other filings with the SEC subsequent to the filing of the Original Report.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6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OTHER INFORMATION</w:t>
      </w:r>
    </w:p>
    <w:p>
      <w:pPr>
        <w:spacing w:after="0" w:line="15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1.01.</w:t>
      </w:r>
      <w:r>
        <w:rPr>
          <w:sz w:val="20"/>
          <w:szCs w:val="20"/>
          <w:color w:val="auto"/>
        </w:rPr>
        <w:tab/>
      </w:r>
      <w:r>
        <w:rPr>
          <w:rFonts w:ascii="Arial" w:cs="Arial" w:eastAsia="Arial" w:hAnsi="Arial"/>
          <w:sz w:val="16"/>
          <w:szCs w:val="16"/>
          <w:color w:val="auto"/>
        </w:rPr>
        <w:t>Entry into a Material Definitive Agreement</w:t>
      </w:r>
    </w:p>
    <w:p>
      <w:pPr>
        <w:spacing w:after="0" w:line="14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On August 2, 2011, the Board of Directors of Hawkins, Inc. (the “Company”) and John S. McKeon, Chairman of the Board, agreed to amend the compensation arrangement relating to Mr. McKeon’s provision of consulting services to the Company by reducing his compensation from $6,250 per month to $5,000 per month. This arrangement is separate from the compensation paid to Mr. McKeon for his service as Chairman of the Board which was not revised at this time. Either the Company or Mr. McKeon can terminate this arrangement at any time.</w:t>
      </w:r>
    </w:p>
    <w:p>
      <w:pPr>
        <w:spacing w:after="0" w:line="130" w:lineRule="exact"/>
        <w:rPr>
          <w:sz w:val="20"/>
          <w:szCs w:val="20"/>
          <w:color w:val="auto"/>
        </w:rPr>
      </w:pPr>
    </w:p>
    <w:p>
      <w:pPr>
        <w:ind w:left="1140" w:right="520" w:hanging="1133"/>
        <w:spacing w:after="0" w:line="268" w:lineRule="auto"/>
        <w:tabs>
          <w:tab w:leader="none" w:pos="1120" w:val="left"/>
        </w:tabs>
        <w:rPr>
          <w:sz w:val="20"/>
          <w:szCs w:val="20"/>
          <w:color w:val="auto"/>
        </w:rPr>
      </w:pPr>
      <w:r>
        <w:rPr>
          <w:rFonts w:ascii="Arial" w:cs="Arial" w:eastAsia="Arial" w:hAnsi="Arial"/>
          <w:sz w:val="18"/>
          <w:szCs w:val="18"/>
          <w:color w:val="auto"/>
        </w:rPr>
        <w:t>Item 5.02.</w:t>
      </w:r>
      <w:r>
        <w:rPr>
          <w:sz w:val="20"/>
          <w:szCs w:val="20"/>
          <w:color w:val="auto"/>
        </w:rPr>
        <w:tab/>
      </w:r>
      <w:r>
        <w:rPr>
          <w:rFonts w:ascii="Arial" w:cs="Arial" w:eastAsia="Arial" w:hAnsi="Arial"/>
          <w:sz w:val="18"/>
          <w:szCs w:val="18"/>
          <w:color w:val="auto"/>
        </w:rPr>
        <w:t>Departure of Directors or Certain Officer; Election of Directors; Appointment of Certain Officers; Compensatory Arrangements of Certain Officers</w:t>
      </w:r>
    </w:p>
    <w:p>
      <w:pPr>
        <w:spacing w:after="0" w:line="10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 xml:space="preserve">On August 2, 2011, our Compensation Committee adopted an Executive Severance Plan (the </w:t>
      </w:r>
      <w:r>
        <w:rPr>
          <w:rFonts w:ascii="Arial" w:cs="Arial" w:eastAsia="Arial" w:hAnsi="Arial"/>
          <w:sz w:val="18"/>
          <w:szCs w:val="18"/>
          <w:i w:val="1"/>
          <w:iCs w:val="1"/>
          <w:color w:val="auto"/>
        </w:rPr>
        <w:t>“Severance Plan”)</w:t>
      </w:r>
      <w:r>
        <w:rPr>
          <w:rFonts w:ascii="Arial" w:cs="Arial" w:eastAsia="Arial" w:hAnsi="Arial"/>
          <w:sz w:val="18"/>
          <w:szCs w:val="18"/>
          <w:color w:val="auto"/>
        </w:rPr>
        <w:t xml:space="preserve"> to be entered into with our Chief Executive Officer and certain other key employees (collectively, </w:t>
      </w:r>
      <w:r>
        <w:rPr>
          <w:rFonts w:ascii="Arial" w:cs="Arial" w:eastAsia="Arial" w:hAnsi="Arial"/>
          <w:sz w:val="18"/>
          <w:szCs w:val="18"/>
          <w:i w:val="1"/>
          <w:iCs w:val="1"/>
          <w:color w:val="auto"/>
        </w:rPr>
        <w:t>“Covered Executives”).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Covered Executives will be eligible to receive specified payments and benefits if our Company terminates their employment (i) without “cause” at any time or</w:t>
      </w:r>
    </w:p>
    <w:p>
      <w:pPr>
        <w:spacing w:after="0" w:line="38" w:lineRule="exact"/>
        <w:rPr>
          <w:sz w:val="20"/>
          <w:szCs w:val="20"/>
          <w:color w:val="auto"/>
        </w:rPr>
      </w:pPr>
    </w:p>
    <w:p>
      <w:pPr>
        <w:ind w:right="100" w:firstLine="8"/>
        <w:spacing w:after="0" w:line="295" w:lineRule="auto"/>
        <w:tabs>
          <w:tab w:leader="none" w:pos="258" w:val="left"/>
        </w:tabs>
        <w:numPr>
          <w:ilvl w:val="0"/>
          <w:numId w:val="1"/>
        </w:numPr>
        <w:rPr>
          <w:rFonts w:ascii="Arial" w:cs="Arial" w:eastAsia="Arial" w:hAnsi="Arial"/>
          <w:sz w:val="16"/>
          <w:szCs w:val="16"/>
          <w:color w:val="auto"/>
        </w:rPr>
      </w:pPr>
      <w:r>
        <w:rPr>
          <w:rFonts w:ascii="Arial" w:cs="Arial" w:eastAsia="Arial" w:hAnsi="Arial"/>
          <w:sz w:val="16"/>
          <w:szCs w:val="16"/>
          <w:color w:val="auto"/>
        </w:rPr>
        <w:t>for “good reason” within two years after a “change in control.” The Compensation Committee is responsible for assigning each Covered Executive to one of four tiers, which determines the duration of salary continuation and amount of change in control payments for which a Covered Executive may be eligible. Initially, the Chief Executive Officer will be assigned to Tier 1 and the Chief Financial Officer, Vice President—Industrial and Vice President—Water Treatment Group will be assigned to Tier 3 and our General Counsel will be assigned to Tier 4.</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The payments and benefits that will be paid to Covered Executives under the Severance Plan as a result of a qualifying termination of employment include</w:t>
      </w:r>
    </w:p>
    <w:p>
      <w:pPr>
        <w:spacing w:after="0" w:line="38"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6"/>
          <w:szCs w:val="16"/>
          <w:color w:val="auto"/>
        </w:rPr>
      </w:pPr>
      <w:r>
        <w:rPr>
          <w:rFonts w:ascii="Arial" w:cs="Arial" w:eastAsia="Arial" w:hAnsi="Arial"/>
          <w:sz w:val="16"/>
          <w:szCs w:val="16"/>
          <w:color w:val="auto"/>
        </w:rPr>
        <w:t>base salary for the salary continuation period associated with their Tier, (ii) COBRA continuation coverage for medical and dental benefits for a maximum of</w:t>
      </w:r>
    </w:p>
    <w:p>
      <w:pPr>
        <w:spacing w:after="0" w:line="32" w:lineRule="exact"/>
        <w:rPr>
          <w:rFonts w:ascii="Arial" w:cs="Arial" w:eastAsia="Arial" w:hAnsi="Arial"/>
          <w:sz w:val="16"/>
          <w:szCs w:val="16"/>
          <w:color w:val="auto"/>
        </w:rPr>
      </w:pPr>
    </w:p>
    <w:p>
      <w:pPr>
        <w:ind w:right="80"/>
        <w:spacing w:after="0" w:line="261" w:lineRule="auto"/>
        <w:rPr>
          <w:rFonts w:ascii="Arial" w:cs="Arial" w:eastAsia="Arial" w:hAnsi="Arial"/>
          <w:sz w:val="16"/>
          <w:szCs w:val="16"/>
          <w:color w:val="auto"/>
        </w:rPr>
      </w:pPr>
      <w:r>
        <w:rPr>
          <w:rFonts w:ascii="Arial" w:cs="Arial" w:eastAsia="Arial" w:hAnsi="Arial"/>
          <w:sz w:val="18"/>
          <w:szCs w:val="18"/>
          <w:color w:val="auto"/>
        </w:rPr>
        <w:t>18 months (with Covered Executive to be charged the active employee rate for coverage) , and (iii) the reasonable costs of outplacement services for a maximum of 1 year.</w:t>
      </w:r>
    </w:p>
    <w:p>
      <w:pPr>
        <w:spacing w:after="0" w:line="11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additional payments and benefits that will be paid to Covered Executives under the Severance Plan as a result of a qualifying termination of employment in connection with a change in control include (i) six additional months of salary continuation, (ii) a benefit equal to the annual bonus the Covered Executive would have received (measured at target) if the Covered Executive had remained employed and eligible to receive such bonus for the entire salary continuation period, and (iii) a benefit equal to the additional benefit, if any, that would have been received under the Hawkins, Inc. Profit Sharing Plan if the Covered Executive had remained employed and eligible for the Profit Sharing Plan for the entire salary continuation period.</w:t>
      </w:r>
    </w:p>
    <w:p>
      <w:pPr>
        <w:spacing w:after="0" w:line="8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 Covered Executive must enter into an employment agreement with the Company that contains covenants against competition, disclosure and solicitation, and as a release of claims in order to qualify for payments and benefits under the Severance Plan.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2" w:name="page3"/>
    <w:bookmarkEnd w:id="2"/>
    <w:p>
      <w:pPr>
        <w:ind w:right="4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foregoing description of the Severance Plan does not purport to be complete and is qualified in its entirety by reference to the Severance Plan, which is attached as Exhibit 10.1 hereto and is incorporated into this Item 5.02 by reference.</w:t>
      </w:r>
    </w:p>
    <w:p>
      <w:pPr>
        <w:spacing w:after="0" w:line="11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5.07.</w:t>
      </w:r>
      <w:r>
        <w:rPr>
          <w:sz w:val="20"/>
          <w:szCs w:val="20"/>
          <w:color w:val="auto"/>
        </w:rPr>
        <w:tab/>
      </w:r>
      <w:r>
        <w:rPr>
          <w:rFonts w:ascii="Arial" w:cs="Arial" w:eastAsia="Arial" w:hAnsi="Arial"/>
          <w:sz w:val="16"/>
          <w:szCs w:val="16"/>
          <w:color w:val="auto"/>
        </w:rPr>
        <w:t>Submission of Matters to a Vote of Security Holders</w:t>
      </w:r>
    </w:p>
    <w:p>
      <w:pPr>
        <w:spacing w:after="0" w:line="14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August 2, 2011, the Company held its 2011 Annual Meeting of Shareholders. The proposals that were voted upon at the meeting and the number of votes cast as to each proposal are set forth below.</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One - Election of Directors</w:t>
      </w:r>
    </w:p>
    <w:p>
      <w:pPr>
        <w:spacing w:after="0" w:line="150"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color w:val="auto"/>
        </w:rPr>
        <w:t>The shareholders elected each of the seven nominees to serve as director for a term of one year, which term shall expire at the next annual meeting of shareholders, based on the votes listed below:</w:t>
      </w:r>
    </w:p>
    <w:p>
      <w:pPr>
        <w:spacing w:after="0" w:line="112"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3180" w:type="dxa"/>
            <w:vAlign w:val="bottom"/>
            <w:gridSpan w:val="3"/>
          </w:tcPr>
          <w:p>
            <w:pPr>
              <w:spacing w:after="0"/>
              <w:rPr>
                <w:sz w:val="20"/>
                <w:szCs w:val="20"/>
                <w:color w:val="auto"/>
              </w:rPr>
            </w:pPr>
            <w:r>
              <w:rPr>
                <w:rFonts w:ascii="Arial" w:cs="Arial" w:eastAsia="Arial" w:hAnsi="Arial"/>
                <w:sz w:val="18"/>
                <w:szCs w:val="18"/>
                <w:b w:val="1"/>
                <w:bCs w:val="1"/>
                <w:color w:val="auto"/>
              </w:rPr>
              <w:t>Director Nominee</w:t>
            </w:r>
          </w:p>
        </w:tc>
        <w:tc>
          <w:tcPr>
            <w:tcW w:w="21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For</w:t>
            </w:r>
          </w:p>
        </w:tc>
        <w:tc>
          <w:tcPr>
            <w:tcW w:w="2180" w:type="dxa"/>
            <w:vAlign w:val="bottom"/>
            <w:gridSpan w:val="2"/>
          </w:tcPr>
          <w:p>
            <w:pPr>
              <w:ind w:left="560"/>
              <w:spacing w:after="0"/>
              <w:rPr>
                <w:sz w:val="20"/>
                <w:szCs w:val="20"/>
                <w:color w:val="auto"/>
              </w:rPr>
            </w:pPr>
            <w:r>
              <w:rPr>
                <w:rFonts w:ascii="Arial" w:cs="Arial" w:eastAsia="Arial" w:hAnsi="Arial"/>
                <w:sz w:val="18"/>
                <w:szCs w:val="18"/>
                <w:b w:val="1"/>
                <w:bCs w:val="1"/>
                <w:color w:val="auto"/>
              </w:rPr>
              <w:t>Against</w:t>
            </w:r>
          </w:p>
        </w:tc>
        <w:tc>
          <w:tcPr>
            <w:tcW w:w="1620" w:type="dxa"/>
            <w:vAlign w:val="bottom"/>
          </w:tcPr>
          <w:p>
            <w:pPr>
              <w:ind w:left="500"/>
              <w:spacing w:after="0"/>
              <w:rPr>
                <w:sz w:val="20"/>
                <w:szCs w:val="20"/>
                <w:color w:val="auto"/>
              </w:rPr>
            </w:pPr>
            <w:r>
              <w:rPr>
                <w:rFonts w:ascii="Arial" w:cs="Arial" w:eastAsia="Arial" w:hAnsi="Arial"/>
                <w:sz w:val="18"/>
                <w:szCs w:val="18"/>
                <w:b w:val="1"/>
                <w:bCs w:val="1"/>
                <w:color w:val="auto"/>
              </w:rPr>
              <w:t>Abstain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John S. McKeon</w:t>
            </w:r>
          </w:p>
        </w:tc>
        <w:tc>
          <w:tcPr>
            <w:tcW w:w="400" w:type="dxa"/>
            <w:vAlign w:val="bottom"/>
          </w:tcPr>
          <w:p>
            <w:pPr>
              <w:spacing w:after="0"/>
              <w:rPr>
                <w:sz w:val="18"/>
                <w:szCs w:val="18"/>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5,904,798</w:t>
            </w:r>
          </w:p>
        </w:tc>
        <w:tc>
          <w:tcPr>
            <w:tcW w:w="460" w:type="dxa"/>
            <w:vAlign w:val="bottom"/>
          </w:tcPr>
          <w:p>
            <w:pPr>
              <w:spacing w:after="0"/>
              <w:rPr>
                <w:sz w:val="18"/>
                <w:szCs w:val="18"/>
                <w:color w:val="auto"/>
              </w:rPr>
            </w:pPr>
          </w:p>
        </w:tc>
        <w:tc>
          <w:tcPr>
            <w:tcW w:w="1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1,804,159</w:t>
            </w:r>
          </w:p>
        </w:tc>
        <w:tc>
          <w:tcPr>
            <w:tcW w:w="460" w:type="dxa"/>
            <w:vAlign w:val="bottom"/>
          </w:tcPr>
          <w:p>
            <w:pPr>
              <w:spacing w:after="0"/>
              <w:rPr>
                <w:sz w:val="18"/>
                <w:szCs w:val="18"/>
                <w:color w:val="auto"/>
              </w:rPr>
            </w:pP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7,029</w:t>
            </w:r>
          </w:p>
        </w:tc>
        <w:tc>
          <w:tcPr>
            <w:tcW w:w="0" w:type="dxa"/>
            <w:vAlign w:val="bottom"/>
          </w:tcPr>
          <w:p>
            <w:pPr>
              <w:spacing w:after="0"/>
              <w:rPr>
                <w:sz w:val="1"/>
                <w:szCs w:val="1"/>
                <w:color w:val="auto"/>
              </w:rPr>
            </w:pPr>
          </w:p>
        </w:tc>
      </w:tr>
      <w:tr>
        <w:trPr>
          <w:trHeight w:val="216"/>
        </w:trPr>
        <w:tc>
          <w:tcPr>
            <w:tcW w:w="3180" w:type="dxa"/>
            <w:vAlign w:val="bottom"/>
            <w:gridSpan w:val="3"/>
          </w:tcPr>
          <w:p>
            <w:pPr>
              <w:spacing w:after="0"/>
              <w:rPr>
                <w:sz w:val="20"/>
                <w:szCs w:val="20"/>
                <w:color w:val="auto"/>
              </w:rPr>
            </w:pPr>
            <w:r>
              <w:rPr>
                <w:rFonts w:ascii="Arial" w:cs="Arial" w:eastAsia="Arial" w:hAnsi="Arial"/>
                <w:sz w:val="18"/>
                <w:szCs w:val="18"/>
                <w:color w:val="auto"/>
              </w:rPr>
              <w:t>Patrick H. Hawkins</w:t>
            </w: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7,683,670</w:t>
            </w:r>
          </w:p>
        </w:tc>
        <w:tc>
          <w:tcPr>
            <w:tcW w:w="46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7"/>
              </w:rPr>
              <w:t>26,068</w:t>
            </w:r>
          </w:p>
        </w:tc>
        <w:tc>
          <w:tcPr>
            <w:tcW w:w="4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8"/>
              </w:rPr>
              <w:t>6,248</w:t>
            </w:r>
          </w:p>
        </w:tc>
        <w:tc>
          <w:tcPr>
            <w:tcW w:w="0" w:type="dxa"/>
            <w:vAlign w:val="bottom"/>
          </w:tcPr>
          <w:p>
            <w:pPr>
              <w:spacing w:after="0"/>
              <w:rPr>
                <w:sz w:val="1"/>
                <w:szCs w:val="1"/>
                <w:color w:val="auto"/>
              </w:rPr>
            </w:pPr>
          </w:p>
        </w:tc>
      </w:tr>
      <w:tr>
        <w:trPr>
          <w:trHeight w:val="222"/>
        </w:trPr>
        <w:tc>
          <w:tcPr>
            <w:tcW w:w="3180" w:type="dxa"/>
            <w:vAlign w:val="bottom"/>
            <w:gridSpan w:val="3"/>
          </w:tcPr>
          <w:p>
            <w:pPr>
              <w:spacing w:after="0"/>
              <w:rPr>
                <w:sz w:val="20"/>
                <w:szCs w:val="20"/>
                <w:color w:val="auto"/>
              </w:rPr>
            </w:pPr>
            <w:r>
              <w:rPr>
                <w:rFonts w:ascii="Arial" w:cs="Arial" w:eastAsia="Arial" w:hAnsi="Arial"/>
                <w:sz w:val="18"/>
                <w:szCs w:val="18"/>
                <w:color w:val="auto"/>
              </w:rPr>
              <w:t>James A. Faulconbridge</w:t>
            </w:r>
          </w:p>
        </w:tc>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87"/>
              </w:rPr>
              <w:t>6,543,933</w:t>
            </w:r>
          </w:p>
        </w:tc>
        <w:tc>
          <w:tcPr>
            <w:tcW w:w="460" w:type="dxa"/>
            <w:vAlign w:val="bottom"/>
          </w:tcPr>
          <w:p>
            <w:pPr>
              <w:spacing w:after="0"/>
              <w:rPr>
                <w:sz w:val="19"/>
                <w:szCs w:val="19"/>
                <w:color w:val="auto"/>
              </w:rPr>
            </w:pPr>
          </w:p>
        </w:tc>
        <w:tc>
          <w:tcPr>
            <w:tcW w:w="1720" w:type="dxa"/>
            <w:vAlign w:val="bottom"/>
            <w:vMerge w:val="restart"/>
          </w:tcPr>
          <w:p>
            <w:pPr>
              <w:jc w:val="center"/>
              <w:spacing w:after="0"/>
              <w:rPr>
                <w:sz w:val="20"/>
                <w:szCs w:val="20"/>
                <w:color w:val="auto"/>
              </w:rPr>
            </w:pPr>
            <w:r>
              <w:rPr>
                <w:rFonts w:ascii="Arial" w:cs="Arial" w:eastAsia="Arial" w:hAnsi="Arial"/>
                <w:sz w:val="18"/>
                <w:szCs w:val="18"/>
                <w:color w:val="auto"/>
                <w:w w:val="87"/>
              </w:rPr>
              <w:t>1,146,513</w:t>
            </w:r>
          </w:p>
        </w:tc>
        <w:tc>
          <w:tcPr>
            <w:tcW w:w="460" w:type="dxa"/>
            <w:vAlign w:val="bottom"/>
          </w:tcPr>
          <w:p>
            <w:pPr>
              <w:spacing w:after="0"/>
              <w:rPr>
                <w:sz w:val="19"/>
                <w:szCs w:val="19"/>
                <w:color w:val="auto"/>
              </w:rPr>
            </w:pPr>
          </w:p>
        </w:tc>
        <w:tc>
          <w:tcPr>
            <w:tcW w:w="1620" w:type="dxa"/>
            <w:vAlign w:val="bottom"/>
            <w:vMerge w:val="restart"/>
          </w:tcPr>
          <w:p>
            <w:pPr>
              <w:jc w:val="center"/>
              <w:spacing w:after="0"/>
              <w:rPr>
                <w:sz w:val="20"/>
                <w:szCs w:val="20"/>
                <w:color w:val="auto"/>
              </w:rPr>
            </w:pPr>
            <w:r>
              <w:rPr>
                <w:rFonts w:ascii="Arial" w:cs="Arial" w:eastAsia="Arial" w:hAnsi="Arial"/>
                <w:sz w:val="18"/>
                <w:szCs w:val="18"/>
                <w:color w:val="auto"/>
                <w:w w:val="87"/>
              </w:rPr>
              <w:t>25,540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0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3"/>
          </w:tcPr>
          <w:p>
            <w:pPr>
              <w:spacing w:after="0"/>
              <w:rPr>
                <w:sz w:val="20"/>
                <w:szCs w:val="20"/>
                <w:color w:val="auto"/>
              </w:rPr>
            </w:pPr>
            <w:r>
              <w:rPr>
                <w:rFonts w:ascii="Arial" w:cs="Arial" w:eastAsia="Arial" w:hAnsi="Arial"/>
                <w:sz w:val="18"/>
                <w:szCs w:val="18"/>
                <w:color w:val="auto"/>
              </w:rPr>
              <w:t>Duane M. Jergenson</w:t>
            </w: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7,530,062</w:t>
            </w:r>
          </w:p>
        </w:tc>
        <w:tc>
          <w:tcPr>
            <w:tcW w:w="46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160,350</w:t>
            </w:r>
          </w:p>
        </w:tc>
        <w:tc>
          <w:tcPr>
            <w:tcW w:w="4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7"/>
              </w:rPr>
              <w:t>25,574</w:t>
            </w:r>
          </w:p>
        </w:tc>
        <w:tc>
          <w:tcPr>
            <w:tcW w:w="0" w:type="dxa"/>
            <w:vAlign w:val="bottom"/>
          </w:tcPr>
          <w:p>
            <w:pPr>
              <w:spacing w:after="0"/>
              <w:rPr>
                <w:sz w:val="1"/>
                <w:szCs w:val="1"/>
                <w:color w:val="auto"/>
              </w:rPr>
            </w:pPr>
          </w:p>
        </w:tc>
      </w:tr>
      <w:tr>
        <w:trPr>
          <w:trHeight w:val="216"/>
        </w:trPr>
        <w:tc>
          <w:tcPr>
            <w:tcW w:w="3180" w:type="dxa"/>
            <w:vAlign w:val="bottom"/>
            <w:gridSpan w:val="3"/>
          </w:tcPr>
          <w:p>
            <w:pPr>
              <w:spacing w:after="0"/>
              <w:rPr>
                <w:sz w:val="20"/>
                <w:szCs w:val="20"/>
                <w:color w:val="auto"/>
              </w:rPr>
            </w:pPr>
            <w:r>
              <w:rPr>
                <w:rFonts w:ascii="Arial" w:cs="Arial" w:eastAsia="Arial" w:hAnsi="Arial"/>
                <w:sz w:val="18"/>
                <w:szCs w:val="18"/>
                <w:color w:val="auto"/>
              </w:rPr>
              <w:t>Daryl I. Skaar</w:t>
            </w: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7,507,085</w:t>
            </w:r>
          </w:p>
        </w:tc>
        <w:tc>
          <w:tcPr>
            <w:tcW w:w="46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183,989</w:t>
            </w:r>
          </w:p>
        </w:tc>
        <w:tc>
          <w:tcPr>
            <w:tcW w:w="4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7"/>
              </w:rPr>
              <w:t>24,912</w:t>
            </w:r>
          </w:p>
        </w:tc>
        <w:tc>
          <w:tcPr>
            <w:tcW w:w="0" w:type="dxa"/>
            <w:vAlign w:val="bottom"/>
          </w:tcPr>
          <w:p>
            <w:pPr>
              <w:spacing w:after="0"/>
              <w:rPr>
                <w:sz w:val="1"/>
                <w:szCs w:val="1"/>
                <w:color w:val="auto"/>
              </w:rPr>
            </w:pPr>
          </w:p>
        </w:tc>
      </w:tr>
      <w:tr>
        <w:trPr>
          <w:trHeight w:val="216"/>
        </w:trPr>
        <w:tc>
          <w:tcPr>
            <w:tcW w:w="3180" w:type="dxa"/>
            <w:vAlign w:val="bottom"/>
            <w:gridSpan w:val="3"/>
          </w:tcPr>
          <w:p>
            <w:pPr>
              <w:spacing w:after="0"/>
              <w:rPr>
                <w:sz w:val="20"/>
                <w:szCs w:val="20"/>
                <w:color w:val="auto"/>
              </w:rPr>
            </w:pPr>
            <w:r>
              <w:rPr>
                <w:rFonts w:ascii="Arial" w:cs="Arial" w:eastAsia="Arial" w:hAnsi="Arial"/>
                <w:sz w:val="18"/>
                <w:szCs w:val="18"/>
                <w:color w:val="auto"/>
              </w:rPr>
              <w:t>James T. Thompson</w:t>
            </w: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7,531,638</w:t>
            </w:r>
          </w:p>
        </w:tc>
        <w:tc>
          <w:tcPr>
            <w:tcW w:w="46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158,038</w:t>
            </w:r>
          </w:p>
        </w:tc>
        <w:tc>
          <w:tcPr>
            <w:tcW w:w="4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7"/>
              </w:rPr>
              <w:t>26,310</w:t>
            </w:r>
          </w:p>
        </w:tc>
        <w:tc>
          <w:tcPr>
            <w:tcW w:w="0" w:type="dxa"/>
            <w:vAlign w:val="bottom"/>
          </w:tcPr>
          <w:p>
            <w:pPr>
              <w:spacing w:after="0"/>
              <w:rPr>
                <w:sz w:val="1"/>
                <w:szCs w:val="1"/>
                <w:color w:val="auto"/>
              </w:rPr>
            </w:pPr>
          </w:p>
        </w:tc>
      </w:tr>
      <w:tr>
        <w:trPr>
          <w:trHeight w:val="222"/>
        </w:trPr>
        <w:tc>
          <w:tcPr>
            <w:tcW w:w="3180" w:type="dxa"/>
            <w:vAlign w:val="bottom"/>
            <w:gridSpan w:val="3"/>
          </w:tcPr>
          <w:p>
            <w:pPr>
              <w:spacing w:after="0"/>
              <w:rPr>
                <w:sz w:val="20"/>
                <w:szCs w:val="20"/>
                <w:color w:val="auto"/>
              </w:rPr>
            </w:pPr>
            <w:r>
              <w:rPr>
                <w:rFonts w:ascii="Arial" w:cs="Arial" w:eastAsia="Arial" w:hAnsi="Arial"/>
                <w:sz w:val="18"/>
                <w:szCs w:val="18"/>
                <w:color w:val="auto"/>
              </w:rPr>
              <w:t>Jeffrey L. Wright</w:t>
            </w: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6,706,117</w:t>
            </w:r>
          </w:p>
        </w:tc>
        <w:tc>
          <w:tcPr>
            <w:tcW w:w="46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984,051</w:t>
            </w:r>
          </w:p>
        </w:tc>
        <w:tc>
          <w:tcPr>
            <w:tcW w:w="46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7"/>
              </w:rPr>
              <w:t>25,818</w:t>
            </w:r>
          </w:p>
        </w:tc>
        <w:tc>
          <w:tcPr>
            <w:tcW w:w="0" w:type="dxa"/>
            <w:vAlign w:val="bottom"/>
          </w:tcPr>
          <w:p>
            <w:pPr>
              <w:spacing w:after="0"/>
              <w:rPr>
                <w:sz w:val="1"/>
                <w:szCs w:val="1"/>
                <w:color w:val="auto"/>
              </w:rPr>
            </w:pPr>
          </w:p>
        </w:tc>
      </w:tr>
    </w:tbl>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Two - Approval of the Hawkins, Inc. Employee Stock Purchase Plan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shareholders approved the Employee Stock Purchase Plan, based on the votes listed below:</w:t>
      </w:r>
    </w:p>
    <w:p>
      <w:pPr>
        <w:spacing w:after="0" w:line="152" w:lineRule="exact"/>
        <w:rPr>
          <w:sz w:val="20"/>
          <w:szCs w:val="20"/>
          <w:color w:val="auto"/>
        </w:rPr>
      </w:pPr>
    </w:p>
    <w:tbl>
      <w:tblPr>
        <w:tblLayout w:type="fixed"/>
        <w:tblInd w:w="1160" w:type="dxa"/>
        <w:tblCellMar>
          <w:top w:w="0" w:type="dxa"/>
          <w:left w:w="0" w:type="dxa"/>
          <w:bottom w:w="0" w:type="dxa"/>
          <w:right w:w="0" w:type="dxa"/>
        </w:tblCellMar>
      </w:tblPr>
      <w:tr>
        <w:trPr>
          <w:trHeight w:val="237"/>
        </w:trPr>
        <w:tc>
          <w:tcPr>
            <w:tcW w:w="2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For</w:t>
            </w:r>
          </w:p>
        </w:tc>
        <w:tc>
          <w:tcPr>
            <w:tcW w:w="2380" w:type="dxa"/>
            <w:vAlign w:val="bottom"/>
            <w:gridSpan w:val="2"/>
          </w:tcPr>
          <w:p>
            <w:pPr>
              <w:ind w:left="760"/>
              <w:spacing w:after="0"/>
              <w:rPr>
                <w:sz w:val="20"/>
                <w:szCs w:val="20"/>
                <w:color w:val="auto"/>
              </w:rPr>
            </w:pPr>
            <w:r>
              <w:rPr>
                <w:rFonts w:ascii="Arial" w:cs="Arial" w:eastAsia="Arial" w:hAnsi="Arial"/>
                <w:sz w:val="18"/>
                <w:szCs w:val="18"/>
                <w:b w:val="1"/>
                <w:bCs w:val="1"/>
                <w:color w:val="auto"/>
              </w:rPr>
              <w:t>Against</w:t>
            </w:r>
          </w:p>
        </w:tc>
        <w:tc>
          <w:tcPr>
            <w:tcW w:w="2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Abstain</w:t>
            </w:r>
          </w:p>
        </w:tc>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87"/>
              </w:rPr>
              <w:t>Broker Non-Votes</w:t>
            </w:r>
          </w:p>
        </w:tc>
      </w:tr>
      <w:tr>
        <w:trPr>
          <w:trHeight w:val="222"/>
        </w:trPr>
        <w:tc>
          <w:tcPr>
            <w:tcW w:w="2000" w:type="dxa"/>
            <w:vAlign w:val="bottom"/>
            <w:tcBorders>
              <w:top w:val="single" w:sz="8" w:color="auto"/>
            </w:tcBorders>
          </w:tcPr>
          <w:p>
            <w:pPr>
              <w:jc w:val="right"/>
              <w:ind w:right="572"/>
              <w:spacing w:after="0"/>
              <w:rPr>
                <w:sz w:val="20"/>
                <w:szCs w:val="20"/>
                <w:color w:val="auto"/>
              </w:rPr>
            </w:pPr>
            <w:r>
              <w:rPr>
                <w:rFonts w:ascii="Arial" w:cs="Arial" w:eastAsia="Arial" w:hAnsi="Arial"/>
                <w:sz w:val="18"/>
                <w:szCs w:val="18"/>
                <w:color w:val="auto"/>
              </w:rPr>
              <w:t>7,549,941</w:t>
            </w:r>
          </w:p>
        </w:tc>
        <w:tc>
          <w:tcPr>
            <w:tcW w:w="300" w:type="dxa"/>
            <w:vAlign w:val="bottom"/>
          </w:tcPr>
          <w:p>
            <w:pPr>
              <w:spacing w:after="0"/>
              <w:rPr>
                <w:sz w:val="19"/>
                <w:szCs w:val="19"/>
                <w:color w:val="auto"/>
              </w:rPr>
            </w:pPr>
          </w:p>
        </w:tc>
        <w:tc>
          <w:tcPr>
            <w:tcW w:w="210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135,843</w:t>
            </w:r>
          </w:p>
        </w:tc>
        <w:tc>
          <w:tcPr>
            <w:tcW w:w="280" w:type="dxa"/>
            <w:vAlign w:val="bottom"/>
          </w:tcPr>
          <w:p>
            <w:pPr>
              <w:spacing w:after="0"/>
              <w:rPr>
                <w:sz w:val="19"/>
                <w:szCs w:val="19"/>
                <w:color w:val="auto"/>
              </w:rPr>
            </w:pPr>
          </w:p>
        </w:tc>
        <w:tc>
          <w:tcPr>
            <w:tcW w:w="2100" w:type="dxa"/>
            <w:vAlign w:val="bottom"/>
            <w:tcBorders>
              <w:top w:val="single" w:sz="8" w:color="auto"/>
            </w:tcBorders>
          </w:tcPr>
          <w:p>
            <w:pPr>
              <w:jc w:val="right"/>
              <w:ind w:right="712"/>
              <w:spacing w:after="0"/>
              <w:rPr>
                <w:sz w:val="20"/>
                <w:szCs w:val="20"/>
                <w:color w:val="auto"/>
              </w:rPr>
            </w:pPr>
            <w:r>
              <w:rPr>
                <w:rFonts w:ascii="Arial" w:cs="Arial" w:eastAsia="Arial" w:hAnsi="Arial"/>
                <w:sz w:val="18"/>
                <w:szCs w:val="18"/>
                <w:color w:val="auto"/>
              </w:rPr>
              <w:t>30,202</w:t>
            </w:r>
          </w:p>
        </w:tc>
        <w:tc>
          <w:tcPr>
            <w:tcW w:w="260" w:type="dxa"/>
            <w:vAlign w:val="bottom"/>
          </w:tcPr>
          <w:p>
            <w:pPr>
              <w:spacing w:after="0"/>
              <w:rPr>
                <w:sz w:val="19"/>
                <w:szCs w:val="19"/>
                <w:color w:val="auto"/>
              </w:rPr>
            </w:pPr>
          </w:p>
        </w:tc>
        <w:tc>
          <w:tcPr>
            <w:tcW w:w="2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bl>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Three - Non-Binding Advisory Vote on Executive Compensation</w:t>
      </w:r>
    </w:p>
    <w:p>
      <w:pPr>
        <w:spacing w:after="0" w:line="150"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The shareholders approved, on an advisory basis, the compensation of the Company’s executive officers as disclosed in the proxy statement distributed in connection with the Annual Meeting, based on the votes listed below:</w:t>
      </w:r>
    </w:p>
    <w:p>
      <w:pPr>
        <w:spacing w:after="0" w:line="112" w:lineRule="exact"/>
        <w:rPr>
          <w:sz w:val="20"/>
          <w:szCs w:val="20"/>
          <w:color w:val="auto"/>
        </w:rPr>
      </w:pPr>
    </w:p>
    <w:tbl>
      <w:tblPr>
        <w:tblLayout w:type="fixed"/>
        <w:tblInd w:w="1160" w:type="dxa"/>
        <w:tblCellMar>
          <w:top w:w="0" w:type="dxa"/>
          <w:left w:w="0" w:type="dxa"/>
          <w:bottom w:w="0" w:type="dxa"/>
          <w:right w:w="0" w:type="dxa"/>
        </w:tblCellMar>
      </w:tblPr>
      <w:tr>
        <w:trPr>
          <w:trHeight w:val="237"/>
        </w:trPr>
        <w:tc>
          <w:tcPr>
            <w:tcW w:w="2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For</w:t>
            </w:r>
          </w:p>
        </w:tc>
        <w:tc>
          <w:tcPr>
            <w:tcW w:w="2380" w:type="dxa"/>
            <w:vAlign w:val="bottom"/>
            <w:gridSpan w:val="2"/>
          </w:tcPr>
          <w:p>
            <w:pPr>
              <w:ind w:left="760"/>
              <w:spacing w:after="0"/>
              <w:rPr>
                <w:sz w:val="20"/>
                <w:szCs w:val="20"/>
                <w:color w:val="auto"/>
              </w:rPr>
            </w:pPr>
            <w:r>
              <w:rPr>
                <w:rFonts w:ascii="Arial" w:cs="Arial" w:eastAsia="Arial" w:hAnsi="Arial"/>
                <w:sz w:val="18"/>
                <w:szCs w:val="18"/>
                <w:b w:val="1"/>
                <w:bCs w:val="1"/>
                <w:color w:val="auto"/>
              </w:rPr>
              <w:t>Against</w:t>
            </w:r>
          </w:p>
        </w:tc>
        <w:tc>
          <w:tcPr>
            <w:tcW w:w="2360" w:type="dxa"/>
            <w:vAlign w:val="bottom"/>
            <w:gridSpan w:val="2"/>
          </w:tcPr>
          <w:p>
            <w:pPr>
              <w:ind w:left="760"/>
              <w:spacing w:after="0"/>
              <w:rPr>
                <w:sz w:val="20"/>
                <w:szCs w:val="20"/>
                <w:color w:val="auto"/>
              </w:rPr>
            </w:pPr>
            <w:r>
              <w:rPr>
                <w:rFonts w:ascii="Arial" w:cs="Arial" w:eastAsia="Arial" w:hAnsi="Arial"/>
                <w:sz w:val="18"/>
                <w:szCs w:val="18"/>
                <w:b w:val="1"/>
                <w:bCs w:val="1"/>
                <w:color w:val="auto"/>
              </w:rPr>
              <w:t>Abstain</w:t>
            </w:r>
          </w:p>
        </w:tc>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87"/>
              </w:rPr>
              <w:t>Broker Non-Votes</w:t>
            </w:r>
          </w:p>
        </w:tc>
      </w:tr>
      <w:tr>
        <w:trPr>
          <w:trHeight w:val="222"/>
        </w:trPr>
        <w:tc>
          <w:tcPr>
            <w:tcW w:w="2000" w:type="dxa"/>
            <w:vAlign w:val="bottom"/>
            <w:tcBorders>
              <w:top w:val="single" w:sz="8" w:color="auto"/>
            </w:tcBorders>
          </w:tcPr>
          <w:p>
            <w:pPr>
              <w:jc w:val="right"/>
              <w:ind w:right="572"/>
              <w:spacing w:after="0"/>
              <w:rPr>
                <w:sz w:val="20"/>
                <w:szCs w:val="20"/>
                <w:color w:val="auto"/>
              </w:rPr>
            </w:pPr>
            <w:r>
              <w:rPr>
                <w:rFonts w:ascii="Arial" w:cs="Arial" w:eastAsia="Arial" w:hAnsi="Arial"/>
                <w:sz w:val="18"/>
                <w:szCs w:val="18"/>
                <w:color w:val="auto"/>
              </w:rPr>
              <w:t>7,272,896</w:t>
            </w:r>
          </w:p>
        </w:tc>
        <w:tc>
          <w:tcPr>
            <w:tcW w:w="300" w:type="dxa"/>
            <w:vAlign w:val="bottom"/>
          </w:tcPr>
          <w:p>
            <w:pPr>
              <w:spacing w:after="0"/>
              <w:rPr>
                <w:sz w:val="19"/>
                <w:szCs w:val="19"/>
                <w:color w:val="auto"/>
              </w:rPr>
            </w:pPr>
          </w:p>
        </w:tc>
        <w:tc>
          <w:tcPr>
            <w:tcW w:w="210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172,310</w:t>
            </w:r>
          </w:p>
        </w:tc>
        <w:tc>
          <w:tcPr>
            <w:tcW w:w="280" w:type="dxa"/>
            <w:vAlign w:val="bottom"/>
          </w:tcPr>
          <w:p>
            <w:pPr>
              <w:spacing w:after="0"/>
              <w:rPr>
                <w:sz w:val="19"/>
                <w:szCs w:val="19"/>
                <w:color w:val="auto"/>
              </w:rPr>
            </w:pPr>
          </w:p>
        </w:tc>
        <w:tc>
          <w:tcPr>
            <w:tcW w:w="210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270,780</w:t>
            </w:r>
          </w:p>
        </w:tc>
        <w:tc>
          <w:tcPr>
            <w:tcW w:w="260" w:type="dxa"/>
            <w:vAlign w:val="bottom"/>
          </w:tcPr>
          <w:p>
            <w:pPr>
              <w:spacing w:after="0"/>
              <w:rPr>
                <w:sz w:val="19"/>
                <w:szCs w:val="19"/>
                <w:color w:val="auto"/>
              </w:rPr>
            </w:pPr>
          </w:p>
        </w:tc>
        <w:tc>
          <w:tcPr>
            <w:tcW w:w="2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bl>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Four - Non-Binding Advisory Vote on the Frequency of the Vote on Executive Compensation</w:t>
      </w:r>
    </w:p>
    <w:p>
      <w:pPr>
        <w:spacing w:after="0" w:line="15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shareholders expressed a preference for an annual non-binding advisory vote on the compensation of the company’s executive officers, based on the votes listed below</w:t>
      </w:r>
    </w:p>
    <w:p>
      <w:pPr>
        <w:spacing w:after="0" w:line="112" w:lineRule="exact"/>
        <w:rPr>
          <w:sz w:val="20"/>
          <w:szCs w:val="20"/>
          <w:color w:val="auto"/>
        </w:rPr>
      </w:pPr>
    </w:p>
    <w:tbl>
      <w:tblPr>
        <w:tblLayout w:type="fixed"/>
        <w:tblInd w:w="1160" w:type="dxa"/>
        <w:tblCellMar>
          <w:top w:w="0" w:type="dxa"/>
          <w:left w:w="0" w:type="dxa"/>
          <w:bottom w:w="0" w:type="dxa"/>
          <w:right w:w="0" w:type="dxa"/>
        </w:tblCellMar>
      </w:tblPr>
      <w:tr>
        <w:trPr>
          <w:trHeight w:val="237"/>
        </w:trPr>
        <w:tc>
          <w:tcPr>
            <w:tcW w:w="2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1 Year</w:t>
            </w:r>
          </w:p>
        </w:tc>
        <w:tc>
          <w:tcPr>
            <w:tcW w:w="2380" w:type="dxa"/>
            <w:vAlign w:val="bottom"/>
            <w:gridSpan w:val="2"/>
          </w:tcPr>
          <w:p>
            <w:pPr>
              <w:ind w:left="800"/>
              <w:spacing w:after="0"/>
              <w:rPr>
                <w:sz w:val="20"/>
                <w:szCs w:val="20"/>
                <w:color w:val="auto"/>
              </w:rPr>
            </w:pPr>
            <w:r>
              <w:rPr>
                <w:rFonts w:ascii="Arial" w:cs="Arial" w:eastAsia="Arial" w:hAnsi="Arial"/>
                <w:sz w:val="18"/>
                <w:szCs w:val="18"/>
                <w:b w:val="1"/>
                <w:bCs w:val="1"/>
                <w:color w:val="auto"/>
              </w:rPr>
              <w:t>2 Year</w:t>
            </w:r>
          </w:p>
        </w:tc>
        <w:tc>
          <w:tcPr>
            <w:tcW w:w="2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3 Year</w:t>
            </w:r>
          </w:p>
        </w:tc>
        <w:tc>
          <w:tcPr>
            <w:tcW w:w="2080" w:type="dxa"/>
            <w:vAlign w:val="bottom"/>
          </w:tcPr>
          <w:p>
            <w:pPr>
              <w:ind w:left="740"/>
              <w:spacing w:after="0"/>
              <w:rPr>
                <w:sz w:val="20"/>
                <w:szCs w:val="20"/>
                <w:color w:val="auto"/>
              </w:rPr>
            </w:pPr>
            <w:r>
              <w:rPr>
                <w:rFonts w:ascii="Arial" w:cs="Arial" w:eastAsia="Arial" w:hAnsi="Arial"/>
                <w:sz w:val="18"/>
                <w:szCs w:val="18"/>
                <w:b w:val="1"/>
                <w:bCs w:val="1"/>
                <w:color w:val="auto"/>
              </w:rPr>
              <w:t>Abstain</w:t>
            </w:r>
          </w:p>
        </w:tc>
      </w:tr>
      <w:tr>
        <w:trPr>
          <w:trHeight w:val="222"/>
        </w:trPr>
        <w:tc>
          <w:tcPr>
            <w:tcW w:w="2000" w:type="dxa"/>
            <w:vAlign w:val="bottom"/>
            <w:tcBorders>
              <w:top w:val="single" w:sz="8" w:color="auto"/>
            </w:tcBorders>
          </w:tcPr>
          <w:p>
            <w:pPr>
              <w:jc w:val="right"/>
              <w:ind w:right="572"/>
              <w:spacing w:after="0"/>
              <w:rPr>
                <w:sz w:val="20"/>
                <w:szCs w:val="20"/>
                <w:color w:val="auto"/>
              </w:rPr>
            </w:pPr>
            <w:r>
              <w:rPr>
                <w:rFonts w:ascii="Arial" w:cs="Arial" w:eastAsia="Arial" w:hAnsi="Arial"/>
                <w:sz w:val="18"/>
                <w:szCs w:val="18"/>
                <w:color w:val="auto"/>
              </w:rPr>
              <w:t>3,915,417</w:t>
            </w:r>
          </w:p>
        </w:tc>
        <w:tc>
          <w:tcPr>
            <w:tcW w:w="300" w:type="dxa"/>
            <w:vAlign w:val="bottom"/>
          </w:tcPr>
          <w:p>
            <w:pPr>
              <w:spacing w:after="0"/>
              <w:rPr>
                <w:sz w:val="19"/>
                <w:szCs w:val="19"/>
                <w:color w:val="auto"/>
              </w:rPr>
            </w:pPr>
          </w:p>
        </w:tc>
        <w:tc>
          <w:tcPr>
            <w:tcW w:w="2100" w:type="dxa"/>
            <w:vAlign w:val="bottom"/>
            <w:tcBorders>
              <w:top w:val="single" w:sz="8" w:color="auto"/>
            </w:tcBorders>
          </w:tcPr>
          <w:p>
            <w:pPr>
              <w:ind w:left="800"/>
              <w:spacing w:after="0"/>
              <w:rPr>
                <w:sz w:val="20"/>
                <w:szCs w:val="20"/>
                <w:color w:val="auto"/>
              </w:rPr>
            </w:pPr>
            <w:r>
              <w:rPr>
                <w:rFonts w:ascii="Arial" w:cs="Arial" w:eastAsia="Arial" w:hAnsi="Arial"/>
                <w:sz w:val="18"/>
                <w:szCs w:val="18"/>
                <w:color w:val="auto"/>
              </w:rPr>
              <w:t>99,874</w:t>
            </w:r>
          </w:p>
        </w:tc>
        <w:tc>
          <w:tcPr>
            <w:tcW w:w="280" w:type="dxa"/>
            <w:vAlign w:val="bottom"/>
          </w:tcPr>
          <w:p>
            <w:pPr>
              <w:spacing w:after="0"/>
              <w:rPr>
                <w:sz w:val="19"/>
                <w:szCs w:val="19"/>
                <w:color w:val="auto"/>
              </w:rPr>
            </w:pPr>
          </w:p>
        </w:tc>
        <w:tc>
          <w:tcPr>
            <w:tcW w:w="2100" w:type="dxa"/>
            <w:vAlign w:val="bottom"/>
            <w:tcBorders>
              <w:top w:val="single" w:sz="8" w:color="auto"/>
            </w:tcBorders>
          </w:tcPr>
          <w:p>
            <w:pPr>
              <w:jc w:val="right"/>
              <w:ind w:right="612"/>
              <w:spacing w:after="0"/>
              <w:rPr>
                <w:sz w:val="20"/>
                <w:szCs w:val="20"/>
                <w:color w:val="auto"/>
              </w:rPr>
            </w:pPr>
            <w:r>
              <w:rPr>
                <w:rFonts w:ascii="Arial" w:cs="Arial" w:eastAsia="Arial" w:hAnsi="Arial"/>
                <w:sz w:val="18"/>
                <w:szCs w:val="18"/>
                <w:color w:val="auto"/>
              </w:rPr>
              <w:t>3,298,009</w:t>
            </w:r>
          </w:p>
        </w:tc>
        <w:tc>
          <w:tcPr>
            <w:tcW w:w="260" w:type="dxa"/>
            <w:vAlign w:val="bottom"/>
          </w:tcPr>
          <w:p>
            <w:pPr>
              <w:spacing w:after="0"/>
              <w:rPr>
                <w:sz w:val="19"/>
                <w:szCs w:val="19"/>
                <w:color w:val="auto"/>
              </w:rPr>
            </w:pPr>
          </w:p>
        </w:tc>
        <w:tc>
          <w:tcPr>
            <w:tcW w:w="208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402,686</w:t>
            </w:r>
          </w:p>
        </w:tc>
      </w:tr>
    </w:tbl>
    <w:p>
      <w:pPr>
        <w:spacing w:after="0" w:line="120" w:lineRule="exact"/>
        <w:rPr>
          <w:sz w:val="20"/>
          <w:szCs w:val="20"/>
          <w:color w:val="auto"/>
        </w:rPr>
      </w:pPr>
    </w:p>
    <w:p>
      <w:pPr>
        <w:ind w:right="740"/>
        <w:spacing w:after="0" w:line="259" w:lineRule="auto"/>
        <w:rPr>
          <w:sz w:val="20"/>
          <w:szCs w:val="20"/>
          <w:color w:val="auto"/>
        </w:rPr>
      </w:pPr>
      <w:r>
        <w:rPr>
          <w:rFonts w:ascii="Arial" w:cs="Arial" w:eastAsia="Arial" w:hAnsi="Arial"/>
          <w:sz w:val="18"/>
          <w:szCs w:val="18"/>
          <w:color w:val="auto"/>
        </w:rPr>
        <w:t>In light of the voting results for this Proposal Four, the Board of Directors has determined that it will include a non-binding advisory vote on executive compensation in the Company’s proxy materials every year until the next required advisory vote on the frequency of shareholder votes on executive compensation.</w:t>
      </w:r>
    </w:p>
    <w:p>
      <w:pPr>
        <w:spacing w:after="0" w:line="11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above proposals are described in further detail in the Company’s definitive proxy statement filed with the Securities and Exchange Commission on June 22, 2011.</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280"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84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8420" w:type="dxa"/>
            <w:vAlign w:val="bottom"/>
            <w:gridSpan w:val="3"/>
          </w:tcPr>
          <w:p>
            <w:pPr>
              <w:ind w:left="300"/>
              <w:spacing w:after="0"/>
              <w:rPr>
                <w:sz w:val="20"/>
                <w:szCs w:val="20"/>
                <w:color w:val="auto"/>
              </w:rPr>
            </w:pPr>
            <w:r>
              <w:rPr>
                <w:rFonts w:ascii="Arial" w:cs="Arial" w:eastAsia="Arial" w:hAnsi="Arial"/>
                <w:sz w:val="18"/>
                <w:szCs w:val="18"/>
                <w:b w:val="1"/>
                <w:bCs w:val="1"/>
                <w:color w:val="auto"/>
              </w:rPr>
              <w:t>EXHIBITS</w:t>
            </w:r>
          </w:p>
        </w:tc>
        <w:tc>
          <w:tcPr>
            <w:tcW w:w="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99"/>
        </w:trPr>
        <w:tc>
          <w:tcPr>
            <w:tcW w:w="40" w:type="dxa"/>
            <w:vAlign w:val="bottom"/>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3880" w:type="dxa"/>
            <w:vAlign w:val="bottom"/>
          </w:tcPr>
          <w:p>
            <w:pPr>
              <w:spacing w:after="0"/>
              <w:rPr>
                <w:sz w:val="24"/>
                <w:szCs w:val="24"/>
                <w:color w:val="auto"/>
              </w:rPr>
            </w:pPr>
          </w:p>
        </w:tc>
        <w:tc>
          <w:tcPr>
            <w:tcW w:w="454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w:t>
            </w:r>
          </w:p>
        </w:tc>
        <w:tc>
          <w:tcPr>
            <w:tcW w:w="660" w:type="dxa"/>
            <w:vAlign w:val="bottom"/>
          </w:tcPr>
          <w:p>
            <w:pPr>
              <w:spacing w:after="0"/>
              <w:rPr>
                <w:sz w:val="24"/>
                <w:szCs w:val="24"/>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Method of Filing</w:t>
            </w:r>
          </w:p>
        </w:tc>
      </w:tr>
      <w:tr>
        <w:trPr>
          <w:trHeight w:val="20"/>
        </w:trPr>
        <w:tc>
          <w:tcPr>
            <w:tcW w:w="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9"/>
        </w:trPr>
        <w:tc>
          <w:tcPr>
            <w:tcW w:w="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24"/>
                <w:szCs w:val="24"/>
                <w:color w:val="auto"/>
              </w:rPr>
            </w:pPr>
          </w:p>
        </w:tc>
        <w:tc>
          <w:tcPr>
            <w:tcW w:w="8420" w:type="dxa"/>
            <w:vAlign w:val="bottom"/>
            <w:gridSpan w:val="3"/>
          </w:tcPr>
          <w:p>
            <w:pPr>
              <w:ind w:left="180"/>
              <w:spacing w:after="0"/>
              <w:rPr>
                <w:sz w:val="20"/>
                <w:szCs w:val="20"/>
                <w:color w:val="auto"/>
              </w:rPr>
            </w:pPr>
            <w:r>
              <w:rPr>
                <w:rFonts w:ascii="Arial" w:cs="Arial" w:eastAsia="Arial" w:hAnsi="Arial"/>
                <w:sz w:val="18"/>
                <w:szCs w:val="18"/>
                <w:color w:val="auto"/>
              </w:rPr>
              <w:t>Amended and Restated Articles of Incorporation. (1)</w:t>
            </w:r>
          </w:p>
        </w:tc>
        <w:tc>
          <w:tcPr>
            <w:tcW w:w="2120" w:type="dxa"/>
            <w:vAlign w:val="bottom"/>
            <w:gridSpan w:val="3"/>
          </w:tcPr>
          <w:p>
            <w:pPr>
              <w:jc w:val="center"/>
              <w:ind w:left="152"/>
              <w:spacing w:after="0"/>
              <w:rPr>
                <w:sz w:val="20"/>
                <w:szCs w:val="20"/>
                <w:color w:val="auto"/>
              </w:rPr>
            </w:pPr>
            <w:r>
              <w:rPr>
                <w:rFonts w:ascii="Arial" w:cs="Arial" w:eastAsia="Arial" w:hAnsi="Arial"/>
                <w:sz w:val="18"/>
                <w:szCs w:val="18"/>
                <w:color w:val="auto"/>
                <w:w w:val="88"/>
              </w:rPr>
              <w:t>Incorporated by Reference</w:t>
            </w:r>
          </w:p>
        </w:tc>
      </w:tr>
      <w:tr>
        <w:trPr>
          <w:trHeight w:val="216"/>
        </w:trPr>
        <w:tc>
          <w:tcPr>
            <w:tcW w:w="48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18"/>
                <w:szCs w:val="18"/>
                <w:color w:val="auto"/>
              </w:rPr>
            </w:pPr>
          </w:p>
        </w:tc>
        <w:tc>
          <w:tcPr>
            <w:tcW w:w="8420" w:type="dxa"/>
            <w:vAlign w:val="bottom"/>
            <w:gridSpan w:val="3"/>
          </w:tcPr>
          <w:p>
            <w:pPr>
              <w:ind w:left="180"/>
              <w:spacing w:after="0"/>
              <w:rPr>
                <w:sz w:val="20"/>
                <w:szCs w:val="20"/>
                <w:color w:val="auto"/>
              </w:rPr>
            </w:pPr>
            <w:r>
              <w:rPr>
                <w:rFonts w:ascii="Arial" w:cs="Arial" w:eastAsia="Arial" w:hAnsi="Arial"/>
                <w:sz w:val="18"/>
                <w:szCs w:val="18"/>
                <w:color w:val="auto"/>
              </w:rPr>
              <w:t>Amended and Restated By-Laws. (2)</w:t>
            </w:r>
          </w:p>
        </w:tc>
        <w:tc>
          <w:tcPr>
            <w:tcW w:w="2120" w:type="dxa"/>
            <w:vAlign w:val="bottom"/>
            <w:gridSpan w:val="3"/>
          </w:tcPr>
          <w:p>
            <w:pPr>
              <w:jc w:val="center"/>
              <w:ind w:left="152"/>
              <w:spacing w:after="0"/>
              <w:rPr>
                <w:sz w:val="20"/>
                <w:szCs w:val="20"/>
                <w:color w:val="auto"/>
              </w:rPr>
            </w:pPr>
            <w:r>
              <w:rPr>
                <w:rFonts w:ascii="Arial" w:cs="Arial" w:eastAsia="Arial" w:hAnsi="Arial"/>
                <w:sz w:val="18"/>
                <w:szCs w:val="18"/>
                <w:color w:val="auto"/>
                <w:w w:val="88"/>
              </w:rPr>
              <w:t>Incorporated by Reference</w:t>
            </w:r>
          </w:p>
        </w:tc>
      </w:tr>
      <w:tr>
        <w:trPr>
          <w:trHeight w:val="216"/>
        </w:trPr>
        <w:tc>
          <w:tcPr>
            <w:tcW w:w="48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360" w:type="dxa"/>
            <w:vAlign w:val="bottom"/>
          </w:tcPr>
          <w:p>
            <w:pPr>
              <w:spacing w:after="0"/>
              <w:rPr>
                <w:sz w:val="18"/>
                <w:szCs w:val="18"/>
                <w:color w:val="auto"/>
              </w:rPr>
            </w:pPr>
          </w:p>
        </w:tc>
        <w:tc>
          <w:tcPr>
            <w:tcW w:w="8420" w:type="dxa"/>
            <w:vAlign w:val="bottom"/>
            <w:gridSpan w:val="3"/>
          </w:tcPr>
          <w:p>
            <w:pPr>
              <w:ind w:left="180"/>
              <w:spacing w:after="0"/>
              <w:rPr>
                <w:sz w:val="20"/>
                <w:szCs w:val="20"/>
                <w:color w:val="auto"/>
              </w:rPr>
            </w:pPr>
            <w:r>
              <w:rPr>
                <w:rFonts w:ascii="Arial" w:cs="Arial" w:eastAsia="Arial" w:hAnsi="Arial"/>
                <w:sz w:val="18"/>
                <w:szCs w:val="18"/>
                <w:color w:val="auto"/>
              </w:rPr>
              <w:t>Executive Severance Plan.*</w:t>
            </w:r>
          </w:p>
        </w:tc>
        <w:tc>
          <w:tcPr>
            <w:tcW w:w="2120" w:type="dxa"/>
            <w:vAlign w:val="bottom"/>
            <w:gridSpan w:val="3"/>
          </w:tcPr>
          <w:p>
            <w:pPr>
              <w:jc w:val="center"/>
              <w:ind w:left="152"/>
              <w:spacing w:after="0"/>
              <w:rPr>
                <w:sz w:val="20"/>
                <w:szCs w:val="20"/>
                <w:color w:val="auto"/>
              </w:rPr>
            </w:pPr>
            <w:r>
              <w:rPr>
                <w:rFonts w:ascii="Arial" w:cs="Arial" w:eastAsia="Arial" w:hAnsi="Arial"/>
                <w:sz w:val="18"/>
                <w:szCs w:val="18"/>
                <w:color w:val="auto"/>
                <w:w w:val="91"/>
              </w:rPr>
              <w:t>Previously Filed</w:t>
            </w:r>
          </w:p>
        </w:tc>
      </w:tr>
      <w:tr>
        <w:trPr>
          <w:trHeight w:val="216"/>
        </w:trPr>
        <w:tc>
          <w:tcPr>
            <w:tcW w:w="48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360" w:type="dxa"/>
            <w:vAlign w:val="bottom"/>
          </w:tcPr>
          <w:p>
            <w:pPr>
              <w:spacing w:after="0"/>
              <w:rPr>
                <w:sz w:val="18"/>
                <w:szCs w:val="18"/>
                <w:color w:val="auto"/>
              </w:rPr>
            </w:pPr>
          </w:p>
        </w:tc>
        <w:tc>
          <w:tcPr>
            <w:tcW w:w="8420" w:type="dxa"/>
            <w:vAlign w:val="bottom"/>
            <w:gridSpan w:val="3"/>
          </w:tcPr>
          <w:p>
            <w:pPr>
              <w:ind w:left="180"/>
              <w:spacing w:after="0"/>
              <w:rPr>
                <w:sz w:val="20"/>
                <w:szCs w:val="20"/>
                <w:color w:val="auto"/>
              </w:rPr>
            </w:pPr>
            <w:r>
              <w:rPr>
                <w:rFonts w:ascii="Arial" w:cs="Arial" w:eastAsia="Arial" w:hAnsi="Arial"/>
                <w:sz w:val="18"/>
                <w:szCs w:val="18"/>
                <w:color w:val="auto"/>
              </w:rPr>
              <w:t>Certification by Chief Executive Officer pursuant to Rule 13a-14(a) of the Exchange Act.</w:t>
            </w:r>
          </w:p>
        </w:tc>
        <w:tc>
          <w:tcPr>
            <w:tcW w:w="2120" w:type="dxa"/>
            <w:vAlign w:val="bottom"/>
            <w:gridSpan w:val="3"/>
          </w:tcPr>
          <w:p>
            <w:pPr>
              <w:jc w:val="center"/>
              <w:ind w:left="132"/>
              <w:spacing w:after="0"/>
              <w:rPr>
                <w:sz w:val="20"/>
                <w:szCs w:val="20"/>
                <w:color w:val="auto"/>
              </w:rPr>
            </w:pPr>
            <w:r>
              <w:rPr>
                <w:rFonts w:ascii="Arial" w:cs="Arial" w:eastAsia="Arial" w:hAnsi="Arial"/>
                <w:sz w:val="18"/>
                <w:szCs w:val="18"/>
                <w:color w:val="auto"/>
                <w:w w:val="91"/>
              </w:rPr>
              <w:t>Filed Electronically</w:t>
            </w:r>
          </w:p>
        </w:tc>
      </w:tr>
      <w:tr>
        <w:trPr>
          <w:trHeight w:val="216"/>
        </w:trPr>
        <w:tc>
          <w:tcPr>
            <w:tcW w:w="48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360" w:type="dxa"/>
            <w:vAlign w:val="bottom"/>
          </w:tcPr>
          <w:p>
            <w:pPr>
              <w:spacing w:after="0"/>
              <w:rPr>
                <w:sz w:val="18"/>
                <w:szCs w:val="18"/>
                <w:color w:val="auto"/>
              </w:rPr>
            </w:pPr>
          </w:p>
        </w:tc>
        <w:tc>
          <w:tcPr>
            <w:tcW w:w="8420" w:type="dxa"/>
            <w:vAlign w:val="bottom"/>
            <w:gridSpan w:val="3"/>
          </w:tcPr>
          <w:p>
            <w:pPr>
              <w:ind w:left="180"/>
              <w:spacing w:after="0"/>
              <w:rPr>
                <w:sz w:val="20"/>
                <w:szCs w:val="20"/>
                <w:color w:val="auto"/>
              </w:rPr>
            </w:pPr>
            <w:r>
              <w:rPr>
                <w:rFonts w:ascii="Arial" w:cs="Arial" w:eastAsia="Arial" w:hAnsi="Arial"/>
                <w:sz w:val="18"/>
                <w:szCs w:val="18"/>
                <w:color w:val="auto"/>
              </w:rPr>
              <w:t>Certification by Chief Financial Officer pursuant to Rule 13a-14(a) of the Exchange Act.</w:t>
            </w:r>
          </w:p>
        </w:tc>
        <w:tc>
          <w:tcPr>
            <w:tcW w:w="2120" w:type="dxa"/>
            <w:vAlign w:val="bottom"/>
            <w:gridSpan w:val="3"/>
          </w:tcPr>
          <w:p>
            <w:pPr>
              <w:jc w:val="center"/>
              <w:ind w:left="132"/>
              <w:spacing w:after="0"/>
              <w:rPr>
                <w:sz w:val="20"/>
                <w:szCs w:val="20"/>
                <w:color w:val="auto"/>
              </w:rPr>
            </w:pPr>
            <w:r>
              <w:rPr>
                <w:rFonts w:ascii="Arial" w:cs="Arial" w:eastAsia="Arial" w:hAnsi="Arial"/>
                <w:sz w:val="18"/>
                <w:szCs w:val="18"/>
                <w:color w:val="auto"/>
                <w:w w:val="91"/>
              </w:rPr>
              <w:t>Filed Electronically</w:t>
            </w:r>
          </w:p>
        </w:tc>
      </w:tr>
      <w:tr>
        <w:trPr>
          <w:trHeight w:val="216"/>
        </w:trPr>
        <w:tc>
          <w:tcPr>
            <w:tcW w:w="48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360" w:type="dxa"/>
            <w:vAlign w:val="bottom"/>
          </w:tcPr>
          <w:p>
            <w:pPr>
              <w:spacing w:after="0"/>
              <w:rPr>
                <w:sz w:val="18"/>
                <w:szCs w:val="18"/>
                <w:color w:val="auto"/>
              </w:rPr>
            </w:pPr>
          </w:p>
        </w:tc>
        <w:tc>
          <w:tcPr>
            <w:tcW w:w="8420" w:type="dxa"/>
            <w:vAlign w:val="bottom"/>
            <w:gridSpan w:val="3"/>
          </w:tcPr>
          <w:p>
            <w:pPr>
              <w:ind w:left="180"/>
              <w:spacing w:after="0"/>
              <w:rPr>
                <w:sz w:val="20"/>
                <w:szCs w:val="20"/>
                <w:color w:val="auto"/>
              </w:rPr>
            </w:pPr>
            <w:r>
              <w:rPr>
                <w:rFonts w:ascii="Arial" w:cs="Arial" w:eastAsia="Arial" w:hAnsi="Arial"/>
                <w:sz w:val="18"/>
                <w:szCs w:val="18"/>
                <w:color w:val="auto"/>
              </w:rPr>
              <w:t>Section 1350 Certification by Chief Executive Officer.</w:t>
            </w:r>
          </w:p>
        </w:tc>
        <w:tc>
          <w:tcPr>
            <w:tcW w:w="2120" w:type="dxa"/>
            <w:vAlign w:val="bottom"/>
            <w:gridSpan w:val="3"/>
          </w:tcPr>
          <w:p>
            <w:pPr>
              <w:jc w:val="center"/>
              <w:ind w:left="152"/>
              <w:spacing w:after="0"/>
              <w:rPr>
                <w:sz w:val="20"/>
                <w:szCs w:val="20"/>
                <w:color w:val="auto"/>
              </w:rPr>
            </w:pPr>
            <w:r>
              <w:rPr>
                <w:rFonts w:ascii="Arial" w:cs="Arial" w:eastAsia="Arial" w:hAnsi="Arial"/>
                <w:sz w:val="18"/>
                <w:szCs w:val="18"/>
                <w:color w:val="auto"/>
                <w:w w:val="91"/>
              </w:rPr>
              <w:t>Previously Filed</w:t>
            </w:r>
          </w:p>
        </w:tc>
      </w:tr>
      <w:tr>
        <w:trPr>
          <w:trHeight w:val="216"/>
        </w:trPr>
        <w:tc>
          <w:tcPr>
            <w:tcW w:w="48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360" w:type="dxa"/>
            <w:vAlign w:val="bottom"/>
          </w:tcPr>
          <w:p>
            <w:pPr>
              <w:spacing w:after="0"/>
              <w:rPr>
                <w:sz w:val="18"/>
                <w:szCs w:val="18"/>
                <w:color w:val="auto"/>
              </w:rPr>
            </w:pPr>
          </w:p>
        </w:tc>
        <w:tc>
          <w:tcPr>
            <w:tcW w:w="8420" w:type="dxa"/>
            <w:vAlign w:val="bottom"/>
            <w:gridSpan w:val="3"/>
          </w:tcPr>
          <w:p>
            <w:pPr>
              <w:ind w:left="180"/>
              <w:spacing w:after="0"/>
              <w:rPr>
                <w:sz w:val="20"/>
                <w:szCs w:val="20"/>
                <w:color w:val="auto"/>
              </w:rPr>
            </w:pPr>
            <w:r>
              <w:rPr>
                <w:rFonts w:ascii="Arial" w:cs="Arial" w:eastAsia="Arial" w:hAnsi="Arial"/>
                <w:sz w:val="18"/>
                <w:szCs w:val="18"/>
                <w:color w:val="auto"/>
              </w:rPr>
              <w:t>Section 1350 Certification by Chief Financial Officer.</w:t>
            </w:r>
          </w:p>
        </w:tc>
        <w:tc>
          <w:tcPr>
            <w:tcW w:w="2120" w:type="dxa"/>
            <w:vAlign w:val="bottom"/>
            <w:gridSpan w:val="3"/>
          </w:tcPr>
          <w:p>
            <w:pPr>
              <w:jc w:val="center"/>
              <w:ind w:left="152"/>
              <w:spacing w:after="0"/>
              <w:rPr>
                <w:sz w:val="20"/>
                <w:szCs w:val="20"/>
                <w:color w:val="auto"/>
              </w:rPr>
            </w:pPr>
            <w:r>
              <w:rPr>
                <w:rFonts w:ascii="Arial" w:cs="Arial" w:eastAsia="Arial" w:hAnsi="Arial"/>
                <w:sz w:val="18"/>
                <w:szCs w:val="18"/>
                <w:color w:val="auto"/>
                <w:w w:val="91"/>
              </w:rPr>
              <w:t>Previously Filed</w:t>
            </w:r>
          </w:p>
        </w:tc>
      </w:tr>
      <w:tr>
        <w:trPr>
          <w:trHeight w:val="216"/>
        </w:trPr>
        <w:tc>
          <w:tcPr>
            <w:tcW w:w="48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360" w:type="dxa"/>
            <w:vAlign w:val="bottom"/>
          </w:tcPr>
          <w:p>
            <w:pPr>
              <w:spacing w:after="0"/>
              <w:rPr>
                <w:sz w:val="18"/>
                <w:szCs w:val="18"/>
                <w:color w:val="auto"/>
              </w:rPr>
            </w:pPr>
          </w:p>
        </w:tc>
        <w:tc>
          <w:tcPr>
            <w:tcW w:w="8420" w:type="dxa"/>
            <w:vAlign w:val="bottom"/>
            <w:gridSpan w:val="3"/>
          </w:tcPr>
          <w:p>
            <w:pPr>
              <w:ind w:left="180"/>
              <w:spacing w:after="0"/>
              <w:rPr>
                <w:sz w:val="20"/>
                <w:szCs w:val="20"/>
                <w:color w:val="auto"/>
              </w:rPr>
            </w:pPr>
            <w:r>
              <w:rPr>
                <w:rFonts w:ascii="Arial" w:cs="Arial" w:eastAsia="Arial" w:hAnsi="Arial"/>
                <w:sz w:val="18"/>
                <w:szCs w:val="18"/>
                <w:color w:val="auto"/>
                <w:w w:val="91"/>
              </w:rPr>
              <w:t>Financial statements from the Quarterly Report on Form 10-Q of Hawkins, Inc. for the period ended July 3, 2011,</w:t>
            </w:r>
          </w:p>
        </w:tc>
        <w:tc>
          <w:tcPr>
            <w:tcW w:w="2120" w:type="dxa"/>
            <w:vAlign w:val="bottom"/>
            <w:gridSpan w:val="3"/>
          </w:tcPr>
          <w:p>
            <w:pPr>
              <w:jc w:val="center"/>
              <w:ind w:left="152"/>
              <w:spacing w:after="0"/>
              <w:rPr>
                <w:sz w:val="20"/>
                <w:szCs w:val="20"/>
                <w:color w:val="auto"/>
              </w:rPr>
            </w:pPr>
            <w:r>
              <w:rPr>
                <w:rFonts w:ascii="Arial" w:cs="Arial" w:eastAsia="Arial" w:hAnsi="Arial"/>
                <w:sz w:val="18"/>
                <w:szCs w:val="18"/>
                <w:color w:val="auto"/>
                <w:w w:val="91"/>
              </w:rPr>
              <w:t>Previously Filed</w:t>
            </w:r>
          </w:p>
        </w:tc>
      </w:tr>
      <w:tr>
        <w:trPr>
          <w:trHeight w:val="222"/>
        </w:trPr>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20" w:type="dxa"/>
            <w:vAlign w:val="bottom"/>
            <w:gridSpan w:val="3"/>
          </w:tcPr>
          <w:p>
            <w:pPr>
              <w:ind w:left="180"/>
              <w:spacing w:after="0"/>
              <w:rPr>
                <w:sz w:val="20"/>
                <w:szCs w:val="20"/>
                <w:color w:val="auto"/>
              </w:rPr>
            </w:pPr>
            <w:r>
              <w:rPr>
                <w:rFonts w:ascii="Arial" w:cs="Arial" w:eastAsia="Arial" w:hAnsi="Arial"/>
                <w:sz w:val="18"/>
                <w:szCs w:val="18"/>
                <w:color w:val="auto"/>
                <w:w w:val="96"/>
              </w:rPr>
              <w:t>filed with the SEC on August 4, 2011, formatted in Extensible Business Reporting Language (XBRL); (i) the</w:t>
            </w:r>
          </w:p>
        </w:tc>
        <w:tc>
          <w:tcPr>
            <w:tcW w:w="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r>
    </w:tbl>
    <w:p>
      <w:pPr>
        <w:ind w:left="1020" w:right="26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t>Condensed Consolidated Balance Sheets at July 3, 2011 and April 3, 2011 (ii) the Condensed Consolidated Statements of Income for the Quarter Ended July 3, 2011 and June 30, 2010, (iii) the Condensed Consolidated Statements of Cash Flows for the Quarter Ended July 3, 2011 and June 30, 2010, and (iv) Notes to Condensed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 Managementcontract or compensatory plan or arrangement required to be filed as an exhibit to this Form 10-Q.</w:t>
      </w:r>
    </w:p>
    <w:p>
      <w:pPr>
        <w:spacing w:after="0" w:line="158"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Incorporated by reference to Exhibit 3.1 to the Company’s Quarterly Report on Form 10-Q for the period ended June 30, 2010, filed on July 29, 2010.</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Incorporated by reference to Exhibit 3.1 to the Company’s Current Report on Form 8-K dated October 28, 2009 and filed November 3, 2009.</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314" w:right="27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5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amendment to be signed on its behalf by the undersigned thereunto duly authorized.</w:t>
      </w:r>
    </w:p>
    <w:p>
      <w:pPr>
        <w:spacing w:after="0" w:line="112"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HAWKINS, INC.</w:t>
      </w:r>
    </w:p>
    <w:p>
      <w:pPr>
        <w:spacing w:after="0" w:line="231" w:lineRule="exact"/>
        <w:rPr>
          <w:sz w:val="20"/>
          <w:szCs w:val="20"/>
          <w:color w:val="auto"/>
        </w:rPr>
      </w:pPr>
    </w:p>
    <w:p>
      <w:pPr>
        <w:ind w:left="6760"/>
        <w:spacing w:after="0"/>
        <w:tabs>
          <w:tab w:leader="none" w:pos="8300" w:val="left"/>
          <w:tab w:leader="none" w:pos="8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K</w:t>
      </w:r>
      <w:r>
        <w:rPr>
          <w:rFonts w:ascii="Arial" w:cs="Arial" w:eastAsia="Arial" w:hAnsi="Arial"/>
          <w:sz w:val="13"/>
          <w:szCs w:val="13"/>
          <w:color w:val="auto"/>
        </w:rPr>
        <w:t>ATHLEEN</w:t>
      </w:r>
      <w:r>
        <w:rPr>
          <w:rFonts w:ascii="Arial" w:cs="Arial" w:eastAsia="Arial" w:hAnsi="Arial"/>
          <w:sz w:val="16"/>
          <w:szCs w:val="16"/>
          <w:color w:val="auto"/>
        </w:rPr>
        <w:t xml:space="preserve"> P. P</w:t>
      </w:r>
      <w:r>
        <w:rPr>
          <w:rFonts w:ascii="Arial" w:cs="Arial" w:eastAsia="Arial" w:hAnsi="Arial"/>
          <w:sz w:val="13"/>
          <w:szCs w:val="13"/>
          <w:color w:val="auto"/>
        </w:rPr>
        <w:t>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10795</wp:posOffset>
            </wp:positionV>
            <wp:extent cx="27959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5" w:lineRule="exact"/>
        <w:rPr>
          <w:sz w:val="20"/>
          <w:szCs w:val="20"/>
          <w:color w:val="auto"/>
        </w:rPr>
      </w:pPr>
    </w:p>
    <w:p>
      <w:pPr>
        <w:jc w:val="center"/>
        <w:ind w:left="7060"/>
        <w:spacing w:after="0"/>
        <w:rPr>
          <w:sz w:val="20"/>
          <w:szCs w:val="20"/>
          <w:color w:val="auto"/>
        </w:rPr>
      </w:pPr>
      <w:r>
        <w:rPr>
          <w:rFonts w:ascii="Arial" w:cs="Arial" w:eastAsia="Arial" w:hAnsi="Arial"/>
          <w:sz w:val="18"/>
          <w:szCs w:val="18"/>
          <w:color w:val="auto"/>
        </w:rPr>
        <w:t>Kathleen P. Pepski</w:t>
      </w:r>
    </w:p>
    <w:p>
      <w:pPr>
        <w:spacing w:after="0" w:line="185" w:lineRule="exact"/>
        <w:rPr>
          <w:sz w:val="20"/>
          <w:szCs w:val="20"/>
          <w:color w:val="auto"/>
        </w:rPr>
      </w:pPr>
    </w:p>
    <w:p>
      <w:pPr>
        <w:jc w:val="center"/>
        <w:ind w:left="7060"/>
        <w:spacing w:after="0"/>
        <w:rPr>
          <w:sz w:val="20"/>
          <w:szCs w:val="20"/>
          <w:color w:val="auto"/>
        </w:rPr>
      </w:pPr>
      <w:r>
        <w:rPr>
          <w:rFonts w:ascii="Arial" w:cs="Arial" w:eastAsia="Arial" w:hAnsi="Arial"/>
          <w:sz w:val="18"/>
          <w:szCs w:val="18"/>
          <w:color w:val="auto"/>
        </w:rPr>
        <w:t>Vice President, Chief Financial Officer, and Treasurer</w:t>
      </w:r>
    </w:p>
    <w:p>
      <w:pPr>
        <w:spacing w:after="0" w:line="15" w:lineRule="exact"/>
        <w:rPr>
          <w:sz w:val="20"/>
          <w:szCs w:val="20"/>
          <w:color w:val="auto"/>
        </w:rPr>
      </w:pPr>
    </w:p>
    <w:p>
      <w:pPr>
        <w:jc w:val="center"/>
        <w:ind w:left="7060"/>
        <w:spacing w:after="0"/>
        <w:rPr>
          <w:sz w:val="20"/>
          <w:szCs w:val="20"/>
          <w:color w:val="auto"/>
        </w:rPr>
      </w:pPr>
      <w:r>
        <w:rPr>
          <w:rFonts w:ascii="Arial" w:cs="Arial" w:eastAsia="Arial" w:hAnsi="Arial"/>
          <w:sz w:val="16"/>
          <w:szCs w:val="16"/>
          <w:color w:val="auto"/>
        </w:rPr>
        <w:t>(On behalf of the Registrant and as principal financial officer)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Date: August 23, 2011</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5" w:name="page6"/>
    <w:bookmarkEnd w:id="5"/>
    <w:p>
      <w:pPr>
        <w:ind w:left="5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159" w:lineRule="exact"/>
        <w:rPr>
          <w:sz w:val="20"/>
          <w:szCs w:val="20"/>
          <w:color w:val="auto"/>
        </w:rPr>
      </w:pPr>
    </w:p>
    <w:p>
      <w:pPr>
        <w:spacing w:after="0"/>
        <w:tabs>
          <w:tab w:leader="none" w:pos="466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u w:val="single" w:color="auto"/>
          <w:color w:val="auto"/>
        </w:rPr>
        <w:t>Description</w:t>
      </w:r>
    </w:p>
    <w:p>
      <w:pPr>
        <w:spacing w:after="0" w:line="13" w:lineRule="exact"/>
        <w:rPr>
          <w:sz w:val="20"/>
          <w:szCs w:val="20"/>
          <w:color w:val="auto"/>
        </w:rPr>
      </w:pPr>
    </w:p>
    <w:p>
      <w:pPr>
        <w:ind w:left="200"/>
        <w:spacing w:after="0"/>
        <w:tabs>
          <w:tab w:leader="none" w:pos="9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Articles of Incorporation.</w:t>
      </w:r>
    </w:p>
    <w:p>
      <w:pPr>
        <w:spacing w:after="0" w:line="8" w:lineRule="exact"/>
        <w:rPr>
          <w:sz w:val="20"/>
          <w:szCs w:val="20"/>
          <w:color w:val="auto"/>
        </w:rPr>
      </w:pPr>
    </w:p>
    <w:p>
      <w:pPr>
        <w:ind w:left="200"/>
        <w:spacing w:after="0"/>
        <w:tabs>
          <w:tab w:leader="none" w:pos="9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Amended and Restated By-Laws.</w:t>
      </w:r>
    </w:p>
    <w:p>
      <w:pPr>
        <w:spacing w:after="0" w:line="9" w:lineRule="exact"/>
        <w:rPr>
          <w:sz w:val="20"/>
          <w:szCs w:val="20"/>
          <w:color w:val="auto"/>
        </w:rPr>
      </w:pPr>
    </w:p>
    <w:p>
      <w:pPr>
        <w:ind w:left="120"/>
        <w:spacing w:after="0"/>
        <w:tabs>
          <w:tab w:leader="none" w:pos="9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Executive Severance Plan.</w:t>
      </w:r>
    </w:p>
    <w:p>
      <w:pPr>
        <w:spacing w:after="0" w:line="9" w:lineRule="exact"/>
        <w:rPr>
          <w:sz w:val="20"/>
          <w:szCs w:val="20"/>
          <w:color w:val="auto"/>
        </w:rPr>
      </w:pPr>
    </w:p>
    <w:p>
      <w:pPr>
        <w:ind w:left="120"/>
        <w:spacing w:after="0"/>
        <w:tabs>
          <w:tab w:leader="none" w:pos="9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by Chief Executive Officer pursuant to Rule 13a-14(a) of the Exchange Act.</w:t>
      </w:r>
    </w:p>
    <w:p>
      <w:pPr>
        <w:spacing w:after="0" w:line="9" w:lineRule="exact"/>
        <w:rPr>
          <w:sz w:val="20"/>
          <w:szCs w:val="20"/>
          <w:color w:val="auto"/>
        </w:rPr>
      </w:pPr>
    </w:p>
    <w:p>
      <w:pPr>
        <w:ind w:left="120"/>
        <w:spacing w:after="0"/>
        <w:tabs>
          <w:tab w:leader="none" w:pos="9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by Chief Financial Officer pursuant to Rule 13a-14(a) of the Exchange Act.</w:t>
      </w:r>
    </w:p>
    <w:p>
      <w:pPr>
        <w:spacing w:after="0" w:line="9" w:lineRule="exact"/>
        <w:rPr>
          <w:sz w:val="20"/>
          <w:szCs w:val="20"/>
          <w:color w:val="auto"/>
        </w:rPr>
      </w:pPr>
    </w:p>
    <w:p>
      <w:pPr>
        <w:ind w:left="120"/>
        <w:spacing w:after="0"/>
        <w:tabs>
          <w:tab w:leader="none" w:pos="9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1350 Certification by Chief Executive Officer.</w:t>
      </w:r>
    </w:p>
    <w:p>
      <w:pPr>
        <w:spacing w:after="0" w:line="9" w:lineRule="exact"/>
        <w:rPr>
          <w:sz w:val="20"/>
          <w:szCs w:val="20"/>
          <w:color w:val="auto"/>
        </w:rPr>
      </w:pPr>
    </w:p>
    <w:p>
      <w:pPr>
        <w:ind w:left="120"/>
        <w:spacing w:after="0"/>
        <w:tabs>
          <w:tab w:leader="none" w:pos="9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Section 1350 Certification by Chief Financial Officer.</w:t>
      </w:r>
    </w:p>
    <w:p>
      <w:pPr>
        <w:spacing w:after="0" w:line="9" w:lineRule="exact"/>
        <w:rPr>
          <w:sz w:val="20"/>
          <w:szCs w:val="20"/>
          <w:color w:val="auto"/>
        </w:rPr>
      </w:pPr>
    </w:p>
    <w:p>
      <w:pPr>
        <w:ind w:left="960" w:hanging="803"/>
        <w:spacing w:after="0" w:line="252"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 statements from the Quarterly Report on Form 10-Q of Hawkins, Inc. for the period ended July 3, 2011, filed with the SEC on August 4, 2011, formatted in Extensible Business Reporting Language (XBRL); (i) the Condensed Consolidated Balance Sheets at July 3, 2011 and April 3, 2011 (ii) the Condensed Consolidated Statements of Income for the Quarter Ended July 3, 2011 and June 30, 2010, (iii) the Condensed Consolidated Statements of Cash Flows for the Quarter Ended July 3, 2011 and June 30, 2010, and (iv) Notes to Condensed Consolidated Financial Statements.</w:t>
      </w:r>
    </w:p>
    <w:p>
      <w:pPr>
        <w:spacing w:after="0" w:line="1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10795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Method of Filing</w:t>
      </w:r>
    </w:p>
    <w:p>
      <w:pPr>
        <w:spacing w:after="0" w:line="13" w:lineRule="exact"/>
        <w:rPr>
          <w:sz w:val="20"/>
          <w:szCs w:val="20"/>
          <w:color w:val="auto"/>
        </w:rPr>
      </w:pPr>
    </w:p>
    <w:p>
      <w:pPr>
        <w:jc w:val="center"/>
        <w:spacing w:after="0" w:line="299" w:lineRule="auto"/>
        <w:rPr>
          <w:sz w:val="20"/>
          <w:szCs w:val="20"/>
          <w:color w:val="auto"/>
        </w:rPr>
      </w:pPr>
      <w:r>
        <w:rPr>
          <w:rFonts w:ascii="Arial" w:cs="Arial" w:eastAsia="Arial" w:hAnsi="Arial"/>
          <w:sz w:val="15"/>
          <w:szCs w:val="15"/>
          <w:color w:val="auto"/>
        </w:rPr>
        <w:t>Incorporated by Reference Incorporated by Reference Previously Filed</w:t>
      </w:r>
    </w:p>
    <w:p>
      <w:pPr>
        <w:spacing w:after="0" w:line="2" w:lineRule="exact"/>
        <w:rPr>
          <w:sz w:val="20"/>
          <w:szCs w:val="20"/>
          <w:color w:val="auto"/>
        </w:rPr>
      </w:pPr>
    </w:p>
    <w:p>
      <w:pPr>
        <w:jc w:val="center"/>
        <w:ind w:left="240" w:right="20"/>
        <w:spacing w:after="0" w:line="292" w:lineRule="auto"/>
        <w:rPr>
          <w:sz w:val="20"/>
          <w:szCs w:val="20"/>
          <w:color w:val="auto"/>
        </w:rPr>
      </w:pPr>
      <w:r>
        <w:rPr>
          <w:rFonts w:ascii="Arial" w:cs="Arial" w:eastAsia="Arial" w:hAnsi="Arial"/>
          <w:sz w:val="16"/>
          <w:szCs w:val="16"/>
          <w:color w:val="auto"/>
        </w:rPr>
        <w:t>Filed Electronically Filed Electronically Previously Filed Previously Filed Previously Filed</w:t>
      </w:r>
    </w:p>
    <w:p>
      <w:pPr>
        <w:sectPr>
          <w:pgSz w:w="11900" w:h="16838" w:orient="portrait"/>
          <w:cols w:equalWidth="0" w:num="2">
            <w:col w:w="8960" w:space="480"/>
            <w:col w:w="1880"/>
          </w:cols>
          <w:pgMar w:left="300" w:top="274" w:right="27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I, Patrick H. Hawkins, certify that:</w:t>
      </w:r>
    </w:p>
    <w:p>
      <w:pPr>
        <w:spacing w:after="0" w:line="158"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Amendment No. 1 on Form 10-Q/A of Hawkins, Inc.;</w:t>
      </w:r>
    </w:p>
    <w:p>
      <w:pPr>
        <w:spacing w:after="0" w:line="157"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6"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left="900" w:right="180" w:hanging="446"/>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Rules 13a-15(f) and 15d-15(f)) for the registrant and we have:</w:t>
      </w:r>
    </w:p>
    <w:p>
      <w:pPr>
        <w:spacing w:after="0" w:line="126" w:lineRule="exact"/>
        <w:rPr>
          <w:rFonts w:ascii="Arial" w:cs="Arial" w:eastAsia="Arial" w:hAnsi="Arial"/>
          <w:sz w:val="18"/>
          <w:szCs w:val="18"/>
          <w:color w:val="auto"/>
        </w:rPr>
      </w:pPr>
    </w:p>
    <w:p>
      <w:pPr>
        <w:jc w:val="both"/>
        <w:ind w:left="1480" w:right="20" w:hanging="567"/>
        <w:spacing w:after="0" w:line="259" w:lineRule="auto"/>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left="1480" w:right="20" w:hanging="567"/>
        <w:spacing w:after="0" w:line="259" w:lineRule="auto"/>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jc w:val="both"/>
        <w:ind w:left="1480" w:right="440" w:hanging="567"/>
        <w:spacing w:after="0" w:line="370" w:lineRule="auto"/>
        <w:tabs>
          <w:tab w:leader="none" w:pos="1480" w:val="left"/>
        </w:tabs>
        <w:numPr>
          <w:ilvl w:val="1"/>
          <w:numId w:val="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5"/>
          <w:szCs w:val="15"/>
          <w:color w:val="auto"/>
        </w:rPr>
      </w:pPr>
    </w:p>
    <w:p>
      <w:pPr>
        <w:ind w:left="1480" w:right="20" w:hanging="567"/>
        <w:spacing w:after="0" w:line="259" w:lineRule="auto"/>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6"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Arial" w:cs="Arial" w:eastAsia="Arial" w:hAnsi="Arial"/>
          <w:sz w:val="16"/>
          <w:szCs w:val="16"/>
          <w:color w:val="auto"/>
        </w:rPr>
      </w:pPr>
    </w:p>
    <w:p>
      <w:pPr>
        <w:ind w:left="1480" w:right="740" w:hanging="567"/>
        <w:spacing w:after="0" w:line="332" w:lineRule="auto"/>
        <w:tabs>
          <w:tab w:leader="none" w:pos="1480" w:val="left"/>
        </w:tabs>
        <w:numPr>
          <w:ilvl w:val="1"/>
          <w:numId w:val="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480" w:right="440" w:hanging="567"/>
        <w:spacing w:after="0" w:line="268" w:lineRule="auto"/>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August 23, 2011</w:t>
      </w:r>
    </w:p>
    <w:p>
      <w:pPr>
        <w:spacing w:after="0" w:line="15" w:lineRule="exact"/>
        <w:rPr>
          <w:sz w:val="20"/>
          <w:szCs w:val="20"/>
          <w:color w:val="auto"/>
        </w:rPr>
      </w:pPr>
    </w:p>
    <w:p>
      <w:pPr>
        <w:ind w:left="7900"/>
        <w:spacing w:after="0"/>
        <w:rPr>
          <w:sz w:val="20"/>
          <w:szCs w:val="20"/>
          <w:color w:val="auto"/>
        </w:rPr>
      </w:pPr>
      <w:r>
        <w:rPr>
          <w:rFonts w:ascii="Arial" w:cs="Arial" w:eastAsia="Arial" w:hAnsi="Arial"/>
          <w:sz w:val="18"/>
          <w:szCs w:val="18"/>
          <w:u w:val="single" w:color="auto"/>
          <w:color w:val="auto"/>
        </w:rPr>
        <w:t>/s/ Patrick H. Hawkins</w:t>
      </w:r>
    </w:p>
    <w:p>
      <w:pPr>
        <w:spacing w:after="0" w:line="9"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Patrick H. Hawkins</w:t>
      </w:r>
    </w:p>
    <w:p>
      <w:pPr>
        <w:spacing w:after="0" w:line="9"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420"/>
          </w:cols>
          <w:pgMar w:left="240" w:top="125"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I, Kathleen P. Pepski, certify that:</w:t>
      </w:r>
    </w:p>
    <w:p>
      <w:pPr>
        <w:spacing w:after="0" w:line="158"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Amendment No. 1 on Form 10-Q/A of Hawkins, Inc.;</w:t>
      </w:r>
    </w:p>
    <w:p>
      <w:pPr>
        <w:spacing w:after="0" w:line="157"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6"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ind w:left="900" w:right="180" w:hanging="446"/>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Rules 13a-15(f) and 15d-15(f)) for the registrant and we have:</w:t>
      </w:r>
    </w:p>
    <w:p>
      <w:pPr>
        <w:spacing w:after="0" w:line="126" w:lineRule="exact"/>
        <w:rPr>
          <w:rFonts w:ascii="Arial" w:cs="Arial" w:eastAsia="Arial" w:hAnsi="Arial"/>
          <w:sz w:val="18"/>
          <w:szCs w:val="18"/>
          <w:color w:val="auto"/>
        </w:rPr>
      </w:pPr>
    </w:p>
    <w:p>
      <w:pPr>
        <w:jc w:val="both"/>
        <w:ind w:left="1480" w:right="20" w:hanging="567"/>
        <w:spacing w:after="0" w:line="259" w:lineRule="auto"/>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8"/>
          <w:szCs w:val="18"/>
          <w:color w:val="auto"/>
        </w:rPr>
      </w:pPr>
    </w:p>
    <w:p>
      <w:pPr>
        <w:ind w:left="1480" w:right="20" w:hanging="567"/>
        <w:spacing w:after="0" w:line="259" w:lineRule="auto"/>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jc w:val="both"/>
        <w:ind w:left="1480" w:right="440" w:hanging="567"/>
        <w:spacing w:after="0" w:line="370" w:lineRule="auto"/>
        <w:tabs>
          <w:tab w:leader="none" w:pos="1480" w:val="left"/>
        </w:tabs>
        <w:numPr>
          <w:ilvl w:val="1"/>
          <w:numId w:val="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5"/>
          <w:szCs w:val="15"/>
          <w:color w:val="auto"/>
        </w:rPr>
      </w:pPr>
    </w:p>
    <w:p>
      <w:pPr>
        <w:ind w:left="1480" w:right="20" w:hanging="567"/>
        <w:spacing w:after="0" w:line="259" w:lineRule="auto"/>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6"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Arial" w:cs="Arial" w:eastAsia="Arial" w:hAnsi="Arial"/>
          <w:sz w:val="16"/>
          <w:szCs w:val="16"/>
          <w:color w:val="auto"/>
        </w:rPr>
      </w:pPr>
    </w:p>
    <w:p>
      <w:pPr>
        <w:ind w:left="1480" w:right="740" w:hanging="567"/>
        <w:spacing w:after="0" w:line="332" w:lineRule="auto"/>
        <w:tabs>
          <w:tab w:leader="none" w:pos="148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480" w:right="440" w:hanging="567"/>
        <w:spacing w:after="0" w:line="268" w:lineRule="auto"/>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August 23, 2011</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u w:val="single" w:color="auto"/>
          <w:color w:val="auto"/>
        </w:rPr>
        <w:t>/s/ Kathleen P. Pepski</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Kathleen P. Pepski</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Vice President, Chief Financial Officer, and Treasurer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2"/>
    </w:lvl>
  </w:abstractNum>
  <w:abstractNum w:abstractNumId="1">
    <w:nsid w:val="238E1F29"/>
    <w:multiLevelType w:val="hybridMultilevel"/>
    <w:lvl w:ilvl="0">
      <w:lvlJc w:val="left"/>
      <w:lvlText w:val="(%1)"/>
      <w:numFmt w:val="lowerRoman"/>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0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lvl w:ilvl="1">
      <w:lvlJc w:val="left"/>
      <w:lvlText w:val="%2)"/>
      <w:numFmt w:val="lowerLetter"/>
      <w:start w:val="5"/>
    </w:lvl>
  </w:abstractNum>
  <w:abstractNum w:abstractNumId="6">
    <w:nsid w:val="41B71EF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2019-12-10T01:09:39Z</dcterms:created>
  <dcterms:modified xsi:type="dcterms:W3CDTF">2019-12-10T01:09:39Z</dcterms:modified>
</cp:coreProperties>
</file>