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4"/>
        <w:spacing w:after="0"/>
        <w:rPr>
          <w:sz w:val="20"/>
          <w:szCs w:val="20"/>
          <w:color w:val="auto"/>
        </w:rPr>
      </w:pPr>
      <w:r>
        <w:rPr>
          <w:rFonts w:ascii="Courier New" w:cs="Courier New" w:eastAsia="Courier New" w:hAnsi="Courier New"/>
          <w:sz w:val="15"/>
          <w:szCs w:val="15"/>
          <w:color w:val="auto"/>
        </w:rPr>
        <w:t>SCHEDULE 14A INFORMATION</w:t>
      </w:r>
    </w:p>
    <w:p>
      <w:pPr>
        <w:spacing w:after="0" w:line="185" w:lineRule="exact"/>
        <w:rPr>
          <w:sz w:val="24"/>
          <w:szCs w:val="24"/>
          <w:color w:val="auto"/>
        </w:rPr>
      </w:pPr>
    </w:p>
    <w:p>
      <w:pPr>
        <w:ind w:left="1665"/>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8" w:lineRule="exact"/>
        <w:rPr>
          <w:sz w:val="24"/>
          <w:szCs w:val="24"/>
          <w:color w:val="auto"/>
        </w:rPr>
      </w:pPr>
    </w:p>
    <w:p>
      <w:pPr>
        <w:ind w:left="1105"/>
        <w:spacing w:after="0"/>
        <w:tabs>
          <w:tab w:leader="none" w:pos="6065" w:val="left"/>
        </w:tabs>
        <w:rPr>
          <w:sz w:val="20"/>
          <w:szCs w:val="20"/>
          <w:color w:val="auto"/>
        </w:rPr>
      </w:pPr>
      <w:r>
        <w:rPr>
          <w:rFonts w:ascii="Courier New" w:cs="Courier New" w:eastAsia="Courier New" w:hAnsi="Courier New"/>
          <w:sz w:val="15"/>
          <w:szCs w:val="15"/>
          <w:color w:val="auto"/>
        </w:rPr>
        <w:t>the Securities Exchange Act of 1934 (Amendment No.</w:t>
      </w:r>
      <w:r>
        <w:rPr>
          <w:sz w:val="20"/>
          <w:szCs w:val="20"/>
          <w:color w:val="auto"/>
        </w:rPr>
        <w:tab/>
      </w:r>
      <w:r>
        <w:rPr>
          <w:rFonts w:ascii="Courier New" w:cs="Courier New" w:eastAsia="Courier New" w:hAnsi="Courier New"/>
          <w:sz w:val="15"/>
          <w:szCs w:val="15"/>
          <w:color w:val="auto"/>
        </w:rPr>
        <w:t>)</w:t>
      </w:r>
    </w:p>
    <w:p>
      <w:pPr>
        <w:spacing w:after="0" w:line="185" w:lineRule="exact"/>
        <w:rPr>
          <w:sz w:val="24"/>
          <w:szCs w:val="24"/>
          <w:color w:val="auto"/>
        </w:rPr>
      </w:pPr>
    </w:p>
    <w:p>
      <w:pPr>
        <w:ind w:left="365"/>
        <w:spacing w:after="0"/>
        <w:rPr>
          <w:sz w:val="20"/>
          <w:szCs w:val="20"/>
          <w:color w:val="auto"/>
        </w:rPr>
      </w:pPr>
      <w:r>
        <w:rPr>
          <w:rFonts w:ascii="Courier New" w:cs="Courier New" w:eastAsia="Courier New" w:hAnsi="Courier New"/>
          <w:sz w:val="15"/>
          <w:szCs w:val="15"/>
          <w:color w:val="auto"/>
        </w:rPr>
        <w:t>Filed by the Registrant /X/</w:t>
      </w:r>
    </w:p>
    <w:p>
      <w:pPr>
        <w:spacing w:after="0" w:line="8" w:lineRule="exact"/>
        <w:rPr>
          <w:sz w:val="24"/>
          <w:szCs w:val="24"/>
          <w:color w:val="auto"/>
        </w:rPr>
      </w:pPr>
    </w:p>
    <w:p>
      <w:pPr>
        <w:ind w:left="365"/>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5" w:lineRule="exact"/>
        <w:rPr>
          <w:sz w:val="24"/>
          <w:szCs w:val="24"/>
          <w:color w:val="auto"/>
        </w:rPr>
      </w:pPr>
    </w:p>
    <w:p>
      <w:pPr>
        <w:ind w:left="365"/>
        <w:spacing w:after="0"/>
        <w:rPr>
          <w:sz w:val="20"/>
          <w:szCs w:val="20"/>
          <w:color w:val="auto"/>
        </w:rPr>
      </w:pPr>
      <w:r>
        <w:rPr>
          <w:rFonts w:ascii="Courier New" w:cs="Courier New" w:eastAsia="Courier New" w:hAnsi="Courier New"/>
          <w:sz w:val="15"/>
          <w:szCs w:val="15"/>
          <w:color w:val="auto"/>
        </w:rPr>
        <w:t>Check the appropriate box:</w:t>
      </w:r>
    </w:p>
    <w:p>
      <w:pPr>
        <w:spacing w:after="0" w:line="8" w:lineRule="exact"/>
        <w:rPr>
          <w:sz w:val="24"/>
          <w:szCs w:val="24"/>
          <w:color w:val="auto"/>
        </w:rPr>
      </w:pPr>
    </w:p>
    <w:p>
      <w:pPr>
        <w:ind w:left="545" w:hanging="176"/>
        <w:spacing w:after="0"/>
        <w:tabs>
          <w:tab w:leader="none" w:pos="54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w:t>
      </w:r>
    </w:p>
    <w:p>
      <w:pPr>
        <w:spacing w:after="0" w:line="7" w:lineRule="exact"/>
        <w:rPr>
          <w:rFonts w:ascii="Courier New" w:cs="Courier New" w:eastAsia="Courier New" w:hAnsi="Courier New"/>
          <w:sz w:val="15"/>
          <w:szCs w:val="15"/>
          <w:color w:val="auto"/>
        </w:rPr>
      </w:pPr>
    </w:p>
    <w:p>
      <w:pPr>
        <w:ind w:left="825" w:right="3299" w:hanging="456"/>
        <w:spacing w:after="0" w:line="250" w:lineRule="auto"/>
        <w:tabs>
          <w:tab w:leader="none" w:pos="5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ind w:left="545" w:hanging="176"/>
        <w:spacing w:after="0"/>
        <w:tabs>
          <w:tab w:leader="none" w:pos="54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Proxy Statement</w:t>
      </w:r>
    </w:p>
    <w:p>
      <w:pPr>
        <w:spacing w:after="0" w:line="7" w:lineRule="exact"/>
        <w:rPr>
          <w:rFonts w:ascii="Courier New" w:cs="Courier New" w:eastAsia="Courier New" w:hAnsi="Courier New"/>
          <w:sz w:val="15"/>
          <w:szCs w:val="15"/>
          <w:color w:val="auto"/>
        </w:rPr>
      </w:pPr>
    </w:p>
    <w:p>
      <w:pPr>
        <w:ind w:left="545" w:hanging="176"/>
        <w:spacing w:after="0"/>
        <w:tabs>
          <w:tab w:leader="none" w:pos="54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7" w:lineRule="exact"/>
        <w:rPr>
          <w:rFonts w:ascii="Courier New" w:cs="Courier New" w:eastAsia="Courier New" w:hAnsi="Courier New"/>
          <w:sz w:val="15"/>
          <w:szCs w:val="15"/>
          <w:color w:val="auto"/>
        </w:rPr>
      </w:pPr>
    </w:p>
    <w:p>
      <w:pPr>
        <w:ind w:left="545" w:hanging="176"/>
        <w:spacing w:after="0"/>
        <w:tabs>
          <w:tab w:leader="none" w:pos="54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240.14a-11(c) or 240.14a-12</w:t>
      </w:r>
    </w:p>
    <w:p>
      <w:pPr>
        <w:spacing w:after="0" w:line="185"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HAWKINS CHEMICAL, INC.</w:t>
      </w:r>
    </w:p>
    <w:p>
      <w:pPr>
        <w:spacing w:after="0" w:line="8"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84"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5" w:lineRule="exact"/>
        <w:rPr>
          <w:sz w:val="24"/>
          <w:szCs w:val="24"/>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/X/</w:t>
        <w:tab/>
        <w:t>No fee required</w:t>
      </w:r>
    </w:p>
    <w:p>
      <w:pPr>
        <w:spacing w:after="0" w:line="185" w:lineRule="exact"/>
        <w:rPr>
          <w:sz w:val="24"/>
          <w:szCs w:val="24"/>
          <w:color w:val="auto"/>
        </w:rPr>
      </w:pPr>
    </w:p>
    <w:p>
      <w:pPr>
        <w:ind w:left="465" w:right="4039" w:hanging="465"/>
        <w:spacing w:after="0" w:line="253" w:lineRule="auto"/>
        <w:tabs>
          <w:tab w:leader="none" w:pos="1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4" w:lineRule="exact"/>
        <w:rPr>
          <w:rFonts w:ascii="Courier New" w:cs="Courier New" w:eastAsia="Courier New" w:hAnsi="Courier New"/>
          <w:sz w:val="15"/>
          <w:szCs w:val="15"/>
          <w:color w:val="auto"/>
        </w:rPr>
      </w:pPr>
    </w:p>
    <w:p>
      <w:pPr>
        <w:ind w:left="745" w:hanging="376"/>
        <w:spacing w:after="0"/>
        <w:tabs>
          <w:tab w:leader="none" w:pos="7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4" w:lineRule="exact"/>
        <w:rPr>
          <w:rFonts w:ascii="Courier New" w:cs="Courier New" w:eastAsia="Courier New" w:hAnsi="Courier New"/>
          <w:sz w:val="15"/>
          <w:szCs w:val="15"/>
          <w:color w:val="auto"/>
        </w:rPr>
      </w:pPr>
    </w:p>
    <w:p>
      <w:pPr>
        <w:ind w:left="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745" w:hanging="376"/>
        <w:spacing w:after="0"/>
        <w:tabs>
          <w:tab w:leader="none" w:pos="7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84" w:lineRule="exact"/>
        <w:rPr>
          <w:rFonts w:ascii="Courier New" w:cs="Courier New" w:eastAsia="Courier New" w:hAnsi="Courier New"/>
          <w:sz w:val="15"/>
          <w:szCs w:val="15"/>
          <w:color w:val="auto"/>
        </w:rPr>
      </w:pPr>
    </w:p>
    <w:p>
      <w:pPr>
        <w:ind w:left="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745" w:right="3119" w:hanging="376"/>
        <w:spacing w:after="0" w:line="252" w:lineRule="auto"/>
        <w:tabs>
          <w:tab w:leader="none" w:pos="7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4" w:lineRule="exact"/>
        <w:rPr>
          <w:rFonts w:ascii="Courier New" w:cs="Courier New" w:eastAsia="Courier New" w:hAnsi="Courier New"/>
          <w:sz w:val="15"/>
          <w:szCs w:val="15"/>
          <w:color w:val="auto"/>
        </w:rPr>
      </w:pPr>
    </w:p>
    <w:p>
      <w:pPr>
        <w:ind w:left="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745" w:hanging="376"/>
        <w:spacing w:after="0"/>
        <w:tabs>
          <w:tab w:leader="none" w:pos="7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4" w:lineRule="exact"/>
        <w:rPr>
          <w:rFonts w:ascii="Courier New" w:cs="Courier New" w:eastAsia="Courier New" w:hAnsi="Courier New"/>
          <w:sz w:val="15"/>
          <w:szCs w:val="15"/>
          <w:color w:val="auto"/>
        </w:rPr>
      </w:pPr>
    </w:p>
    <w:p>
      <w:pPr>
        <w:ind w:left="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745" w:hanging="376"/>
        <w:spacing w:after="0"/>
        <w:tabs>
          <w:tab w:leader="none" w:pos="7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4" w:lineRule="exact"/>
        <w:rPr>
          <w:rFonts w:ascii="Courier New" w:cs="Courier New" w:eastAsia="Courier New" w:hAnsi="Courier New"/>
          <w:sz w:val="15"/>
          <w:szCs w:val="15"/>
          <w:color w:val="auto"/>
        </w:rPr>
      </w:pPr>
    </w:p>
    <w:p>
      <w:pPr>
        <w:ind w:left="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84" w:lineRule="exact"/>
        <w:rPr>
          <w:rFonts w:ascii="Courier New" w:cs="Courier New" w:eastAsia="Courier New" w:hAnsi="Courier New"/>
          <w:sz w:val="15"/>
          <w:szCs w:val="15"/>
          <w:color w:val="auto"/>
        </w:rPr>
      </w:pPr>
    </w:p>
    <w:p>
      <w:pPr>
        <w:ind w:left="365" w:right="2939" w:hanging="365"/>
        <w:spacing w:after="0" w:line="251" w:lineRule="auto"/>
        <w:tabs>
          <w:tab w:leader="none" w:pos="1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Courier New" w:cs="Courier New" w:eastAsia="Courier New" w:hAnsi="Courier New"/>
          <w:sz w:val="15"/>
          <w:szCs w:val="15"/>
          <w:color w:val="auto"/>
        </w:rPr>
      </w:pPr>
    </w:p>
    <w:p>
      <w:pPr>
        <w:ind w:left="745" w:hanging="376"/>
        <w:spacing w:after="0"/>
        <w:tabs>
          <w:tab w:leader="none" w:pos="7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4" w:lineRule="exact"/>
        <w:rPr>
          <w:rFonts w:ascii="Courier New" w:cs="Courier New" w:eastAsia="Courier New" w:hAnsi="Courier New"/>
          <w:sz w:val="15"/>
          <w:szCs w:val="15"/>
          <w:color w:val="auto"/>
        </w:rPr>
      </w:pPr>
    </w:p>
    <w:p>
      <w:pPr>
        <w:ind w:left="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745" w:hanging="376"/>
        <w:spacing w:after="0"/>
        <w:tabs>
          <w:tab w:leader="none" w:pos="7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4" w:lineRule="exact"/>
        <w:rPr>
          <w:rFonts w:ascii="Courier New" w:cs="Courier New" w:eastAsia="Courier New" w:hAnsi="Courier New"/>
          <w:sz w:val="15"/>
          <w:szCs w:val="15"/>
          <w:color w:val="auto"/>
        </w:rPr>
      </w:pPr>
    </w:p>
    <w:p>
      <w:pPr>
        <w:ind w:left="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745" w:hanging="376"/>
        <w:spacing w:after="0"/>
        <w:tabs>
          <w:tab w:leader="none" w:pos="7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4" w:lineRule="exact"/>
        <w:rPr>
          <w:rFonts w:ascii="Courier New" w:cs="Courier New" w:eastAsia="Courier New" w:hAnsi="Courier New"/>
          <w:sz w:val="15"/>
          <w:szCs w:val="15"/>
          <w:color w:val="auto"/>
        </w:rPr>
      </w:pPr>
    </w:p>
    <w:p>
      <w:pPr>
        <w:ind w:left="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745" w:hanging="376"/>
        <w:spacing w:after="0"/>
        <w:tabs>
          <w:tab w:leader="none" w:pos="7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84" w:lineRule="exact"/>
        <w:rPr>
          <w:rFonts w:ascii="Courier New" w:cs="Courier New" w:eastAsia="Courier New" w:hAnsi="Courier New"/>
          <w:sz w:val="15"/>
          <w:szCs w:val="15"/>
          <w:color w:val="auto"/>
        </w:rPr>
      </w:pPr>
    </w:p>
    <w:p>
      <w:pPr>
        <w:ind w:left="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414" w:right="1440" w:bottom="1440" w:gutter="0" w:footer="0" w:header="0"/>
        </w:sectPr>
      </w:pPr>
    </w:p>
    <w:bookmarkStart w:id="1" w:name="page2"/>
    <w:bookmarkEnd w:id="1"/>
    <w:p>
      <w:pPr>
        <w:jc w:val="center"/>
        <w:ind w:right="2839"/>
        <w:spacing w:after="0"/>
        <w:rPr>
          <w:sz w:val="20"/>
          <w:szCs w:val="20"/>
          <w:color w:val="auto"/>
        </w:rPr>
      </w:pPr>
      <w:r>
        <w:rPr>
          <w:rFonts w:ascii="Courier New" w:cs="Courier New" w:eastAsia="Courier New" w:hAnsi="Courier New"/>
          <w:sz w:val="15"/>
          <w:szCs w:val="15"/>
          <w:color w:val="auto"/>
        </w:rPr>
        <w:t>[LOGO]</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HAWKINS CHEMICAL,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3100 EAST HENNEPIN AVENUE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MINNEAPOLIS, MINNESOTA 55413</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TO BE HELD</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FEBRUARY 12, 1997</w:t>
      </w:r>
    </w:p>
    <w:p>
      <w:pPr>
        <w:spacing w:after="0" w:line="185"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The annual meeting of shareholders of Hawkins Chemical, Inc. (the "Company") will be held at the Sheraton Minneapolis Metrodome, 1330 Industrial Boulevard, Minneapolis, Minnesota, on Wednesday, February 12, 1997, at 3:00 P.M., Central Standard Time, for the following purposes:</w:t>
      </w:r>
    </w:p>
    <w:p>
      <w:pPr>
        <w:spacing w:after="0" w:line="176" w:lineRule="exact"/>
        <w:rPr>
          <w:sz w:val="20"/>
          <w:szCs w:val="20"/>
          <w:color w:val="auto"/>
        </w:rPr>
      </w:pPr>
    </w:p>
    <w:p>
      <w:pPr>
        <w:ind w:left="740" w:hanging="376"/>
        <w:spacing w:after="0"/>
        <w:tabs>
          <w:tab w:leader="none" w:pos="7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ten directors.</w:t>
      </w:r>
    </w:p>
    <w:p>
      <w:pPr>
        <w:spacing w:after="0" w:line="184" w:lineRule="exact"/>
        <w:rPr>
          <w:rFonts w:ascii="Courier New" w:cs="Courier New" w:eastAsia="Courier New" w:hAnsi="Courier New"/>
          <w:sz w:val="15"/>
          <w:szCs w:val="15"/>
          <w:color w:val="auto"/>
        </w:rPr>
      </w:pPr>
    </w:p>
    <w:p>
      <w:pPr>
        <w:ind w:left="640" w:right="2939" w:hanging="276"/>
        <w:spacing w:after="0" w:line="253" w:lineRule="auto"/>
        <w:tabs>
          <w:tab w:leader="none" w:pos="73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act upon a proposal to ratify the selection of Deloitte &amp; Touche LLP as independent auditors of the Company for the current fiscal year.</w:t>
      </w:r>
    </w:p>
    <w:p>
      <w:pPr>
        <w:spacing w:after="0" w:line="174" w:lineRule="exact"/>
        <w:rPr>
          <w:rFonts w:ascii="Courier New" w:cs="Courier New" w:eastAsia="Courier New" w:hAnsi="Courier New"/>
          <w:sz w:val="15"/>
          <w:szCs w:val="15"/>
          <w:color w:val="auto"/>
        </w:rPr>
      </w:pPr>
    </w:p>
    <w:p>
      <w:pPr>
        <w:ind w:left="640" w:right="2939" w:hanging="276"/>
        <w:spacing w:after="0" w:line="253" w:lineRule="auto"/>
        <w:tabs>
          <w:tab w:leader="none" w:pos="73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pacing w:after="0" w:line="174"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The Board of Directors has fixed the close of business on January 3, 1997 as the record date for determining the shareholders entitled to vote at the annual meeting. Accordingly, only shareholders of record at the close of business on that date will be entitled to vote at the meeting. The Company's transfer books will not be closed.</w:t>
      </w:r>
    </w:p>
    <w:p>
      <w:pPr>
        <w:spacing w:after="0" w:line="176"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5"/>
          <w:szCs w:val="15"/>
          <w:color w:val="auto"/>
        </w:rPr>
        <w:t>Dated: January 8, 1997.</w:t>
      </w:r>
      <w:r>
        <w:rPr>
          <w:sz w:val="20"/>
          <w:szCs w:val="20"/>
          <w:color w:val="auto"/>
        </w:rPr>
        <w:tab/>
      </w: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JOHN R. HAWKINS, SECRETARY</w:t>
      </w:r>
    </w:p>
    <w:p>
      <w:pPr>
        <w:spacing w:after="0" w:line="18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IMPORTANT: TO ASSURE THE NECESSARY REPRESENTATION AT THE ANNUAL MEETING, YOU ARE URGED TO SIGN AND RETURN THE ENCLOSED PROXY PROMPTLY. THIS WILL NOT PREVENT YOU FROM VOTING IN PERSON IF YOU SO DESIRE.</w:t>
      </w:r>
    </w:p>
    <w:p>
      <w:pPr>
        <w:sectPr>
          <w:pgSz w:w="11900" w:h="16838" w:orient="portrait"/>
          <w:cols w:equalWidth="0" w:num="1">
            <w:col w:w="10219"/>
          </w:cols>
          <w:pgMar w:left="240" w:top="473" w:right="1440" w:bottom="1440" w:gutter="0" w:footer="0" w:header="0"/>
        </w:sectPr>
      </w:pPr>
    </w:p>
    <w:bookmarkStart w:id="2" w:name="page3"/>
    <w:bookmarkEnd w:id="2"/>
    <w:p>
      <w:pPr>
        <w:ind w:left="2940"/>
        <w:spacing w:after="0"/>
        <w:rPr>
          <w:sz w:val="20"/>
          <w:szCs w:val="20"/>
          <w:color w:val="auto"/>
        </w:rPr>
      </w:pPr>
      <w:r>
        <w:rPr>
          <w:rFonts w:ascii="Courier New" w:cs="Courier New" w:eastAsia="Courier New" w:hAnsi="Courier New"/>
          <w:sz w:val="15"/>
          <w:szCs w:val="15"/>
          <w:color w:val="auto"/>
        </w:rPr>
        <w:t>PROXY STATEMENT</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HAWKINS CHEMICAL,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3100 EAST HENNEPIN AVENUE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MINNEAPOLIS, MINNESOTA 55413</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JANUARY 8, 1997</w:t>
      </w:r>
    </w:p>
    <w:p>
      <w:pPr>
        <w:spacing w:after="0" w:line="185"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The following statement is furnished in connection with the solicitation of proxies by the Board of Directors of Hawkins Chemical, Inc. (the "Company") to be voted at the annual meeting of shareholders of the Company to be held on Wednesday, February 12, 1997, or at any adjournment or adjournments of such meeting. Distribution of this proxy statement and proxy to the shareholders began on or about January 8, 1997.</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SOLICITATION</w:t>
      </w:r>
    </w:p>
    <w:p>
      <w:pPr>
        <w:spacing w:after="0" w:line="185"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The cost of soliciting proxies and of the notices of the meeting, including the preparation, assembly and mailing of proxies and this statement, will be borne by the Company. In addition to the use of the mails, proxies may be solicited personally or by telephone or telegraph by regular employees of the Company. Furthermore, arrangements may be made with brokers, banks and similar organizations to send proxies and proxy materials to beneficial owners for voting instructions, for which the Company will reimburse such organizations for their expenses.</w:t>
      </w:r>
    </w:p>
    <w:p>
      <w:pPr>
        <w:spacing w:after="0" w:line="17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REVOCATION AND VOTING OF PROXY</w:t>
      </w:r>
    </w:p>
    <w:p>
      <w:pPr>
        <w:spacing w:after="0" w:line="185"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Any shareholder giving a proxy may revoke it prior to its use at the meeting by (1) delivering a written notice expressly revoking the proxy to the Secretary at the Company's offices, (2) signing and forwarding to the Company at its offices a later-dated proxy, or (3) attending the annual meeting and casting his or her votes personally.</w:t>
      </w:r>
    </w:p>
    <w:p>
      <w:pPr>
        <w:spacing w:after="0" w:line="176" w:lineRule="exact"/>
        <w:rPr>
          <w:sz w:val="20"/>
          <w:szCs w:val="20"/>
          <w:color w:val="auto"/>
        </w:rPr>
      </w:pPr>
    </w:p>
    <w:p>
      <w:pPr>
        <w:ind w:right="3119" w:firstLine="369"/>
        <w:spacing w:after="0" w:line="251" w:lineRule="auto"/>
        <w:rPr>
          <w:sz w:val="20"/>
          <w:szCs w:val="20"/>
          <w:color w:val="auto"/>
        </w:rPr>
      </w:pPr>
      <w:r>
        <w:rPr>
          <w:rFonts w:ascii="Courier New" w:cs="Courier New" w:eastAsia="Courier New" w:hAnsi="Courier New"/>
          <w:sz w:val="15"/>
          <w:szCs w:val="15"/>
          <w:color w:val="auto"/>
        </w:rPr>
        <w:t>Proxies will be voted in accordance with the choices specified by the shareholders by means of the ballot provided on the proxy. In the absence of such specification, the proxies will be voted "For" the nominees for director and the proposals set forth in the Notice of Annual Meeting.</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OUTSTANDING SHARES AND VOTING RIGHTS</w:t>
      </w:r>
    </w:p>
    <w:p>
      <w:pPr>
        <w:spacing w:after="0" w:line="185"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The record date for determining the shareholders entitled to vote at the annual meeting is January 3, 1997. As of the close of business on that date, there were outstanding 11,051,690 shares of common stock, par value $.05 per share, which is the only outstanding class of stock of the Company. Holders of common shares are entitled to one vote for each share held on the record date with respect to all matters that may be brought before the meeting. There is no cumulative voting for directors.</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5" w:lineRule="exact"/>
        <w:rPr>
          <w:sz w:val="20"/>
          <w:szCs w:val="20"/>
          <w:color w:val="auto"/>
        </w:rPr>
      </w:pPr>
    </w:p>
    <w:p>
      <w:pPr>
        <w:ind w:right="2939" w:firstLine="369"/>
        <w:spacing w:after="0" w:line="250" w:lineRule="auto"/>
        <w:rPr>
          <w:sz w:val="20"/>
          <w:szCs w:val="20"/>
          <w:color w:val="auto"/>
        </w:rPr>
      </w:pPr>
      <w:r>
        <w:rPr>
          <w:rFonts w:ascii="Courier New" w:cs="Courier New" w:eastAsia="Courier New" w:hAnsi="Courier New"/>
          <w:sz w:val="15"/>
          <w:szCs w:val="15"/>
          <w:color w:val="auto"/>
        </w:rPr>
        <w:t>Section 16(a) of the Securities Exchange Act of 1934 requires the Company's executive officers and directors to file initial reports of ownership and reports of changes in ownership of common stock of the Company with the Securities and Exchange Commission.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 executive officers and directors have been satisfied.</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3" w:right="1440" w:bottom="1440" w:gutter="0" w:footer="0" w:header="0"/>
        </w:sectPr>
      </w:pPr>
    </w:p>
    <w:bookmarkStart w:id="3" w:name="page4"/>
    <w:bookmarkEnd w:id="3"/>
    <w:p>
      <w:pPr>
        <w:jc w:val="center"/>
        <w:ind w:right="3035"/>
        <w:spacing w:after="0"/>
        <w:rPr>
          <w:sz w:val="20"/>
          <w:szCs w:val="20"/>
          <w:color w:val="auto"/>
        </w:rPr>
      </w:pPr>
      <w:r>
        <w:rPr>
          <w:rFonts w:ascii="Courier New" w:cs="Courier New" w:eastAsia="Courier New" w:hAnsi="Courier New"/>
          <w:sz w:val="15"/>
          <w:szCs w:val="15"/>
          <w:color w:val="auto"/>
        </w:rPr>
        <w:t>SECURITY OWNERSHIP OF MANAGEMENT</w:t>
      </w:r>
    </w:p>
    <w:p>
      <w:pPr>
        <w:spacing w:after="0" w:line="8" w:lineRule="exact"/>
        <w:rPr>
          <w:sz w:val="20"/>
          <w:szCs w:val="20"/>
          <w:color w:val="auto"/>
        </w:rPr>
      </w:pPr>
    </w:p>
    <w:p>
      <w:pPr>
        <w:jc w:val="center"/>
        <w:ind w:right="3035"/>
        <w:spacing w:after="0"/>
        <w:rPr>
          <w:sz w:val="20"/>
          <w:szCs w:val="20"/>
          <w:color w:val="auto"/>
        </w:rPr>
      </w:pPr>
      <w:r>
        <w:rPr>
          <w:rFonts w:ascii="Courier New" w:cs="Courier New" w:eastAsia="Courier New" w:hAnsi="Courier New"/>
          <w:sz w:val="15"/>
          <w:szCs w:val="15"/>
          <w:color w:val="auto"/>
        </w:rPr>
        <w:t>AND BENEFICIAL OWNERSHIP</w:t>
      </w:r>
    </w:p>
    <w:p>
      <w:pPr>
        <w:spacing w:after="0" w:line="185" w:lineRule="exact"/>
        <w:rPr>
          <w:sz w:val="20"/>
          <w:szCs w:val="20"/>
          <w:color w:val="auto"/>
        </w:rPr>
      </w:pPr>
    </w:p>
    <w:p>
      <w:pPr>
        <w:ind w:left="5" w:right="3040" w:firstLine="369"/>
        <w:spacing w:after="0" w:line="251" w:lineRule="auto"/>
        <w:rPr>
          <w:sz w:val="20"/>
          <w:szCs w:val="20"/>
          <w:color w:val="auto"/>
        </w:rPr>
      </w:pPr>
      <w:r>
        <w:rPr>
          <w:rFonts w:ascii="Courier New" w:cs="Courier New" w:eastAsia="Courier New" w:hAnsi="Courier New"/>
          <w:sz w:val="15"/>
          <w:szCs w:val="15"/>
          <w:color w:val="auto"/>
        </w:rPr>
        <w:t>The following table contains information as of November 30, 1996 concerning the beneficial ownership of the Company's common shares by all directors and nominees, by all current directors and officers as a group, and by persons known to the Company to beneficially own more than 5% of its common shares.</w:t>
      </w:r>
    </w:p>
    <w:p>
      <w:pPr>
        <w:spacing w:after="0" w:line="200" w:lineRule="exact"/>
        <w:rPr>
          <w:sz w:val="20"/>
          <w:szCs w:val="20"/>
          <w:color w:val="auto"/>
        </w:rPr>
      </w:pPr>
    </w:p>
    <w:p>
      <w:pPr>
        <w:spacing w:after="0" w:line="33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76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PERCENT OF</w:t>
            </w: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SHARES(a)</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CLASS</w:t>
            </w: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7660" w:type="dxa"/>
            <w:vAlign w:val="bottom"/>
          </w:tcPr>
          <w:p>
            <w:pPr>
              <w:spacing w:after="0"/>
              <w:rPr>
                <w:sz w:val="20"/>
                <w:szCs w:val="20"/>
                <w:color w:val="auto"/>
              </w:rPr>
            </w:pPr>
            <w:r>
              <w:rPr>
                <w:rFonts w:ascii="Courier New" w:cs="Courier New" w:eastAsia="Courier New" w:hAnsi="Courier New"/>
                <w:sz w:val="15"/>
                <w:szCs w:val="15"/>
                <w:color w:val="auto"/>
              </w:rPr>
              <w:t>Howard J. Hawkins...............................................................</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617,305(b)</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w:t>
            </w: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3100 East Hennepin Avenue</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Minneapolis, MN 55413</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Norman P. Anderson..............................................................</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435,659</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w:t>
            </w: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225 Holly Road</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Hopkins, MN 55343</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Carl J. Ahlgren.................................................................</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121,591(c)</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w:t>
            </w: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Howard M. Hawkins...............................................................</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213,087(d)</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w:t>
            </w: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Dean L. Hahn....................................................................</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97,627(e)</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0.9%</w:t>
            </w: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Donald L. Shipp.................................................................</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124,514(f)</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w:t>
            </w: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John R. Hawkins.................................................................</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74,753(g)</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0.7%</w:t>
            </w: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John S. McKeon..................................................................</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12,979(h)</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0.1%</w:t>
            </w: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S. Albert Diez Hanser...........................................................</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7,687</w:t>
            </w:r>
          </w:p>
        </w:tc>
        <w:tc>
          <w:tcPr>
            <w:tcW w:w="13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Duane Jergenson.................................................................</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951</w:t>
            </w:r>
          </w:p>
        </w:tc>
        <w:tc>
          <w:tcPr>
            <w:tcW w:w="13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All current directors and officers as a group (12 persons)......................</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1,706,153(i)</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15.4%</w:t>
            </w: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Trustees, Hawkins Chemical, Inc.</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Employee Stock Ownership Plan and Trust.......................................</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2,374,349(j)</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21.5%</w:t>
            </w: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3100 East Hennepin Avenue</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Minneapolis, MN 55413</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7660" w:type="dxa"/>
            <w:vAlign w:val="bottom"/>
          </w:tcPr>
          <w:p>
            <w:pPr>
              <w:spacing w:after="0"/>
              <w:rPr>
                <w:sz w:val="20"/>
                <w:szCs w:val="20"/>
                <w:color w:val="auto"/>
              </w:rPr>
            </w:pPr>
            <w:r>
              <w:rPr>
                <w:rFonts w:ascii="Courier New" w:cs="Courier New" w:eastAsia="Courier New" w:hAnsi="Courier New"/>
                <w:sz w:val="15"/>
                <w:szCs w:val="15"/>
                <w:color w:val="auto"/>
              </w:rPr>
              <w:t>Trustees, Hawkins Chemical, Inc.</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Money Purchase Pension Plan and Trust.........................................</w:t>
            </w:r>
          </w:p>
        </w:tc>
        <w:tc>
          <w:tcPr>
            <w:tcW w:w="1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75,285(j)</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0.9%</w:t>
            </w: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3100 East Hennepin Avenue</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7660" w:type="dxa"/>
            <w:vAlign w:val="bottom"/>
          </w:tcPr>
          <w:p>
            <w:pPr>
              <w:ind w:left="180"/>
              <w:spacing w:after="0"/>
              <w:rPr>
                <w:sz w:val="20"/>
                <w:szCs w:val="20"/>
                <w:color w:val="auto"/>
              </w:rPr>
            </w:pPr>
            <w:r>
              <w:rPr>
                <w:rFonts w:ascii="Courier New" w:cs="Courier New" w:eastAsia="Courier New" w:hAnsi="Courier New"/>
                <w:sz w:val="15"/>
                <w:szCs w:val="15"/>
                <w:color w:val="auto"/>
              </w:rPr>
              <w:t>Minneapolis, MN 55413</w:t>
            </w: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360" w:lineRule="exact"/>
        <w:rPr>
          <w:sz w:val="20"/>
          <w:szCs w:val="20"/>
          <w:color w:val="auto"/>
        </w:rPr>
      </w:pPr>
    </w:p>
    <w:p>
      <w:pPr>
        <w:ind w:left="185" w:hanging="185"/>
        <w:spacing w:after="0"/>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0.1%</w:t>
      </w:r>
    </w:p>
    <w:p>
      <w:pPr>
        <w:spacing w:after="0" w:line="185" w:lineRule="exact"/>
        <w:rPr>
          <w:sz w:val="20"/>
          <w:szCs w:val="20"/>
          <w:color w:val="auto"/>
        </w:rPr>
      </w:pPr>
    </w:p>
    <w:p>
      <w:pPr>
        <w:ind w:left="365" w:right="3140" w:hanging="365"/>
        <w:spacing w:after="0" w:line="253" w:lineRule="auto"/>
        <w:tabs>
          <w:tab w:leader="none" w:pos="36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all shares shown are held by individuals possessing sole voting and investment power with respect to such shares.</w:t>
      </w:r>
    </w:p>
    <w:p>
      <w:pPr>
        <w:spacing w:after="0" w:line="174" w:lineRule="exact"/>
        <w:rPr>
          <w:rFonts w:ascii="Courier New" w:cs="Courier New" w:eastAsia="Courier New" w:hAnsi="Courier New"/>
          <w:sz w:val="15"/>
          <w:szCs w:val="15"/>
          <w:color w:val="auto"/>
        </w:rPr>
      </w:pPr>
    </w:p>
    <w:p>
      <w:pPr>
        <w:ind w:left="365" w:right="3040" w:hanging="365"/>
        <w:spacing w:after="0" w:line="251" w:lineRule="auto"/>
        <w:tabs>
          <w:tab w:leader="none" w:pos="36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182,539 shares owned by the wife of Howard J. Hawkins as to which Mr. Hawkins may be deemed to share voting and investment power, but as to which he disclaims beneficial ownership, as well as 31,821 shares that Mr. Hawkins holds jointly with his wife as to which he shares voting and investment power. Does not include shares representing the beneficial interest of Mr. Hawkins as of November 30, 1996 in the Company's Employee Stock Ownership Plan (145,538 shares) and Money Purchase Pension Plan (2,420 shares).</w:t>
      </w:r>
    </w:p>
    <w:p>
      <w:pPr>
        <w:spacing w:after="0" w:line="175" w:lineRule="exact"/>
        <w:rPr>
          <w:rFonts w:ascii="Courier New" w:cs="Courier New" w:eastAsia="Courier New" w:hAnsi="Courier New"/>
          <w:sz w:val="15"/>
          <w:szCs w:val="15"/>
          <w:color w:val="auto"/>
        </w:rPr>
      </w:pPr>
    </w:p>
    <w:p>
      <w:pPr>
        <w:ind w:left="365" w:right="3040" w:hanging="365"/>
        <w:spacing w:after="0" w:line="251" w:lineRule="auto"/>
        <w:tabs>
          <w:tab w:leader="none" w:pos="36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54,539 shares held in trust for the benefit of Mr. Ahlgren's wife as to which Mr. Ahlgren disclaims beneficial ownership, and 43,282 shares held in trust as to which Mr. Ahlgren shares voting and investment power, as well as 2,022 shares Mr. Ahlgren holds jointly with his wife as to which he shares voting and investment power.</w:t>
      </w:r>
    </w:p>
    <w:p>
      <w:pPr>
        <w:spacing w:after="0" w:line="176" w:lineRule="exact"/>
        <w:rPr>
          <w:rFonts w:ascii="Courier New" w:cs="Courier New" w:eastAsia="Courier New" w:hAnsi="Courier New"/>
          <w:sz w:val="15"/>
          <w:szCs w:val="15"/>
          <w:color w:val="auto"/>
        </w:rPr>
      </w:pPr>
    </w:p>
    <w:p>
      <w:pPr>
        <w:ind w:left="365" w:right="3040" w:hanging="365"/>
        <w:spacing w:after="0" w:line="251" w:lineRule="auto"/>
        <w:tabs>
          <w:tab w:leader="none" w:pos="36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54,680 shares held by Howard M. Hawkins as custodian for his minor child as to which Mr. Hawkins has full voting and investment power, but as to which he disclaims beneficial ownership; 3,234 shares held by the wife of Mr. Hawkins as to which he may be deemed to share voting and investment power, but as to which he disclaims beneficial ownership; and 93,098 shares that</w:t>
      </w:r>
    </w:p>
    <w:p>
      <w:pPr>
        <w:spacing w:after="0" w:line="35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425"/>
          </w:cols>
          <w:pgMar w:left="235" w:top="473" w:right="1239" w:bottom="1440" w:gutter="0" w:footer="0" w:header="0"/>
        </w:sectPr>
      </w:pPr>
    </w:p>
    <w:bookmarkStart w:id="4" w:name="page5"/>
    <w:bookmarkEnd w:id="4"/>
    <w:p>
      <w:pPr>
        <w:ind w:left="365" w:right="2839"/>
        <w:spacing w:after="0" w:line="251" w:lineRule="auto"/>
        <w:rPr>
          <w:sz w:val="20"/>
          <w:szCs w:val="20"/>
          <w:color w:val="auto"/>
        </w:rPr>
      </w:pPr>
      <w:r>
        <w:rPr>
          <w:rFonts w:ascii="Courier New" w:cs="Courier New" w:eastAsia="Courier New" w:hAnsi="Courier New"/>
          <w:sz w:val="15"/>
          <w:szCs w:val="15"/>
          <w:color w:val="auto"/>
        </w:rPr>
        <w:t>Mr. Hawkins holds jointly with his wife as to which he shares voting and investment power. Does not include shares representing the beneficial interest of Mr. Hawkins as of November 30, 1996 in the Company's Employee Stock Ownership Plan (113,267 shares) and Money Purchase Pension Plan (3,062 shares).</w:t>
      </w:r>
    </w:p>
    <w:p>
      <w:pPr>
        <w:spacing w:after="0" w:line="176" w:lineRule="exact"/>
        <w:rPr>
          <w:sz w:val="20"/>
          <w:szCs w:val="20"/>
          <w:color w:val="auto"/>
        </w:rPr>
      </w:pPr>
    </w:p>
    <w:p>
      <w:pPr>
        <w:ind w:left="365" w:right="2839" w:hanging="365"/>
        <w:spacing w:after="0" w:line="251"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12,240 shares that Mr. Hahn holds jointly with his wife as to which he shares voting and investment power. Does not include shares representing Mr. Hahn's beneficial interest as of November 30, 1996 in the Company's Employee Stock Ownership Plan (186,766 shares) and Money Purchase Pension Plan (6,143 shares).</w:t>
      </w:r>
    </w:p>
    <w:p>
      <w:pPr>
        <w:spacing w:after="0" w:line="176" w:lineRule="exact"/>
        <w:rPr>
          <w:rFonts w:ascii="Courier New" w:cs="Courier New" w:eastAsia="Courier New" w:hAnsi="Courier New"/>
          <w:sz w:val="15"/>
          <w:szCs w:val="15"/>
          <w:color w:val="auto"/>
        </w:rPr>
      </w:pPr>
    </w:p>
    <w:p>
      <w:pPr>
        <w:ind w:left="365" w:right="2939" w:hanging="365"/>
        <w:spacing w:after="0" w:line="251"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115,652 shares held by Mr. Shipp jointly with his wife as to which he shares voting and investment power. Does not include shares representing Mr. Shipp's beneficial interest as of November 30, 1996 in the Company's Employee Stock Ownership Plan (162,100 shares) and Money Purchase Pension Plan (5,176 shares).</w:t>
      </w:r>
    </w:p>
    <w:p>
      <w:pPr>
        <w:spacing w:after="0" w:line="176" w:lineRule="exact"/>
        <w:rPr>
          <w:rFonts w:ascii="Courier New" w:cs="Courier New" w:eastAsia="Courier New" w:hAnsi="Courier New"/>
          <w:sz w:val="15"/>
          <w:szCs w:val="15"/>
          <w:color w:val="auto"/>
        </w:rPr>
      </w:pPr>
    </w:p>
    <w:p>
      <w:pPr>
        <w:ind w:left="365" w:right="2839" w:hanging="365"/>
        <w:spacing w:after="0" w:line="251"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39,400 shares held by John Hawkins as custodian for one minor child as to which he has sole voting and investment power, but as to which he disclaims beneficial ownership, as well as 2,247 shares held by Mr. Hawkins jointly with his wife as to which he shares voting and investment power. Does not include shares representing the beneficial interest of Mr. Hawkins as of November 30, 1996 in the Company's Employee Stock Ownership Plan (107,113 shares) and Money Purchase Pension Plan (2,591 shares).</w:t>
      </w:r>
    </w:p>
    <w:p>
      <w:pPr>
        <w:spacing w:after="0" w:line="175" w:lineRule="exact"/>
        <w:rPr>
          <w:rFonts w:ascii="Courier New" w:cs="Courier New" w:eastAsia="Courier New" w:hAnsi="Courier New"/>
          <w:sz w:val="15"/>
          <w:szCs w:val="15"/>
          <w:color w:val="auto"/>
        </w:rPr>
      </w:pPr>
    </w:p>
    <w:p>
      <w:pPr>
        <w:jc w:val="both"/>
        <w:ind w:left="365" w:right="2839" w:hanging="365"/>
        <w:spacing w:after="0" w:line="252"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1,007 shares held by Mr. McKeon as custodian for his minor children as to which Mr. McKeon has sole voting and investment power, but as to which he disclaims beneficial ownership.</w:t>
      </w:r>
    </w:p>
    <w:p>
      <w:pPr>
        <w:spacing w:after="0" w:line="174" w:lineRule="exact"/>
        <w:rPr>
          <w:rFonts w:ascii="Courier New" w:cs="Courier New" w:eastAsia="Courier New" w:hAnsi="Courier New"/>
          <w:sz w:val="15"/>
          <w:szCs w:val="15"/>
          <w:color w:val="auto"/>
        </w:rPr>
      </w:pPr>
    </w:p>
    <w:p>
      <w:pPr>
        <w:ind w:left="365" w:right="2839" w:hanging="365"/>
        <w:spacing w:after="0" w:line="250"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8,001 of the shares owned by an officer who is not also a director or nominee are held by that officer jointly with his wife as to which he shares voting and investment power. Not included in the total are shares representing the beneficial ownership of such officer as of November 30, 1996 in the Company's Employee Stock Ownership Plan (61,984 shares) and Money Purchase Pension Plan (2,159 shares). 22,365 of the shares owned by an officer who is not also a director or nominee are held by that officer directly. Not included in the total are shares representing the beneficial ownership of such officer as of November 30, 1996 in the Company's Employee Stock Ownership Plan (2,584 shares) and Money Purchase Pension Plan (154).</w:t>
      </w:r>
    </w:p>
    <w:p>
      <w:pPr>
        <w:spacing w:after="0" w:line="181" w:lineRule="exact"/>
        <w:rPr>
          <w:rFonts w:ascii="Courier New" w:cs="Courier New" w:eastAsia="Courier New" w:hAnsi="Courier New"/>
          <w:sz w:val="15"/>
          <w:szCs w:val="15"/>
          <w:color w:val="auto"/>
        </w:rPr>
      </w:pPr>
    </w:p>
    <w:p>
      <w:pPr>
        <w:ind w:left="365" w:right="2839" w:hanging="365"/>
        <w:spacing w:after="0" w:line="250"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trustees of the Hawkins Chemical, Inc. Employee Stock Ownership Plan and Trust and of the Hawkins Chemical, Inc. Money Purchase Pension Plan and Trust are Howard J. Hawkins, Dean L. Hahn, Donald L. Shipp, Howard M.</w:t>
      </w:r>
    </w:p>
    <w:p>
      <w:pPr>
        <w:spacing w:after="0" w:line="1" w:lineRule="exact"/>
        <w:rPr>
          <w:rFonts w:ascii="Courier New" w:cs="Courier New" w:eastAsia="Courier New" w:hAnsi="Courier New"/>
          <w:sz w:val="15"/>
          <w:szCs w:val="15"/>
          <w:color w:val="auto"/>
        </w:rPr>
      </w:pPr>
    </w:p>
    <w:p>
      <w:pPr>
        <w:ind w:left="36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Hawkins, and John R. Hawkins. Although these individuals could be deemed to "beneficially own" all of the shares held by these Plans because of their shared voting and investment power with respect to those shares, they have not been included in the share ownership figures listed above for these individuals or for all current directors and officers as a group. Voting rights as to shares of the Company's stock are passed through to participants under the Employee Stock Ownership Plan, but not under the Money Purchase Pension Plan.</w:t>
      </w:r>
    </w:p>
    <w:p>
      <w:pPr>
        <w:spacing w:after="0" w:line="17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PROPOSALS TO BE ACTED UPON AT THE ANNUAL MEETING</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1. ELECTION OF DIRECTORS</w:t>
      </w:r>
    </w:p>
    <w:p>
      <w:pPr>
        <w:spacing w:after="0" w:line="185" w:lineRule="exact"/>
        <w:rPr>
          <w:sz w:val="20"/>
          <w:szCs w:val="20"/>
          <w:color w:val="auto"/>
        </w:rPr>
      </w:pPr>
    </w:p>
    <w:p>
      <w:pPr>
        <w:ind w:left="5" w:right="2839" w:firstLine="369"/>
        <w:spacing w:after="0" w:line="251" w:lineRule="auto"/>
        <w:rPr>
          <w:sz w:val="20"/>
          <w:szCs w:val="20"/>
          <w:color w:val="auto"/>
        </w:rPr>
      </w:pPr>
      <w:r>
        <w:rPr>
          <w:rFonts w:ascii="Courier New" w:cs="Courier New" w:eastAsia="Courier New" w:hAnsi="Courier New"/>
          <w:sz w:val="15"/>
          <w:szCs w:val="15"/>
          <w:color w:val="auto"/>
        </w:rPr>
        <w:t>At the forthcoming annual meeting, ten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 or by proxy). Proxies will be voted for the election of all nominees unless you direct otherwise. Should any nominee decline or be unable to accept such nomination or to serve as director (an event which</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473" w:right="1440" w:bottom="1440" w:gutter="0" w:footer="0" w:header="0"/>
        </w:sectPr>
      </w:pPr>
    </w:p>
    <w:bookmarkStart w:id="5" w:name="page6"/>
    <w:bookmarkEnd w:id="5"/>
    <w:p>
      <w:pPr>
        <w:ind w:right="1740"/>
        <w:spacing w:after="0" w:line="252" w:lineRule="auto"/>
        <w:rPr>
          <w:sz w:val="20"/>
          <w:szCs w:val="20"/>
          <w:color w:val="auto"/>
        </w:rPr>
      </w:pPr>
      <w:r>
        <w:rPr>
          <w:rFonts w:ascii="Courier New" w:cs="Courier New" w:eastAsia="Courier New" w:hAnsi="Courier New"/>
          <w:sz w:val="15"/>
          <w:szCs w:val="15"/>
          <w:color w:val="auto"/>
        </w:rPr>
        <w:t>management does not now expect to occur), proxies will be voted for a substitute nominee or nominees in accordance with the best judgment of the person or persons acting under them.</w:t>
      </w:r>
    </w:p>
    <w:p>
      <w:pPr>
        <w:spacing w:after="0" w:line="175" w:lineRule="exact"/>
        <w:rPr>
          <w:sz w:val="20"/>
          <w:szCs w:val="20"/>
          <w:color w:val="auto"/>
        </w:rPr>
      </w:pPr>
    </w:p>
    <w:p>
      <w:pPr>
        <w:ind w:right="1920" w:firstLine="369"/>
        <w:spacing w:after="0" w:line="251" w:lineRule="auto"/>
        <w:rPr>
          <w:sz w:val="20"/>
          <w:szCs w:val="20"/>
          <w:color w:val="auto"/>
        </w:rPr>
      </w:pPr>
      <w:r>
        <w:rPr>
          <w:rFonts w:ascii="Courier New" w:cs="Courier New" w:eastAsia="Courier New" w:hAnsi="Courier New"/>
          <w:sz w:val="15"/>
          <w:szCs w:val="15"/>
          <w:color w:val="auto"/>
        </w:rPr>
        <w:t>All nominees are now directors of the Company and have served continuously since the year indicated below. The principal occupation or employment of each nominee is set forth below; all occupations are with the Company unless otherwise noted.</w:t>
      </w:r>
    </w:p>
    <w:p>
      <w:pPr>
        <w:spacing w:after="0" w:line="200" w:lineRule="exact"/>
        <w:rPr>
          <w:sz w:val="20"/>
          <w:szCs w:val="20"/>
          <w:color w:val="auto"/>
        </w:rPr>
      </w:pPr>
    </w:p>
    <w:p>
      <w:pPr>
        <w:spacing w:after="0" w:line="331"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PRINCIPAL OCCUPATION</w:t>
      </w:r>
    </w:p>
    <w:p>
      <w:pPr>
        <w:spacing w:after="0" w:line="8" w:lineRule="exact"/>
        <w:rPr>
          <w:sz w:val="20"/>
          <w:szCs w:val="20"/>
          <w:color w:val="auto"/>
        </w:rPr>
      </w:pPr>
    </w:p>
    <w:p>
      <w:pPr>
        <w:spacing w:after="0"/>
        <w:tabs>
          <w:tab w:leader="none" w:pos="5520" w:val="left"/>
        </w:tabs>
        <w:rPr>
          <w:sz w:val="20"/>
          <w:szCs w:val="20"/>
          <w:color w:val="auto"/>
        </w:rPr>
      </w:pPr>
      <w:r>
        <w:rPr>
          <w:rFonts w:ascii="Courier New" w:cs="Courier New" w:eastAsia="Courier New" w:hAnsi="Courier New"/>
          <w:sz w:val="15"/>
          <w:szCs w:val="15"/>
          <w:color w:val="auto"/>
        </w:rPr>
        <w:t>NOMINEE</w:t>
      </w:r>
      <w:r>
        <w:rPr>
          <w:sz w:val="20"/>
          <w:szCs w:val="20"/>
          <w:color w:val="auto"/>
        </w:rPr>
        <w:tab/>
      </w:r>
      <w:r>
        <w:rPr>
          <w:rFonts w:ascii="Courier New" w:cs="Courier New" w:eastAsia="Courier New" w:hAnsi="Courier New"/>
          <w:sz w:val="15"/>
          <w:szCs w:val="15"/>
          <w:color w:val="auto"/>
        </w:rPr>
        <w:t>AND EMPLOYMENT</w:t>
      </w:r>
    </w:p>
    <w:p>
      <w:pPr>
        <w:spacing w:after="0" w:line="8"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5"/>
          <w:szCs w:val="15"/>
          <w:color w:val="auto"/>
        </w:rPr>
        <w:t>- ------------------------------------</w:t>
        <w:tab/>
        <w:t>-----------------------------------------------------------</w:t>
      </w:r>
    </w:p>
    <w:p>
      <w:pPr>
        <w:spacing w:after="0" w:line="185"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Howard J. Hawkins...................</w:t>
        <w:tab/>
        <w:t>Chairman Emeritus since 1996; Chairman of the Board from</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1964 to 1996; Chief Executive Officer from 1987 to 1996.</w:t>
      </w:r>
    </w:p>
    <w:p>
      <w:pPr>
        <w:spacing w:after="0" w:line="185"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Dean L. Hahn........................</w:t>
        <w:tab/>
        <w:t>Chairman of the Board and Chief Executive Officer since</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1996; President from 1983 to 1996.</w:t>
      </w:r>
    </w:p>
    <w:p>
      <w:pPr>
        <w:spacing w:after="0" w:line="185"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Donald L. Shipp.....................</w:t>
        <w:tab/>
        <w:t>President since 1996; Executive Vice President from 1983 to</w:t>
      </w:r>
    </w:p>
    <w:p>
      <w:pPr>
        <w:spacing w:after="0" w:line="8" w:lineRule="exact"/>
        <w:rPr>
          <w:sz w:val="20"/>
          <w:szCs w:val="20"/>
          <w:color w:val="auto"/>
        </w:rPr>
      </w:pPr>
    </w:p>
    <w:p>
      <w:pPr>
        <w:ind w:left="3500" w:right="360"/>
        <w:spacing w:after="0" w:line="253" w:lineRule="auto"/>
        <w:rPr>
          <w:sz w:val="20"/>
          <w:szCs w:val="20"/>
          <w:color w:val="auto"/>
        </w:rPr>
      </w:pPr>
      <w:r>
        <w:rPr>
          <w:rFonts w:ascii="Courier New" w:cs="Courier New" w:eastAsia="Courier New" w:hAnsi="Courier New"/>
          <w:sz w:val="15"/>
          <w:szCs w:val="15"/>
          <w:color w:val="auto"/>
        </w:rPr>
        <w:t>1996; President of Feed-Rite Controls, Inc., a subsidiary of the Company, since 1967.</w:t>
      </w:r>
    </w:p>
    <w:p>
      <w:pPr>
        <w:spacing w:after="0" w:line="174"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Carl J. Ahlgren.....................</w:t>
        <w:tab/>
        <w:t>Retired; Vice President 1970 - February 1991; Secretary</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1961 - February 1991.</w:t>
      </w:r>
    </w:p>
    <w:p>
      <w:pPr>
        <w:spacing w:after="0" w:line="185"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Howard M. Hawkins...................</w:t>
        <w:tab/>
        <w:t>Treasurer since 1973.</w:t>
      </w:r>
    </w:p>
    <w:p>
      <w:pPr>
        <w:spacing w:after="0" w:line="185"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John R. Hawkins.....................</w:t>
        <w:tab/>
        <w:t>Vice President of Sales since 1987; Secretary since</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February 1991; Sales Manager 1985 - 1987.</w:t>
      </w:r>
    </w:p>
    <w:p>
      <w:pPr>
        <w:spacing w:after="0" w:line="185"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Norman P. Anderson..................</w:t>
        <w:tab/>
        <w:t>Retired; President 1964 - 1983.</w:t>
      </w:r>
    </w:p>
    <w:p>
      <w:pPr>
        <w:spacing w:after="0" w:line="185"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John S. McKeon......................</w:t>
        <w:tab/>
        <w:t>President of Golden Valley Microwave Foods, Inc. since</w:t>
      </w:r>
    </w:p>
    <w:p>
      <w:pPr>
        <w:spacing w:after="0" w:line="8" w:lineRule="exact"/>
        <w:rPr>
          <w:sz w:val="20"/>
          <w:szCs w:val="20"/>
          <w:color w:val="auto"/>
        </w:rPr>
      </w:pPr>
    </w:p>
    <w:p>
      <w:pPr>
        <w:ind w:left="3500" w:right="460"/>
        <w:spacing w:after="0" w:line="252" w:lineRule="auto"/>
        <w:rPr>
          <w:sz w:val="20"/>
          <w:szCs w:val="20"/>
          <w:color w:val="auto"/>
        </w:rPr>
      </w:pPr>
      <w:r>
        <w:rPr>
          <w:rFonts w:ascii="Courier New" w:cs="Courier New" w:eastAsia="Courier New" w:hAnsi="Courier New"/>
          <w:sz w:val="15"/>
          <w:szCs w:val="15"/>
          <w:color w:val="auto"/>
        </w:rPr>
        <w:t>August 1993; President of McKeon Associates, Inc. 1991 - 1993 (corporate finance consulting); Vice President of Northstar Industries, Inc. 1976 - 1990.</w:t>
      </w:r>
    </w:p>
    <w:p>
      <w:pPr>
        <w:spacing w:after="0" w:line="175"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S. Albert Diez Hanser...............</w:t>
        <w:tab/>
        <w:t>Acting Chief Executive Officer and President of Astrocom</w:t>
      </w:r>
    </w:p>
    <w:p>
      <w:pPr>
        <w:spacing w:after="0" w:line="8" w:lineRule="exact"/>
        <w:rPr>
          <w:sz w:val="20"/>
          <w:szCs w:val="20"/>
          <w:color w:val="auto"/>
        </w:rPr>
      </w:pPr>
    </w:p>
    <w:p>
      <w:pPr>
        <w:ind w:left="3500" w:right="260"/>
        <w:spacing w:after="0" w:line="252" w:lineRule="auto"/>
        <w:rPr>
          <w:sz w:val="20"/>
          <w:szCs w:val="20"/>
          <w:color w:val="auto"/>
        </w:rPr>
      </w:pPr>
      <w:r>
        <w:rPr>
          <w:rFonts w:ascii="Courier New" w:cs="Courier New" w:eastAsia="Courier New" w:hAnsi="Courier New"/>
          <w:sz w:val="15"/>
          <w:szCs w:val="15"/>
          <w:color w:val="auto"/>
        </w:rPr>
        <w:t>Corporation since 1993; Director of Astrocom Corporation since 1991; Chairman of Hanrow Financial Group, Ltd. since May, 1989.</w:t>
      </w:r>
    </w:p>
    <w:p>
      <w:pPr>
        <w:spacing w:after="0" w:line="175"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Duane Jergenson.....................</w:t>
        <w:tab/>
        <w:t>Vice President, Operations of Taylor Corporation since</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1985.</w:t>
      </w:r>
    </w:p>
    <w:p>
      <w:pPr>
        <w:spacing w:after="0" w:line="362" w:lineRule="exact"/>
        <w:rPr>
          <w:sz w:val="20"/>
          <w:szCs w:val="20"/>
          <w:color w:val="auto"/>
        </w:rPr>
      </w:pPr>
    </w:p>
    <w:p>
      <w:pPr>
        <w:ind w:right="1740" w:firstLine="369"/>
        <w:spacing w:after="0" w:line="250" w:lineRule="auto"/>
        <w:rPr>
          <w:sz w:val="20"/>
          <w:szCs w:val="20"/>
          <w:color w:val="auto"/>
        </w:rPr>
      </w:pPr>
      <w:r>
        <w:rPr>
          <w:rFonts w:ascii="Courier New" w:cs="Courier New" w:eastAsia="Courier New" w:hAnsi="Courier New"/>
          <w:sz w:val="15"/>
          <w:szCs w:val="15"/>
          <w:color w:val="auto"/>
        </w:rPr>
        <w:t>As described above, Messrs. Hahn, Shipp, and Howard M., and John R. Hawkins also serve as executive officers of the Company. The only other executive officers are Jon C. Eaton, who became Vice President in Charge of Terminal Operations in 1988 and John H. Michel, who was named Vice President in charge of the Industrial Chemical &amp; Equipment Division in 1993. Mr. Michel joined the Company in 1993 following the Company's acquisition of substantially all of the assets of Industrial Chemical &amp; Equipment Co.; Mr. Michel was previously President of Industrial Chemical &amp; Equipment Co. Executive officers are elected to serve until the next annual meeting of the Board of Directors or until their successors are elected and qualify.</w:t>
      </w:r>
    </w:p>
    <w:p>
      <w:pPr>
        <w:spacing w:after="0" w:line="182" w:lineRule="exact"/>
        <w:rPr>
          <w:sz w:val="20"/>
          <w:szCs w:val="20"/>
          <w:color w:val="auto"/>
        </w:rPr>
      </w:pPr>
    </w:p>
    <w:p>
      <w:pPr>
        <w:jc w:val="both"/>
        <w:ind w:right="2120" w:firstLine="369"/>
        <w:spacing w:after="0" w:line="252" w:lineRule="auto"/>
        <w:rPr>
          <w:sz w:val="20"/>
          <w:szCs w:val="20"/>
          <w:color w:val="auto"/>
        </w:rPr>
      </w:pPr>
      <w:r>
        <w:rPr>
          <w:rFonts w:ascii="Courier New" w:cs="Courier New" w:eastAsia="Courier New" w:hAnsi="Courier New"/>
          <w:sz w:val="15"/>
          <w:szCs w:val="15"/>
          <w:color w:val="auto"/>
        </w:rPr>
        <w:t>There is no family relationship between any officers or directors of the Company except that Howard J. Hawkins is the father of Howard M. and John R. Hawkins.</w:t>
      </w:r>
    </w:p>
    <w:p>
      <w:pPr>
        <w:spacing w:after="0" w:line="175" w:lineRule="exact"/>
        <w:rPr>
          <w:sz w:val="20"/>
          <w:szCs w:val="20"/>
          <w:color w:val="auto"/>
        </w:rPr>
      </w:pPr>
    </w:p>
    <w:p>
      <w:pPr>
        <w:jc w:val="both"/>
        <w:ind w:right="2200" w:firstLine="369"/>
        <w:spacing w:after="0" w:line="252" w:lineRule="auto"/>
        <w:rPr>
          <w:sz w:val="20"/>
          <w:szCs w:val="20"/>
          <w:color w:val="auto"/>
        </w:rPr>
      </w:pPr>
      <w:r>
        <w:rPr>
          <w:rFonts w:ascii="Courier New" w:cs="Courier New" w:eastAsia="Courier New" w:hAnsi="Courier New"/>
          <w:sz w:val="15"/>
          <w:szCs w:val="15"/>
          <w:color w:val="auto"/>
        </w:rPr>
        <w:t>The Board of Directors held four meetings in fiscal 1996. All directors attended at least 75% of the total number of meetings of the Board and the committees on which they served. The Audit Committee,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DIRECTOR</w:t>
      </w:r>
    </w:p>
    <w:p>
      <w:pPr>
        <w:spacing w:after="0" w:line="8"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SINCE</w:t>
      </w:r>
    </w:p>
    <w:p>
      <w:pPr>
        <w:spacing w:after="0" w:line="8" w:lineRule="exact"/>
        <w:rPr>
          <w:sz w:val="20"/>
          <w:szCs w:val="20"/>
          <w:color w:val="auto"/>
        </w:rPr>
      </w:pPr>
    </w:p>
    <w:p>
      <w:pPr>
        <w:ind w:left="1020" w:hanging="837"/>
        <w:spacing w:after="0"/>
        <w:tabs>
          <w:tab w:leader="none" w:pos="10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60"/>
        <w:spacing w:after="0"/>
        <w:tabs>
          <w:tab w:leader="none" w:pos="1360" w:val="left"/>
        </w:tabs>
        <w:rPr>
          <w:sz w:val="20"/>
          <w:szCs w:val="20"/>
          <w:color w:val="auto"/>
        </w:rPr>
      </w:pPr>
      <w:r>
        <w:rPr>
          <w:rFonts w:ascii="Courier New" w:cs="Courier New" w:eastAsia="Courier New" w:hAnsi="Courier New"/>
          <w:sz w:val="15"/>
          <w:szCs w:val="15"/>
          <w:color w:val="auto"/>
        </w:rPr>
        <w:t>78</w:t>
      </w:r>
      <w:r>
        <w:rPr>
          <w:sz w:val="20"/>
          <w:szCs w:val="20"/>
          <w:color w:val="auto"/>
        </w:rPr>
        <w:tab/>
      </w:r>
      <w:r>
        <w:rPr>
          <w:rFonts w:ascii="Courier New" w:cs="Courier New" w:eastAsia="Courier New" w:hAnsi="Courier New"/>
          <w:sz w:val="15"/>
          <w:szCs w:val="15"/>
          <w:color w:val="auto"/>
        </w:rPr>
        <w:t>1955</w:t>
      </w:r>
    </w:p>
    <w:p>
      <w:pPr>
        <w:spacing w:after="0" w:line="362"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60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63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1974</w:t>
            </w:r>
          </w:p>
        </w:tc>
      </w:tr>
      <w:tr>
        <w:trPr>
          <w:trHeight w:val="532"/>
        </w:trPr>
        <w:tc>
          <w:tcPr>
            <w:tcW w:w="60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61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1977</w:t>
            </w:r>
          </w:p>
        </w:tc>
      </w:tr>
      <w:tr>
        <w:trPr>
          <w:trHeight w:val="710"/>
        </w:trPr>
        <w:tc>
          <w:tcPr>
            <w:tcW w:w="60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72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1964</w:t>
            </w:r>
          </w:p>
        </w:tc>
      </w:tr>
      <w:tr>
        <w:trPr>
          <w:trHeight w:val="532"/>
        </w:trPr>
        <w:tc>
          <w:tcPr>
            <w:tcW w:w="60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1976</w:t>
            </w:r>
          </w:p>
        </w:tc>
      </w:tr>
      <w:tr>
        <w:trPr>
          <w:trHeight w:val="355"/>
        </w:trPr>
        <w:tc>
          <w:tcPr>
            <w:tcW w:w="60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45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1989</w:t>
            </w:r>
          </w:p>
        </w:tc>
      </w:tr>
      <w:tr>
        <w:trPr>
          <w:trHeight w:val="532"/>
        </w:trPr>
        <w:tc>
          <w:tcPr>
            <w:tcW w:w="60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83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1955</w:t>
            </w:r>
          </w:p>
        </w:tc>
      </w:tr>
      <w:tr>
        <w:trPr>
          <w:trHeight w:val="355"/>
        </w:trPr>
        <w:tc>
          <w:tcPr>
            <w:tcW w:w="60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1984</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80" w:hanging="1013"/>
        <w:spacing w:after="0"/>
        <w:tabs>
          <w:tab w:leader="none" w:pos="13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1995</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1380" w:hanging="1013"/>
        <w:spacing w:after="0"/>
        <w:tabs>
          <w:tab w:leader="none" w:pos="13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w:t>
      </w:r>
    </w:p>
    <w:p>
      <w:pPr>
        <w:sectPr>
          <w:pgSz w:w="11900" w:h="16838" w:orient="portrait"/>
          <w:cols w:equalWidth="0" w:num="2">
            <w:col w:w="9120" w:space="380"/>
            <w:col w:w="2020"/>
          </w:cols>
          <w:pgMar w:left="240" w:top="473" w:right="139" w:bottom="1440" w:gutter="0" w:footer="0" w:header="0"/>
        </w:sectPr>
      </w:pPr>
    </w:p>
    <w:bookmarkStart w:id="6" w:name="page7"/>
    <w:bookmarkEnd w:id="6"/>
    <w:p>
      <w:pPr>
        <w:ind w:right="2939"/>
        <w:spacing w:after="0" w:line="251" w:lineRule="auto"/>
        <w:rPr>
          <w:sz w:val="20"/>
          <w:szCs w:val="20"/>
          <w:color w:val="auto"/>
        </w:rPr>
      </w:pPr>
      <w:r>
        <w:rPr>
          <w:rFonts w:ascii="Courier New" w:cs="Courier New" w:eastAsia="Courier New" w:hAnsi="Courier New"/>
          <w:sz w:val="15"/>
          <w:szCs w:val="15"/>
          <w:color w:val="auto"/>
        </w:rPr>
        <w:t>which presently is made up of Howard M. Hawkins and John S. McKeon, is responsible for selecting auditors, ensuring the fiscal integrity of the Company, and establishing and reviewing internal controls. The Audit Committee held one meeting during fiscal 1996. The Compensation Committee, which is presently made up of John S. McKeon, Carl J. Ahlgren, Norman P. Anderson and Duane Jergenson, is responsible for establishing compensation policies for the Company and for reviewing and setting compensation for senior executives of the Company. The Compensation Committee held one meeting during fiscal 1996.</w:t>
      </w:r>
    </w:p>
    <w:p>
      <w:pPr>
        <w:spacing w:after="0" w:line="175" w:lineRule="exact"/>
        <w:rPr>
          <w:sz w:val="20"/>
          <w:szCs w:val="20"/>
          <w:color w:val="auto"/>
        </w:rPr>
      </w:pPr>
    </w:p>
    <w:p>
      <w:pPr>
        <w:ind w:right="2839" w:firstLine="369"/>
        <w:spacing w:after="0" w:line="250" w:lineRule="auto"/>
        <w:rPr>
          <w:sz w:val="20"/>
          <w:szCs w:val="20"/>
          <w:color w:val="auto"/>
        </w:rPr>
      </w:pPr>
      <w:r>
        <w:rPr>
          <w:rFonts w:ascii="Courier New" w:cs="Courier New" w:eastAsia="Courier New" w:hAnsi="Courier New"/>
          <w:sz w:val="15"/>
          <w:szCs w:val="15"/>
          <w:color w:val="auto"/>
        </w:rPr>
        <w:t>A standing nominating committee has not been established although the Board has authority to do so. Sections 8 through 11 of Article II of the Company's By-Laws, adopted by the Board on August 23, 1988, provide that a candidate may not be nominated for election as a director at the annual meeting of shareholders unless the nomination was previously submitted to the Board or its nominating committee. A shareholder wishing to nominate a candidate for director must do so no later than sixty days following the end of the Company's fiscal year. Nominations are deemed made when the Secretary of the Company receives all of the following: (1) all information about the nominee that may be required to be provided in any proxy statement pursuant to the Securities Exchange Act of 1934 and regulations promulgated thereunder; (2) an executed directors' questionnaire provided by the Company and completed by the nominee; (3) the nominee's statement consenting to his nomination and agreeing to serve, if elected; and (4) evidence that the person making the nomination is a shareholder. After reviewing the submission, the Board or the appointed nominating committee may, but need not, designate one or more of the nominees to appear as an alternate candidate on any proxy solicited by management or any proxy statement furnished by management. The number of such alternate candidates may not exceed the number of directors to be elected at that annual meeting. Exclusion of any eligible candidate from a proxy solicited by management does not affect the right of shareholders to nominate, vote for, or elect such candidate at any shareholders' meeting held within twelve months after submission of the nomination material described above.</w:t>
      </w:r>
    </w:p>
    <w:p>
      <w:pPr>
        <w:spacing w:after="0" w:line="36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2. APPROVAL OF AUDITORS</w:t>
      </w:r>
    </w:p>
    <w:p>
      <w:pPr>
        <w:spacing w:after="0" w:line="185"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Deloitte &amp; Touche LLP, independent certified public accountants, have been the auditors of the Company since 1971. They have been retained by the Board of Directors as the Company's auditors for the current fiscal year, and shareholder approval of such retention is requested.</w:t>
      </w:r>
    </w:p>
    <w:p>
      <w:pPr>
        <w:spacing w:after="0" w:line="176"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Audit services performed by Deloitte &amp; Touche LLP for the year ended September 29, 1996 consisted of the examination of the consolidated financial statements of the Company and services related to filings with the Securities and Exchange Commission. All services rendered by Deloitte &amp; Touche LLP are reviewed and approved by the Board of Directors. The Board of Directors has not specifically considered the independence of the auditors in relation to the services rendered, but the auditors have informed the Company that neither the firm nor any of its partners holds any financial interest in the securities of the Company.</w:t>
      </w:r>
    </w:p>
    <w:p>
      <w:pPr>
        <w:spacing w:after="0" w:line="175" w:lineRule="exact"/>
        <w:rPr>
          <w:sz w:val="20"/>
          <w:szCs w:val="20"/>
          <w:color w:val="auto"/>
        </w:rPr>
      </w:pPr>
    </w:p>
    <w:p>
      <w:pPr>
        <w:ind w:right="2939" w:firstLine="369"/>
        <w:spacing w:after="0" w:line="252" w:lineRule="auto"/>
        <w:rPr>
          <w:sz w:val="20"/>
          <w:szCs w:val="20"/>
          <w:color w:val="auto"/>
        </w:rPr>
      </w:pPr>
      <w:r>
        <w:rPr>
          <w:rFonts w:ascii="Courier New" w:cs="Courier New" w:eastAsia="Courier New" w:hAnsi="Courier New"/>
          <w:sz w:val="15"/>
          <w:szCs w:val="15"/>
          <w:color w:val="auto"/>
        </w:rPr>
        <w:t>Representatives of Deloitte &amp; Touche LLP are expected to attend this annual meeting with the opportunity to make a statement if they desire. They will be available to respond to appropriate questions.</w:t>
      </w:r>
    </w:p>
    <w:p>
      <w:pPr>
        <w:spacing w:after="0" w:line="175"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The Board of Directors recommends that the shareholders vote "For" the proposal to approve retention of Deloitte &amp; Touche LLP, and the enclosed proxy will be so voted unless a contrary vote is indicated. If retention of Deloitte &amp; Touche LLP is not approved by the shareholders, the Board of Directors will make another appointment effective at the earliest practicable date.</w:t>
      </w:r>
    </w:p>
    <w:p>
      <w:pPr>
        <w:spacing w:after="0" w:line="176" w:lineRule="exact"/>
        <w:rPr>
          <w:sz w:val="20"/>
          <w:szCs w:val="20"/>
          <w:color w:val="auto"/>
        </w:rPr>
      </w:pPr>
    </w:p>
    <w:p>
      <w:pPr>
        <w:ind w:right="3399" w:firstLine="369"/>
        <w:spacing w:after="0" w:line="253" w:lineRule="auto"/>
        <w:rPr>
          <w:sz w:val="20"/>
          <w:szCs w:val="20"/>
          <w:color w:val="auto"/>
        </w:rPr>
      </w:pPr>
      <w:r>
        <w:rPr>
          <w:rFonts w:ascii="Courier New" w:cs="Courier New" w:eastAsia="Courier New" w:hAnsi="Courier New"/>
          <w:sz w:val="15"/>
          <w:szCs w:val="15"/>
          <w:color w:val="auto"/>
        </w:rPr>
        <w:t>THE BOARD OF DIRECTORS RECOMMENDS A VOTE "FOR" RETENTION OF DELOITTE &amp; TOUCHE LLP AS INDEPENDENT AUDITORS FOR THE COMPANY.</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73" w:right="1440" w:bottom="1440" w:gutter="0" w:footer="0" w:header="0"/>
        </w:sectPr>
      </w:pPr>
    </w:p>
    <w:bookmarkStart w:id="7" w:name="page8"/>
    <w:bookmarkEnd w:id="7"/>
    <w:p>
      <w:pPr>
        <w:jc w:val="center"/>
        <w:ind w:right="3040"/>
        <w:spacing w:after="0"/>
        <w:rPr>
          <w:sz w:val="20"/>
          <w:szCs w:val="20"/>
          <w:color w:val="auto"/>
        </w:rPr>
      </w:pPr>
      <w:r>
        <w:rPr>
          <w:rFonts w:ascii="Courier New" w:cs="Courier New" w:eastAsia="Courier New" w:hAnsi="Courier New"/>
          <w:sz w:val="15"/>
          <w:szCs w:val="15"/>
          <w:color w:val="auto"/>
        </w:rPr>
        <w:t>3. OTHER MATTERS</w:t>
      </w:r>
    </w:p>
    <w:p>
      <w:pPr>
        <w:spacing w:after="0" w:line="185" w:lineRule="exact"/>
        <w:rPr>
          <w:sz w:val="20"/>
          <w:szCs w:val="20"/>
          <w:color w:val="auto"/>
        </w:rPr>
      </w:pPr>
    </w:p>
    <w:p>
      <w:pPr>
        <w:ind w:right="3140" w:firstLine="369"/>
        <w:spacing w:after="0" w:line="251" w:lineRule="auto"/>
        <w:rPr>
          <w:sz w:val="20"/>
          <w:szCs w:val="20"/>
          <w:color w:val="auto"/>
        </w:rPr>
      </w:pPr>
      <w:r>
        <w:rPr>
          <w:rFonts w:ascii="Courier New" w:cs="Courier New" w:eastAsia="Courier New" w:hAnsi="Courier New"/>
          <w:sz w:val="15"/>
          <w:szCs w:val="15"/>
          <w:color w:val="auto"/>
        </w:rPr>
        <w:t>Management does not know of any other business which will be presented for consideration at the meeting; however, if any other business does properly come before the meeting, proxies will be voted in accordance with the best judgment of the person or persons acting under them.</w:t>
      </w:r>
    </w:p>
    <w:p>
      <w:pPr>
        <w:spacing w:after="0" w:line="176"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5"/>
          <w:szCs w:val="15"/>
          <w:color w:val="auto"/>
        </w:rPr>
        <w:t>COMPENSATION OF EXECUTIVE OFFICERS AND DIRECTORS</w:t>
      </w:r>
    </w:p>
    <w:p>
      <w:pPr>
        <w:spacing w:after="0" w:line="185"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5"/>
          <w:szCs w:val="15"/>
          <w:color w:val="auto"/>
        </w:rPr>
        <w:t>SUMMARY COMPENSATION TABLE</w:t>
      </w:r>
    </w:p>
    <w:p>
      <w:pPr>
        <w:spacing w:after="0" w:line="185" w:lineRule="exact"/>
        <w:rPr>
          <w:sz w:val="20"/>
          <w:szCs w:val="20"/>
          <w:color w:val="auto"/>
        </w:rPr>
      </w:pPr>
    </w:p>
    <w:p>
      <w:pPr>
        <w:jc w:val="both"/>
        <w:ind w:right="3500" w:firstLine="369"/>
        <w:spacing w:after="0" w:line="252" w:lineRule="auto"/>
        <w:rPr>
          <w:sz w:val="20"/>
          <w:szCs w:val="20"/>
          <w:color w:val="auto"/>
        </w:rPr>
      </w:pPr>
      <w:r>
        <w:rPr>
          <w:rFonts w:ascii="Courier New" w:cs="Courier New" w:eastAsia="Courier New" w:hAnsi="Courier New"/>
          <w:sz w:val="15"/>
          <w:szCs w:val="15"/>
          <w:color w:val="auto"/>
        </w:rPr>
        <w:t>The following table sets forth the compensation of the Chief Executive Officer and the four highest paid executive officers whose aggregate annual salary and bonus exceeded $100,000 for the Company's last fiscal year:</w:t>
      </w:r>
    </w:p>
    <w:p>
      <w:pPr>
        <w:spacing w:after="0" w:line="200" w:lineRule="exact"/>
        <w:rPr>
          <w:sz w:val="20"/>
          <w:szCs w:val="20"/>
          <w:color w:val="auto"/>
        </w:rPr>
      </w:pPr>
    </w:p>
    <w:p>
      <w:pPr>
        <w:spacing w:after="0" w:line="329"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5"/>
          <w:szCs w:val="15"/>
          <w:color w:val="auto"/>
        </w:rPr>
        <w:t>ANNUAL COMPENSATION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left="3600"/>
        <w:spacing w:after="0"/>
        <w:tabs>
          <w:tab w:leader="none" w:pos="6980" w:val="left"/>
          <w:tab w:leader="none" w:pos="8920" w:val="left"/>
        </w:tabs>
        <w:rPr>
          <w:sz w:val="20"/>
          <w:szCs w:val="20"/>
          <w:color w:val="auto"/>
        </w:rPr>
      </w:pPr>
      <w:r>
        <w:rPr>
          <w:rFonts w:ascii="Courier New" w:cs="Courier New" w:eastAsia="Courier New" w:hAnsi="Courier New"/>
          <w:sz w:val="15"/>
          <w:szCs w:val="15"/>
          <w:color w:val="auto"/>
        </w:rPr>
        <w:t>FISCAL</w:t>
      </w:r>
      <w:r>
        <w:rPr>
          <w:sz w:val="20"/>
          <w:szCs w:val="20"/>
          <w:color w:val="auto"/>
        </w:rPr>
        <w:tab/>
      </w:r>
      <w:r>
        <w:rPr>
          <w:rFonts w:ascii="Courier New" w:cs="Courier New" w:eastAsia="Courier New" w:hAnsi="Courier New"/>
          <w:sz w:val="15"/>
          <w:szCs w:val="15"/>
          <w:color w:val="auto"/>
        </w:rPr>
        <w:t>OTHER ANNUAL</w:t>
      </w:r>
      <w:r>
        <w:rPr>
          <w:sz w:val="20"/>
          <w:szCs w:val="20"/>
          <w:color w:val="auto"/>
        </w:rPr>
        <w:tab/>
      </w:r>
      <w:r>
        <w:rPr>
          <w:rFonts w:ascii="Courier New" w:cs="Courier New" w:eastAsia="Courier New" w:hAnsi="Courier New"/>
          <w:sz w:val="15"/>
          <w:szCs w:val="15"/>
          <w:color w:val="auto"/>
        </w:rPr>
        <w:t>ALL OTHER</w:t>
      </w:r>
    </w:p>
    <w:p>
      <w:pPr>
        <w:spacing w:after="0" w:line="8" w:lineRule="exact"/>
        <w:rPr>
          <w:sz w:val="20"/>
          <w:szCs w:val="20"/>
          <w:color w:val="auto"/>
        </w:rPr>
      </w:pPr>
    </w:p>
    <w:p>
      <w:pPr>
        <w:ind w:left="360"/>
        <w:spacing w:after="0"/>
        <w:tabs>
          <w:tab w:leader="none" w:pos="3660" w:val="left"/>
          <w:tab w:leader="none" w:pos="4780" w:val="left"/>
          <w:tab w:leader="none" w:pos="5880" w:val="left"/>
          <w:tab w:leader="none" w:pos="6900" w:val="left"/>
          <w:tab w:leader="none" w:pos="8560" w:val="left"/>
        </w:tabs>
        <w:rPr>
          <w:sz w:val="20"/>
          <w:szCs w:val="20"/>
          <w:color w:val="auto"/>
        </w:rPr>
      </w:pPr>
      <w:r>
        <w:rPr>
          <w:rFonts w:ascii="Courier New" w:cs="Courier New" w:eastAsia="Courier New" w:hAnsi="Courier New"/>
          <w:sz w:val="15"/>
          <w:szCs w:val="15"/>
          <w:color w:val="auto"/>
        </w:rPr>
        <w:t>NAME AND PRINCIPAL POSITION</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w:t>
      </w:r>
      <w:r>
        <w:rPr>
          <w:sz w:val="20"/>
          <w:szCs w:val="20"/>
          <w:color w:val="auto"/>
        </w:rPr>
        <w:tab/>
      </w:r>
      <w:r>
        <w:rPr>
          <w:rFonts w:ascii="Courier New" w:cs="Courier New" w:eastAsia="Courier New" w:hAnsi="Courier New"/>
          <w:sz w:val="15"/>
          <w:szCs w:val="15"/>
          <w:color w:val="auto"/>
        </w:rPr>
        <w:t>COMPENSATION(a)</w:t>
      </w:r>
      <w:r>
        <w:rPr>
          <w:sz w:val="20"/>
          <w:szCs w:val="20"/>
          <w:color w:val="auto"/>
        </w:rPr>
        <w:tab/>
      </w:r>
      <w:r>
        <w:rPr>
          <w:rFonts w:ascii="Courier New" w:cs="Courier New" w:eastAsia="Courier New" w:hAnsi="Courier New"/>
          <w:sz w:val="15"/>
          <w:szCs w:val="15"/>
          <w:color w:val="auto"/>
        </w:rPr>
        <w:t>COMPENSATION(b)(c)</w:t>
      </w:r>
    </w:p>
    <w:p>
      <w:pPr>
        <w:spacing w:after="0" w:line="8" w:lineRule="exact"/>
        <w:rPr>
          <w:sz w:val="20"/>
          <w:szCs w:val="20"/>
          <w:color w:val="auto"/>
        </w:rPr>
      </w:pPr>
    </w:p>
    <w:p>
      <w:pPr>
        <w:spacing w:after="0"/>
        <w:tabs>
          <w:tab w:leader="none" w:pos="3580" w:val="left"/>
          <w:tab w:leader="none" w:pos="4780" w:val="left"/>
          <w:tab w:leader="none" w:pos="5880" w:val="left"/>
          <w:tab w:leader="none" w:pos="6980" w:val="left"/>
          <w:tab w:leader="none" w:pos="8740" w:val="left"/>
        </w:tabs>
        <w:rPr>
          <w:sz w:val="20"/>
          <w:szCs w:val="20"/>
          <w:color w:val="auto"/>
        </w:rPr>
      </w:pPr>
      <w:r>
        <w:rPr>
          <w:rFonts w:ascii="Courier New" w:cs="Courier New" w:eastAsia="Courier New" w:hAnsi="Courier New"/>
          <w:sz w:val="15"/>
          <w:szCs w:val="15"/>
          <w:color w:val="auto"/>
        </w:rPr>
        <w:t>- -----------------------------------</w:t>
        <w:tab/>
        <w:t>-----------</w:t>
        <w:tab/>
        <w:t>----------</w:t>
        <w:tab/>
        <w:t>----------</w:t>
        <w:tab/>
        <w:t>-----------------</w:t>
        <w:tab/>
        <w:t>------------------</w:t>
      </w:r>
    </w:p>
    <w:p>
      <w:pPr>
        <w:sectPr>
          <w:pgSz w:w="11900" w:h="16838" w:orient="portrait"/>
          <w:cols w:equalWidth="0" w:num="1">
            <w:col w:w="10420"/>
          </w:cols>
          <w:pgMar w:left="240" w:top="473" w:right="1239" w:bottom="1440" w:gutter="0" w:footer="0" w:header="0"/>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tcPr>
          <w:p>
            <w:pPr>
              <w:spacing w:after="0"/>
              <w:rPr>
                <w:sz w:val="20"/>
                <w:szCs w:val="20"/>
                <w:color w:val="auto"/>
              </w:rPr>
            </w:pPr>
            <w:r>
              <w:rPr>
                <w:rFonts w:ascii="Courier New" w:cs="Courier New" w:eastAsia="Courier New" w:hAnsi="Courier New"/>
                <w:sz w:val="15"/>
                <w:szCs w:val="15"/>
                <w:color w:val="auto"/>
              </w:rPr>
              <w:t>Howard J. Hawkins</w:t>
            </w: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154,800</w:t>
            </w:r>
          </w:p>
        </w:tc>
        <w:tc>
          <w:tcPr>
            <w:tcW w:w="2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109,000</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7"/>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Chairman Emeritus; Chief</w:t>
            </w: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154,000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100,000</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7"/>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 Retired</w:t>
            </w: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1994</w:t>
            </w:r>
          </w:p>
        </w:tc>
        <w:tc>
          <w:tcPr>
            <w:tcW w:w="3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149,200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96,000</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Dean L. Hahn</w:t>
            </w: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141,640</w:t>
            </w:r>
          </w:p>
        </w:tc>
        <w:tc>
          <w:tcPr>
            <w:tcW w:w="2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114,000</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7"/>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and</w:t>
            </w: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136,840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100,000</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7"/>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 Officer</w:t>
            </w: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1994</w:t>
            </w:r>
          </w:p>
        </w:tc>
        <w:tc>
          <w:tcPr>
            <w:tcW w:w="3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132,040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96,000</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Donald L. Shipp</w:t>
            </w: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131,567</w:t>
            </w:r>
          </w:p>
        </w:tc>
        <w:tc>
          <w:tcPr>
            <w:tcW w:w="2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114,000</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7"/>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126,400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100,000</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7"/>
        </w:trPr>
        <w:tc>
          <w:tcPr>
            <w:tcW w:w="3360" w:type="dxa"/>
            <w:vAlign w:val="bottom"/>
          </w:tcPr>
          <w:p>
            <w:pPr>
              <w:spacing w:after="0"/>
              <w:rPr>
                <w:sz w:val="15"/>
                <w:szCs w:val="15"/>
                <w:color w:val="auto"/>
              </w:rPr>
            </w:pP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1994</w:t>
            </w:r>
          </w:p>
        </w:tc>
        <w:tc>
          <w:tcPr>
            <w:tcW w:w="3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121,600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96,000</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John R. Hawkins</w:t>
            </w: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118,240</w:t>
            </w:r>
          </w:p>
        </w:tc>
        <w:tc>
          <w:tcPr>
            <w:tcW w:w="2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94,000</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7"/>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and Secretary</w:t>
            </w: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113,440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82,000</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7"/>
        </w:trPr>
        <w:tc>
          <w:tcPr>
            <w:tcW w:w="3360" w:type="dxa"/>
            <w:vAlign w:val="bottom"/>
          </w:tcPr>
          <w:p>
            <w:pPr>
              <w:spacing w:after="0"/>
              <w:rPr>
                <w:sz w:val="15"/>
                <w:szCs w:val="15"/>
                <w:color w:val="auto"/>
              </w:rPr>
            </w:pP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1994</w:t>
            </w:r>
          </w:p>
        </w:tc>
        <w:tc>
          <w:tcPr>
            <w:tcW w:w="3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108,640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78,000</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Howard M. Hawkins</w:t>
            </w: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118,240</w:t>
            </w:r>
          </w:p>
        </w:tc>
        <w:tc>
          <w:tcPr>
            <w:tcW w:w="2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94,000</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7"/>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Treasurer</w:t>
            </w: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113,440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82,000</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7"/>
        </w:trPr>
        <w:tc>
          <w:tcPr>
            <w:tcW w:w="3360" w:type="dxa"/>
            <w:vAlign w:val="bottom"/>
          </w:tcPr>
          <w:p>
            <w:pPr>
              <w:spacing w:after="0"/>
              <w:rPr>
                <w:sz w:val="15"/>
                <w:szCs w:val="15"/>
                <w:color w:val="auto"/>
              </w:rPr>
            </w:pPr>
          </w:p>
        </w:tc>
        <w:tc>
          <w:tcPr>
            <w:tcW w:w="11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1994</w:t>
            </w:r>
          </w:p>
        </w:tc>
        <w:tc>
          <w:tcPr>
            <w:tcW w:w="3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108,640</w:t>
            </w:r>
          </w:p>
        </w:tc>
        <w:tc>
          <w:tcPr>
            <w:tcW w:w="2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78,000</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EMPLOYEE STOCK PURCHASE PLAN</w:t>
      </w:r>
    </w:p>
    <w:p>
      <w:pPr>
        <w:spacing w:after="0" w:line="185" w:lineRule="exact"/>
        <w:rPr>
          <w:sz w:val="20"/>
          <w:szCs w:val="20"/>
          <w:color w:val="auto"/>
        </w:rPr>
      </w:pPr>
    </w:p>
    <w:p>
      <w:pPr>
        <w:ind w:right="945" w:firstLine="369"/>
        <w:spacing w:after="0" w:line="251" w:lineRule="auto"/>
        <w:rPr>
          <w:sz w:val="20"/>
          <w:szCs w:val="20"/>
          <w:color w:val="auto"/>
        </w:rPr>
      </w:pPr>
      <w:r>
        <w:rPr>
          <w:rFonts w:ascii="Courier New" w:cs="Courier New" w:eastAsia="Courier New" w:hAnsi="Courier New"/>
          <w:sz w:val="15"/>
          <w:szCs w:val="15"/>
          <w:color w:val="auto"/>
        </w:rPr>
        <w:t>All employees of the Company and its subsidiaries who have attained the age of 18 years and who have been employed by the Company for one year are eligible to participate in the Company's Employee Stock Purchase Plan. Under the Plan, each participant authorizes the Company to deduct a specified amount, not to exceed $500, from his paycheck each month, to which the Company adds a bonus of 75% of such amount, to be used by a depository agent to purchase common shares of the Company's stock for the participant's individual account under the Plan. Shares purchased with the Company's bonus vest over a five-year schedule.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MONEY PURCHASE PENSION PLAN</w:t>
      </w:r>
    </w:p>
    <w:p>
      <w:pPr>
        <w:spacing w:after="0" w:line="185" w:lineRule="exact"/>
        <w:rPr>
          <w:sz w:val="20"/>
          <w:szCs w:val="20"/>
          <w:color w:val="auto"/>
        </w:rPr>
      </w:pPr>
    </w:p>
    <w:p>
      <w:pPr>
        <w:ind w:right="945" w:firstLine="369"/>
        <w:spacing w:after="0" w:line="251" w:lineRule="auto"/>
        <w:rPr>
          <w:sz w:val="20"/>
          <w:szCs w:val="20"/>
          <w:color w:val="auto"/>
        </w:rPr>
      </w:pPr>
      <w:r>
        <w:rPr>
          <w:rFonts w:ascii="Courier New" w:cs="Courier New" w:eastAsia="Courier New" w:hAnsi="Courier New"/>
          <w:sz w:val="15"/>
          <w:szCs w:val="15"/>
          <w:color w:val="auto"/>
        </w:rPr>
        <w:t>Non-bargaining employees of the Company and its subsidiaries who have attained the age of 21 years and completed one year of service are eligible to participate in this defined contribution pension plan. For each year, the Company and its participating subsidiaries contribute an amount equal to seven percent of an eligible participant's compensation, and this amount is credited to an account maintained for the participant under the Plan. The maximum annual compensation that may be used to determine Plan benefits is capped at $150,000 for the current plan year; this limit will be adjusted in future years under federal tax law for cost-of-living increases.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375" w:hanging="375"/>
        <w:spacing w:after="0"/>
        <w:tabs>
          <w:tab w:leader="none" w:pos="37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7" w:lineRule="exact"/>
        <w:rPr>
          <w:rFonts w:ascii="Courier New" w:cs="Courier New" w:eastAsia="Courier New" w:hAnsi="Courier New"/>
          <w:sz w:val="15"/>
          <w:szCs w:val="15"/>
          <w:color w:val="auto"/>
        </w:rPr>
      </w:pPr>
    </w:p>
    <w:p>
      <w:pPr>
        <w:ind w:left="37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7" w:lineRule="exact"/>
        <w:rPr>
          <w:rFonts w:ascii="Courier New" w:cs="Courier New" w:eastAsia="Courier New" w:hAnsi="Courier New"/>
          <w:sz w:val="15"/>
          <w:szCs w:val="15"/>
          <w:color w:val="auto"/>
        </w:rPr>
      </w:pPr>
    </w:p>
    <w:p>
      <w:pPr>
        <w:ind w:left="37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185" w:lineRule="exact"/>
        <w:rPr>
          <w:sz w:val="20"/>
          <w:szCs w:val="20"/>
          <w:color w:val="auto"/>
        </w:rPr>
      </w:pPr>
    </w:p>
    <w:p>
      <w:pPr>
        <w:ind w:left="375" w:hanging="375"/>
        <w:spacing w:after="0"/>
        <w:tabs>
          <w:tab w:leader="none" w:pos="37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7" w:lineRule="exact"/>
        <w:rPr>
          <w:rFonts w:ascii="Courier New" w:cs="Courier New" w:eastAsia="Courier New" w:hAnsi="Courier New"/>
          <w:sz w:val="15"/>
          <w:szCs w:val="15"/>
          <w:color w:val="auto"/>
        </w:rPr>
      </w:pPr>
    </w:p>
    <w:p>
      <w:pPr>
        <w:ind w:left="37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7" w:lineRule="exact"/>
        <w:rPr>
          <w:rFonts w:ascii="Courier New" w:cs="Courier New" w:eastAsia="Courier New" w:hAnsi="Courier New"/>
          <w:sz w:val="15"/>
          <w:szCs w:val="15"/>
          <w:color w:val="auto"/>
        </w:rPr>
      </w:pPr>
    </w:p>
    <w:p>
      <w:pPr>
        <w:ind w:left="37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185" w:lineRule="exact"/>
        <w:rPr>
          <w:sz w:val="20"/>
          <w:szCs w:val="20"/>
          <w:color w:val="auto"/>
        </w:rPr>
      </w:pPr>
    </w:p>
    <w:p>
      <w:pPr>
        <w:ind w:left="375" w:hanging="375"/>
        <w:spacing w:after="0"/>
        <w:tabs>
          <w:tab w:leader="none" w:pos="37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7" w:lineRule="exact"/>
        <w:rPr>
          <w:rFonts w:ascii="Courier New" w:cs="Courier New" w:eastAsia="Courier New" w:hAnsi="Courier New"/>
          <w:sz w:val="15"/>
          <w:szCs w:val="15"/>
          <w:color w:val="auto"/>
        </w:rPr>
      </w:pPr>
    </w:p>
    <w:p>
      <w:pPr>
        <w:ind w:left="37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7" w:lineRule="exact"/>
        <w:rPr>
          <w:rFonts w:ascii="Courier New" w:cs="Courier New" w:eastAsia="Courier New" w:hAnsi="Courier New"/>
          <w:sz w:val="15"/>
          <w:szCs w:val="15"/>
          <w:color w:val="auto"/>
        </w:rPr>
      </w:pPr>
    </w:p>
    <w:p>
      <w:pPr>
        <w:ind w:left="37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185" w:lineRule="exact"/>
        <w:rPr>
          <w:sz w:val="20"/>
          <w:szCs w:val="20"/>
          <w:color w:val="auto"/>
        </w:rPr>
      </w:pPr>
    </w:p>
    <w:p>
      <w:pPr>
        <w:ind w:left="375" w:hanging="375"/>
        <w:spacing w:after="0"/>
        <w:tabs>
          <w:tab w:leader="none" w:pos="3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7" w:lineRule="exact"/>
        <w:rPr>
          <w:rFonts w:ascii="Courier New" w:cs="Courier New" w:eastAsia="Courier New" w:hAnsi="Courier New"/>
          <w:sz w:val="15"/>
          <w:szCs w:val="15"/>
          <w:color w:val="auto"/>
        </w:rPr>
      </w:pPr>
    </w:p>
    <w:p>
      <w:pPr>
        <w:ind w:left="37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7" w:lineRule="exact"/>
        <w:rPr>
          <w:rFonts w:ascii="Courier New" w:cs="Courier New" w:eastAsia="Courier New" w:hAnsi="Courier New"/>
          <w:sz w:val="15"/>
          <w:szCs w:val="15"/>
          <w:color w:val="auto"/>
        </w:rPr>
      </w:pPr>
    </w:p>
    <w:p>
      <w:pPr>
        <w:ind w:left="37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185" w:lineRule="exact"/>
        <w:rPr>
          <w:sz w:val="20"/>
          <w:szCs w:val="20"/>
          <w:color w:val="auto"/>
        </w:rPr>
      </w:pPr>
    </w:p>
    <w:p>
      <w:pPr>
        <w:ind w:left="375" w:hanging="375"/>
        <w:spacing w:after="0"/>
        <w:tabs>
          <w:tab w:leader="none" w:pos="37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7" w:lineRule="exact"/>
        <w:rPr>
          <w:rFonts w:ascii="Courier New" w:cs="Courier New" w:eastAsia="Courier New" w:hAnsi="Courier New"/>
          <w:sz w:val="15"/>
          <w:szCs w:val="15"/>
          <w:color w:val="auto"/>
        </w:rPr>
      </w:pPr>
    </w:p>
    <w:p>
      <w:pPr>
        <w:ind w:left="37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7" w:lineRule="exact"/>
        <w:rPr>
          <w:rFonts w:ascii="Courier New" w:cs="Courier New" w:eastAsia="Courier New" w:hAnsi="Courier New"/>
          <w:sz w:val="15"/>
          <w:szCs w:val="15"/>
          <w:color w:val="auto"/>
        </w:rPr>
      </w:pPr>
    </w:p>
    <w:p>
      <w:pPr>
        <w:ind w:left="37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30,000</w:t>
      </w:r>
    </w:p>
    <w:p>
      <w:pPr>
        <w:spacing w:after="0" w:line="4798" w:lineRule="exact"/>
        <w:rPr>
          <w:sz w:val="20"/>
          <w:szCs w:val="20"/>
          <w:color w:val="auto"/>
        </w:rPr>
      </w:pPr>
    </w:p>
    <w:p>
      <w:pPr>
        <w:sectPr>
          <w:pgSz w:w="11900" w:h="16838" w:orient="portrait"/>
          <w:cols w:equalWidth="0" w:num="2">
            <w:col w:w="8225" w:space="720"/>
            <w:col w:w="1475"/>
          </w:cols>
          <w:pgMar w:left="240" w:top="473" w:right="1239" w:bottom="1440" w:gutter="0" w:footer="0" w:header="0"/>
          <w:type w:val="continuous"/>
        </w:sectPr>
      </w:pPr>
    </w:p>
    <w:p>
      <w:pPr>
        <w:ind w:left="360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420"/>
          </w:cols>
          <w:pgMar w:left="240" w:top="473" w:right="1239" w:bottom="1440" w:gutter="0" w:footer="0" w:header="0"/>
          <w:type w:val="continuous"/>
        </w:sectPr>
      </w:pPr>
    </w:p>
    <w:bookmarkStart w:id="8" w:name="page9"/>
    <w:bookmarkEnd w:id="8"/>
    <w:p>
      <w:pPr>
        <w:ind w:right="2839" w:firstLine="369"/>
        <w:spacing w:after="0" w:line="251" w:lineRule="auto"/>
        <w:rPr>
          <w:sz w:val="20"/>
          <w:szCs w:val="20"/>
          <w:color w:val="auto"/>
        </w:rPr>
      </w:pPr>
      <w:r>
        <w:rPr>
          <w:rFonts w:ascii="Courier New" w:cs="Courier New" w:eastAsia="Courier New" w:hAnsi="Courier New"/>
          <w:sz w:val="15"/>
          <w:szCs w:val="15"/>
          <w:color w:val="auto"/>
        </w:rPr>
        <w:t>Participant accounts are credited with the appropriate gains or losses resulting from investments made by the Plan. A participant is fully vested after completing seven years of service. At retirement, the participant receives the amount credited to his or her account either as a lump sum, in installments, or in the form of an annuity contract.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PROFIT SHARING AND EMPLOYEE STOCK OWNERSHIP PLAN</w:t>
      </w:r>
    </w:p>
    <w:p>
      <w:pPr>
        <w:spacing w:after="0" w:line="185"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Non-bargaining employees of the Company and its subsidiaries who have attained the age of 21 years and completed one year of service are eligible to participate in the Company's Profit Sharing and Employee Stock Ownership Plans. Contributions to these separate Plans are made at the discretion of the Board of Directors and credited to individual accounts maintained for participants under the Plans.</w:t>
      </w:r>
    </w:p>
    <w:p>
      <w:pPr>
        <w:spacing w:after="0" w:line="176"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The amount of each contribution credited to a participant's account is proportionate to that participant's compensation compared to the total compensation paid to all participants in the Plans. The maximum annual compensation that may be used to determine benefits in the current plan year is $150,000, which amount will be adjusted in future years for cost-of-living increases. In addition, the aggregate amount contributed in any one plan year for a participant under the Money Purchase Pension Plan, Profit Sharing Plan, and Employee Stock Ownership Plan may not exceed the lesser of 25% of compensation or $30,000.</w:t>
      </w:r>
    </w:p>
    <w:p>
      <w:pPr>
        <w:spacing w:after="0" w:line="175"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Participant accounts in the Profit Sharing and Employee Stock Ownership Plans are also credited with the appropriate gains or losses resulting from Plan investments. A participant is fully vested after completing seven years of service. At retirement, the participant receives the amount credited to his or her account either as a lump sum or in installments.</w:t>
      </w:r>
    </w:p>
    <w:p>
      <w:pPr>
        <w:spacing w:after="0" w:line="176" w:lineRule="exact"/>
        <w:rPr>
          <w:sz w:val="20"/>
          <w:szCs w:val="20"/>
          <w:color w:val="auto"/>
        </w:rPr>
      </w:pPr>
    </w:p>
    <w:p>
      <w:pPr>
        <w:ind w:right="3019" w:firstLine="369"/>
        <w:spacing w:after="0" w:line="251" w:lineRule="auto"/>
        <w:rPr>
          <w:sz w:val="20"/>
          <w:szCs w:val="20"/>
          <w:color w:val="auto"/>
        </w:rPr>
      </w:pPr>
      <w:r>
        <w:rPr>
          <w:rFonts w:ascii="Courier New" w:cs="Courier New" w:eastAsia="Courier New" w:hAnsi="Courier New"/>
          <w:sz w:val="15"/>
          <w:szCs w:val="15"/>
          <w:color w:val="auto"/>
        </w:rPr>
        <w:t>The Company terminated the Profit Sharing Plan in June of 1996. No contributions will be made under this plan in future periods. All participants in the Profit Sharing Plan were fully vested in their accounts as of the date the plan terminated. The Employee Stock Ownership Plan remains in effect and will continue to be administered as described above.</w:t>
      </w:r>
    </w:p>
    <w:p>
      <w:pPr>
        <w:spacing w:after="0" w:line="17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5"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All decisions regarding compensation of executive officers of the Company in fiscal 1996 were made by the Compensation Committee of the Board of Directors. The Compensation Committee is currently made up of the following directors: John S. McKeon, Carl J. Ahlgren, Norman P. Anderson and Duane Jergenson. None of the current officers of the Company participates in any board vote setting his annual salary or bonus.</w:t>
      </w:r>
    </w:p>
    <w:p>
      <w:pPr>
        <w:spacing w:after="0" w:line="17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COMPENSATION COMMITTEE REPORT ON ANNUAL COMPENSATION</w:t>
      </w:r>
    </w:p>
    <w:p>
      <w:pPr>
        <w:spacing w:after="0" w:line="185"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The annual compensation programs of the Company are highly leveraged on the basis of performance. The Company's annual compensation mix generally has lower base salaries than comparable companies, coupled with a highly leveraged incentive system which will pay more with good performance and less with below par performance.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SALARIES</w:t>
      </w:r>
    </w:p>
    <w:p>
      <w:pPr>
        <w:spacing w:after="0" w:line="185"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The salaries of the Company's executive officers are tied to inflation, plus a small increase for an increase in corporate profits. An example would be fiscal 1996: inflation was approximately 3%; raises, therefore, could vary from 0 to 6% with an average of 3%, plus the percentage increase of the income per share, times a factor of 6%. This year the average officer received a 3% cost of living increase in base salary, plus an additional 1% increase because the income per share was up 23%. The executive officers of the Company on the average, therefore, received salary increases of 4%.</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7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EXECUTIVE BONUS PLAN</w:t>
      </w:r>
    </w:p>
    <w:p>
      <w:pPr>
        <w:spacing w:after="0" w:line="185" w:lineRule="exact"/>
        <w:rPr>
          <w:sz w:val="20"/>
          <w:szCs w:val="20"/>
          <w:color w:val="auto"/>
        </w:rPr>
      </w:pPr>
    </w:p>
    <w:p>
      <w:pPr>
        <w:ind w:right="2839" w:firstLine="369"/>
        <w:spacing w:after="0" w:line="250" w:lineRule="auto"/>
        <w:rPr>
          <w:sz w:val="20"/>
          <w:szCs w:val="20"/>
          <w:color w:val="auto"/>
        </w:rPr>
      </w:pPr>
      <w:r>
        <w:rPr>
          <w:rFonts w:ascii="Courier New" w:cs="Courier New" w:eastAsia="Courier New" w:hAnsi="Courier New"/>
          <w:sz w:val="15"/>
          <w:szCs w:val="15"/>
          <w:color w:val="auto"/>
        </w:rPr>
        <w:t>The bonus plan for executive officers is based on the following factors: corporate performance, business unit performance and personal performance. The corporate performance rating is based on the Company's percentage growth in earnings per share over the prior year and its return on equity. These two factors are the primary determinants of share price over time. Business unit ratings are based primarily on profit performance (market share performance, new product development, workplace diversity and other factors are also considered). Personal ratings can include such qualitative factors as quality of the strategic plan, organizational and management development progress and industry, public affairs, and civic involvement.</w:t>
      </w:r>
    </w:p>
    <w:p>
      <w:pPr>
        <w:spacing w:after="0" w:line="182" w:lineRule="exact"/>
        <w:rPr>
          <w:sz w:val="20"/>
          <w:szCs w:val="20"/>
          <w:color w:val="auto"/>
        </w:rPr>
      </w:pPr>
    </w:p>
    <w:p>
      <w:pPr>
        <w:ind w:right="3019" w:firstLine="369"/>
        <w:spacing w:after="0" w:line="250" w:lineRule="auto"/>
        <w:rPr>
          <w:sz w:val="20"/>
          <w:szCs w:val="20"/>
          <w:color w:val="auto"/>
        </w:rPr>
      </w:pPr>
      <w:r>
        <w:rPr>
          <w:rFonts w:ascii="Courier New" w:cs="Courier New" w:eastAsia="Courier New" w:hAnsi="Courier New"/>
          <w:sz w:val="15"/>
          <w:szCs w:val="15"/>
          <w:color w:val="auto"/>
        </w:rPr>
        <w:t>Corporate business unit ratings can range from .5 to 1.8 with top annual performance represented by a 1.5 or higher rating. Personal ratings can range from 0.0 to 1.5. These ratings are then combined with the participant's target incentive participation rate (a percentage of base salary which increases for higher positions within the Company). Both business unit and personal ratings are heavily dependent on achievement of financial objectives. The weights for executive officers are 50% corporate and 50% personal, while business unit officers are generally 38% unit, 12% corporate and 50% personal. The total corporate bonus package is approximately 11% of the Company's income from operations.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w:t>
      </w:r>
    </w:p>
    <w:p>
      <w:pPr>
        <w:spacing w:after="0" w:line="185" w:lineRule="exact"/>
        <w:rPr>
          <w:sz w:val="20"/>
          <w:szCs w:val="20"/>
          <w:color w:val="auto"/>
        </w:rPr>
      </w:pPr>
    </w:p>
    <w:p>
      <w:pPr>
        <w:ind w:right="2939" w:firstLine="369"/>
        <w:spacing w:after="0" w:line="253" w:lineRule="auto"/>
        <w:rPr>
          <w:sz w:val="20"/>
          <w:szCs w:val="20"/>
          <w:color w:val="auto"/>
        </w:rPr>
      </w:pPr>
      <w:r>
        <w:rPr>
          <w:rFonts w:ascii="Courier New" w:cs="Courier New" w:eastAsia="Courier New" w:hAnsi="Courier New"/>
          <w:sz w:val="15"/>
          <w:szCs w:val="15"/>
          <w:color w:val="auto"/>
        </w:rPr>
        <w:t>The compensation of Dean L. Hahn, Chief Executive Officer, is determined in the same manner as set forth above for all other executive officers.</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COMPENSATION COMMITTEE</w:t>
      </w:r>
    </w:p>
    <w:p>
      <w:pPr>
        <w:sectPr>
          <w:pgSz w:w="11900" w:h="16838" w:orient="portrait"/>
          <w:cols w:equalWidth="0" w:num="1">
            <w:col w:w="10219"/>
          </w:cols>
          <w:pgMar w:left="240" w:top="473" w:right="1440" w:bottom="1440" w:gutter="0" w:footer="0" w:header="0"/>
        </w:sectPr>
      </w:pP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John S. McKeon</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Norman P. Anderson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Carl J. Ahlgren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Duane Jergenson</w:t>
      </w:r>
    </w:p>
    <w:p>
      <w:pPr>
        <w:spacing w:after="0" w:line="185" w:lineRule="exact"/>
        <w:rPr>
          <w:sz w:val="20"/>
          <w:szCs w:val="20"/>
          <w:color w:val="auto"/>
        </w:rPr>
      </w:pPr>
    </w:p>
    <w:p>
      <w:pPr>
        <w:sectPr>
          <w:pgSz w:w="11900" w:h="16838" w:orient="portrait"/>
          <w:cols w:equalWidth="0" w:num="2">
            <w:col w:w="3800" w:space="720"/>
            <w:col w:w="5699"/>
          </w:cols>
          <w:pgMar w:left="240" w:top="473" w:right="1440" w:bottom="1440" w:gutter="0" w:footer="0" w:header="0"/>
          <w:type w:val="continuous"/>
        </w:sectPr>
      </w:pPr>
    </w:p>
    <w:p>
      <w:pPr>
        <w:ind w:left="2480"/>
        <w:spacing w:after="0"/>
        <w:rPr>
          <w:sz w:val="20"/>
          <w:szCs w:val="20"/>
          <w:color w:val="auto"/>
        </w:rPr>
      </w:pPr>
      <w:r>
        <w:rPr>
          <w:rFonts w:ascii="Courier New" w:cs="Courier New" w:eastAsia="Courier New" w:hAnsi="Courier New"/>
          <w:sz w:val="15"/>
          <w:szCs w:val="15"/>
          <w:color w:val="auto"/>
        </w:rPr>
        <w:t>COMPENSATION OF DIRECTORS</w:t>
      </w:r>
    </w:p>
    <w:p>
      <w:pPr>
        <w:spacing w:after="0" w:line="185"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During fiscal 1996, each director who is not an employee of the Company was paid $6,000 as an annual retainer plus $660 for each meeting attended. In addition to his regular director's fees, Carl J. Ahlgren received $1,500 in fiscal 1996 for his work in preparing last year's annual report.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73" w:right="1440" w:bottom="1440" w:gutter="0" w:footer="0" w:header="0"/>
          <w:type w:val="continuous"/>
        </w:sectPr>
      </w:pPr>
    </w:p>
    <w:bookmarkStart w:id="10" w:name="page11"/>
    <w:bookmarkEnd w:id="10"/>
    <w:p>
      <w:pPr>
        <w:jc w:val="center"/>
        <w:ind w:right="2939"/>
        <w:spacing w:after="0"/>
        <w:rPr>
          <w:sz w:val="20"/>
          <w:szCs w:val="20"/>
          <w:color w:val="auto"/>
        </w:rPr>
      </w:pPr>
      <w:r>
        <w:rPr>
          <w:rFonts w:ascii="Courier New" w:cs="Courier New" w:eastAsia="Courier New" w:hAnsi="Courier New"/>
          <w:sz w:val="15"/>
          <w:szCs w:val="15"/>
          <w:color w:val="auto"/>
        </w:rPr>
        <w:t>COMPARATIVE STOCK PERFORMANCE GRAPH</w:t>
      </w:r>
    </w:p>
    <w:p>
      <w:pPr>
        <w:spacing w:after="0" w:line="185"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The following is a graph comparing the annual percentage change in the cumulative total shareholder return on the Company's Common Stock with the cumulative total returns of the NASDAQ Composite Index and the NASDAQ Industrial Index for the Company's last five fiscal years. The graph assumes the investment of $100 in the Company's Common Stock, the NASDAQ Composite Index and the NASDAQ Industrial Index on September 29, 1991, and reinvestment of all dividends.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00" w:type="dxa"/>
            <w:vAlign w:val="bottom"/>
          </w:tcPr>
          <w:p>
            <w:pPr>
              <w:spacing w:after="0"/>
              <w:rPr>
                <w:sz w:val="14"/>
                <w:szCs w:val="14"/>
                <w:color w:val="auto"/>
              </w:rPr>
            </w:pPr>
          </w:p>
        </w:tc>
        <w:tc>
          <w:tcPr>
            <w:tcW w:w="25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NASDAQ INDUSTRIAL INDEX</w:t>
            </w:r>
          </w:p>
        </w:tc>
        <w:tc>
          <w:tcPr>
            <w:tcW w:w="2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NASDAQ COMPOSITE INDEX</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HAWKINS CHEMICAL, INC.</w:t>
            </w: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1991(Base)</w:t>
            </w:r>
          </w:p>
        </w:tc>
        <w:tc>
          <w:tcPr>
            <w:tcW w:w="2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w:t>
            </w:r>
          </w:p>
        </w:tc>
        <w:tc>
          <w:tcPr>
            <w:tcW w:w="2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2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103.61</w:t>
            </w:r>
          </w:p>
        </w:tc>
        <w:tc>
          <w:tcPr>
            <w:tcW w:w="2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108.99</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106.99</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2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131.57</w:t>
            </w:r>
          </w:p>
        </w:tc>
        <w:tc>
          <w:tcPr>
            <w:tcW w:w="2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143.89</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138.37</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2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134.41</w:t>
            </w:r>
          </w:p>
        </w:tc>
        <w:tc>
          <w:tcPr>
            <w:tcW w:w="2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145.75</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180.3</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171.19</w:t>
            </w:r>
          </w:p>
        </w:tc>
        <w:tc>
          <w:tcPr>
            <w:tcW w:w="2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198.97</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230.92</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5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194.28</w:t>
            </w:r>
          </w:p>
        </w:tc>
        <w:tc>
          <w:tcPr>
            <w:tcW w:w="2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234.53</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238.98</w:t>
            </w:r>
          </w:p>
        </w:tc>
      </w:tr>
    </w:tbl>
    <w:p>
      <w:pPr>
        <w:spacing w:after="0" w:line="36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PROPOSALS BY SHAREHOLDERS</w:t>
      </w:r>
    </w:p>
    <w:p>
      <w:pPr>
        <w:spacing w:after="0" w:line="185" w:lineRule="exact"/>
        <w:rPr>
          <w:sz w:val="20"/>
          <w:szCs w:val="20"/>
          <w:color w:val="auto"/>
        </w:rPr>
      </w:pPr>
    </w:p>
    <w:p>
      <w:pPr>
        <w:ind w:right="3219" w:firstLine="369"/>
        <w:spacing w:after="0" w:line="251" w:lineRule="auto"/>
        <w:rPr>
          <w:sz w:val="20"/>
          <w:szCs w:val="20"/>
          <w:color w:val="auto"/>
        </w:rPr>
      </w:pPr>
      <w:r>
        <w:rPr>
          <w:rFonts w:ascii="Courier New" w:cs="Courier New" w:eastAsia="Courier New" w:hAnsi="Courier New"/>
          <w:sz w:val="15"/>
          <w:szCs w:val="15"/>
          <w:color w:val="auto"/>
        </w:rPr>
        <w:t>Any proposal that a shareholder intends to present at the 1998 Annual Meeting must be received by the Company no later than September 10, 1997 for inclusion in the 1998 Notice of Annual Meeting, Proxy Statement, and form of proxy.</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 10-K</w:t>
      </w:r>
    </w:p>
    <w:p>
      <w:pPr>
        <w:spacing w:after="0" w:line="185"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The Company will provide each person whose proxy is solicited, upon the written request of any such person, a copy of its annual report on Form 10-K as filed with the Securities and Exchange Commission, including the financial statements and financial statement schedules required to be filed with the Commission. Such written request should be directed to John R. Hawkins, Corporate Secretary, Hawkins Chemical, Inc., 3100 East Hennepin Avenue, Minneapolis, Minnesota 55413.</w:t>
      </w:r>
    </w:p>
    <w:p>
      <w:pPr>
        <w:spacing w:after="0" w:line="176"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5"/>
          <w:szCs w:val="15"/>
          <w:color w:val="auto"/>
        </w:rPr>
        <w:t>Dated: January 8, 1997.</w:t>
      </w:r>
      <w:r>
        <w:rPr>
          <w:sz w:val="20"/>
          <w:szCs w:val="20"/>
          <w:color w:val="auto"/>
        </w:rPr>
        <w:tab/>
      </w: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JOHN R. HAWKINS, SECRETARY</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73" w:right="1440" w:bottom="1440" w:gutter="0" w:footer="0" w:header="0"/>
        </w:sectPr>
      </w:pPr>
    </w:p>
    <w:bookmarkStart w:id="11" w:name="page12"/>
    <w:bookmarkEnd w:id="11"/>
    <w:p>
      <w:pPr>
        <w:jc w:val="center"/>
        <w:ind w:right="2834"/>
        <w:spacing w:after="0"/>
        <w:rPr>
          <w:sz w:val="20"/>
          <w:szCs w:val="20"/>
          <w:color w:val="auto"/>
        </w:rPr>
      </w:pPr>
      <w:r>
        <w:rPr>
          <w:rFonts w:ascii="Courier New" w:cs="Courier New" w:eastAsia="Courier New" w:hAnsi="Courier New"/>
          <w:sz w:val="15"/>
          <w:szCs w:val="15"/>
          <w:color w:val="auto"/>
        </w:rPr>
        <w:t>HAWKINS CHEMICAL,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PROXY FOR ANNUAL MEETING OF SHAREHOLDERS</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FEBRUARY 12, 1997</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THIS PROXY IS SOLICITED ON BEHALF OF THE BOARD OF DIRECTORS OF HAWKINS CHEMICAL,</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INC.</w:t>
      </w:r>
    </w:p>
    <w:p>
      <w:pPr>
        <w:spacing w:after="0" w:line="185"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The undersigned hereby appoints Howard J. Hawkins, Dean L. Hahn, and John R. Hawkins, or a majority of them, as Proxies, each with the power to appoint his substitute, and hereby authorizes them to represent and to vote, as designated below, all the shares of common stock of Hawkins Chemical, Inc. held of record by the undersigned on JANUARY 3, 1997, at the Annual Meeting of Shareholders of Hawkins Chemical, Inc. to be held at 3:00 P.M. on Wednesday, FEBRUARY 12, 1997, at the Sheraton Minneapolis Metrodome, 1330 Industrial Boulevard, Minneapolis, Minnesota, and any adjournment thereof.</w:t>
      </w:r>
    </w:p>
    <w:p>
      <w:pPr>
        <w:sectPr>
          <w:pgSz w:w="11900" w:h="16838" w:orient="portrait"/>
          <w:cols w:equalWidth="0" w:num="1">
            <w:col w:w="10225"/>
          </w:cols>
          <w:pgMar w:left="235" w:top="473" w:right="1440" w:bottom="1440" w:gutter="0" w:footer="0" w:header="0"/>
        </w:sectPr>
      </w:pPr>
    </w:p>
    <w:p>
      <w:pPr>
        <w:spacing w:after="0" w:line="175" w:lineRule="exact"/>
        <w:rPr>
          <w:sz w:val="20"/>
          <w:szCs w:val="20"/>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ELECTION OF</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DIRECTORS: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 /</w:t>
        <w:tab/>
        <w:t>FOR all nominees listed below</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EXCEPT those I have struck by a</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line through their names.</w:t>
      </w:r>
    </w:p>
    <w:p>
      <w:pPr>
        <w:spacing w:after="0" w:line="8" w:lineRule="exact"/>
        <w:rPr>
          <w:sz w:val="20"/>
          <w:szCs w:val="20"/>
          <w:color w:val="auto"/>
        </w:rPr>
      </w:pPr>
    </w:p>
    <w:p>
      <w:pPr>
        <w:sectPr>
          <w:pgSz w:w="11900" w:h="16838" w:orient="portrait"/>
          <w:cols w:equalWidth="0" w:num="2">
            <w:col w:w="1485" w:space="260"/>
            <w:col w:w="8479"/>
          </w:cols>
          <w:pgMar w:left="235" w:top="473" w:right="1440" w:bottom="1440" w:gutter="0" w:footer="0" w:header="0"/>
          <w:type w:val="continuous"/>
        </w:sectPr>
      </w:pPr>
    </w:p>
    <w:p>
      <w:pPr>
        <w:jc w:val="center"/>
        <w:ind w:left="240"/>
        <w:spacing w:after="0" w:line="250" w:lineRule="auto"/>
        <w:rPr>
          <w:sz w:val="20"/>
          <w:szCs w:val="20"/>
          <w:color w:val="auto"/>
        </w:rPr>
      </w:pPr>
      <w:r>
        <w:rPr>
          <w:rFonts w:ascii="Courier New" w:cs="Courier New" w:eastAsia="Courier New" w:hAnsi="Courier New"/>
          <w:sz w:val="15"/>
          <w:szCs w:val="15"/>
          <w:color w:val="auto"/>
        </w:rPr>
        <w:t>Howard J. Hawkins, Dean L. Hahn, Carl J. Ahlgren, Howard M. Hawkins, Norman P. Anderson, Donald L. Shipp, John S. McKeon, John R. Hawkins, S. Albert Diez Hanser, Duane Jergenson</w:t>
      </w:r>
    </w:p>
    <w:p>
      <w:pPr>
        <w:spacing w:after="0" w:line="1" w:lineRule="exact"/>
        <w:rPr>
          <w:sz w:val="20"/>
          <w:szCs w:val="20"/>
          <w:color w:val="auto"/>
        </w:rPr>
      </w:pPr>
    </w:p>
    <w:p>
      <w:pPr>
        <w:ind w:left="465"/>
        <w:spacing w:after="0"/>
        <w:tabs>
          <w:tab w:leader="none" w:pos="905" w:val="left"/>
        </w:tabs>
        <w:rPr>
          <w:sz w:val="20"/>
          <w:szCs w:val="20"/>
          <w:color w:val="auto"/>
        </w:rPr>
      </w:pPr>
      <w:r>
        <w:rPr>
          <w:rFonts w:ascii="Courier New" w:cs="Courier New" w:eastAsia="Courier New" w:hAnsi="Courier New"/>
          <w:sz w:val="15"/>
          <w:szCs w:val="15"/>
          <w:color w:val="auto"/>
        </w:rPr>
        <w:t>/ /</w:t>
        <w:tab/>
        <w:t>WITHHOLD AUTHORITY</w:t>
      </w:r>
    </w:p>
    <w:p>
      <w:pPr>
        <w:spacing w:after="0" w:line="8" w:lineRule="exact"/>
        <w:rPr>
          <w:sz w:val="20"/>
          <w:szCs w:val="20"/>
          <w:color w:val="auto"/>
        </w:rPr>
      </w:pPr>
    </w:p>
    <w:p>
      <w:pPr>
        <w:ind w:left="745"/>
        <w:spacing w:after="0"/>
        <w:rPr>
          <w:sz w:val="20"/>
          <w:szCs w:val="20"/>
          <w:color w:val="auto"/>
        </w:rPr>
      </w:pPr>
      <w:r>
        <w:rPr>
          <w:rFonts w:ascii="Courier New" w:cs="Courier New" w:eastAsia="Courier New" w:hAnsi="Courier New"/>
          <w:sz w:val="15"/>
          <w:szCs w:val="15"/>
          <w:color w:val="auto"/>
        </w:rPr>
        <w:t>to vote for ALL nominees listed above.</w:t>
      </w:r>
    </w:p>
    <w:p>
      <w:pPr>
        <w:spacing w:after="0" w:line="8" w:lineRule="exact"/>
        <w:rPr>
          <w:sz w:val="20"/>
          <w:szCs w:val="20"/>
          <w:color w:val="auto"/>
        </w:rPr>
      </w:pPr>
    </w:p>
    <w:p>
      <w:pPr>
        <w:ind w:left="465" w:right="3119" w:hanging="465"/>
        <w:spacing w:after="0" w:line="250" w:lineRule="auto"/>
        <w:tabs>
          <w:tab w:leader="none" w:pos="46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RATIFY AND APPROVE the selection of Deloitte &amp; Touche LLP as independent auditors for the current fiscal year.</w:t>
      </w:r>
    </w:p>
    <w:p>
      <w:pPr>
        <w:spacing w:after="0" w:line="1" w:lineRule="exact"/>
        <w:rPr>
          <w:sz w:val="20"/>
          <w:szCs w:val="20"/>
          <w:color w:val="auto"/>
        </w:rPr>
      </w:pPr>
    </w:p>
    <w:p>
      <w:pPr>
        <w:ind w:left="1845"/>
        <w:spacing w:after="0"/>
        <w:tabs>
          <w:tab w:leader="none" w:pos="2285" w:val="left"/>
          <w:tab w:leader="none" w:pos="3125" w:val="left"/>
          <w:tab w:leader="none" w:pos="3585" w:val="left"/>
          <w:tab w:leader="none" w:pos="4785" w:val="left"/>
          <w:tab w:leader="none" w:pos="5245"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tab/>
        <w:t>ABSTAIN</w:t>
      </w:r>
    </w:p>
    <w:p>
      <w:pPr>
        <w:spacing w:after="0" w:line="8" w:lineRule="exact"/>
        <w:rPr>
          <w:sz w:val="20"/>
          <w:szCs w:val="20"/>
          <w:color w:val="auto"/>
        </w:rPr>
      </w:pPr>
    </w:p>
    <w:p>
      <w:pPr>
        <w:ind w:left="465" w:right="3219" w:hanging="465"/>
        <w:spacing w:after="0" w:line="252" w:lineRule="auto"/>
        <w:tabs>
          <w:tab w:leader="none" w:pos="46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matters as may properly come before the meeting. Management is not presently aware of any such matters to be presented for action.</w:t>
      </w:r>
    </w:p>
    <w:p>
      <w:pPr>
        <w:spacing w:after="0" w:line="175"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(CONTINUED, AND TO BE SIGNED AND DATED, ON THE OTHER SIDE)</w:t>
      </w:r>
    </w:p>
    <w:p>
      <w:pPr>
        <w:sectPr>
          <w:pgSz w:w="11900" w:h="16838" w:orient="portrait"/>
          <w:cols w:equalWidth="0" w:num="1">
            <w:col w:w="10225"/>
          </w:cols>
          <w:pgMar w:left="235" w:top="473" w:right="1440" w:bottom="1440" w:gutter="0" w:footer="0" w:header="0"/>
          <w:type w:val="continuous"/>
        </w:sectPr>
      </w:pPr>
    </w:p>
    <w:bookmarkStart w:id="12" w:name="page13"/>
    <w:bookmarkEnd w:id="12"/>
    <w:p>
      <w:pPr>
        <w:ind w:right="2939"/>
        <w:spacing w:after="0" w:line="252" w:lineRule="auto"/>
        <w:rPr>
          <w:sz w:val="20"/>
          <w:szCs w:val="20"/>
          <w:color w:val="auto"/>
        </w:rPr>
      </w:pPr>
      <w:r>
        <w:rPr>
          <w:rFonts w:ascii="Courier New" w:cs="Courier New" w:eastAsia="Courier New" w:hAnsi="Courier New"/>
          <w:sz w:val="15"/>
          <w:szCs w:val="15"/>
          <w:color w:val="auto"/>
        </w:rPr>
        <w:t>THE SHARES REPRESENTED HEREBY WILL BE VOTED AS DIRECTED BY THIS PROXY, BUT IF THIS PROXY IS RETURNED WITH NO DIRECTION MADE, THEY WILL BE VOTED "FOR" EACH OF THE PROPOSALS.</w:t>
      </w:r>
    </w:p>
    <w:p>
      <w:pPr>
        <w:spacing w:after="0" w:line="175"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The undersigned hereby ratifies and confirms all that the Proxies shall lawfully do or cause to be done by virtue hereof and hereby revokes all proxies heretofore given to vote such shares.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SIGN AND RETURN PROMPTLY.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Signature if held jointly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Dated: ______________________________________, 1997</w:t>
      </w:r>
    </w:p>
    <w:p>
      <w:pPr>
        <w:spacing w:after="0" w:line="8"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(Please date this Proxy)</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(Please sign exactly as your name appears to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left. When shares are held by joint tenants, both</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should sign. When signing as executor,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administrator, attorney, trustee or guardian,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please give full title as such. If a corporation,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please sign in full corporate name by president 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other authorized officer. If a partnership, please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 in partnership name by an authorized person.)</w:t>
      </w:r>
    </w:p>
    <w:sectPr>
      <w:pgSz w:w="11900" w:h="16838" w:orient="portrait"/>
      <w:cols w:equalWidth="0" w:num="1">
        <w:col w:w="10219"/>
      </w:cols>
      <w:pgMar w:left="24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lvl w:ilvl="1">
      <w:lvlJc w:val="left"/>
      <w:lvlText w:val="*"/>
      <w:numFmt w:val="bullet"/>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5"/>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59"/>
    </w:lvl>
  </w:abstractNum>
  <w:abstractNum w:abstractNumId="9">
    <w:nsid w:val="109CF92E"/>
    <w:multiLevelType w:val="hybridMultilevel"/>
    <w:lvl w:ilvl="0">
      <w:lvlJc w:val="left"/>
      <w:lvlText w:val="%1"/>
      <w:numFmt w:val="decimal"/>
      <w:start w:val="50"/>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2"/>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2019-12-13T01:51:08Z</dcterms:created>
  <dcterms:modified xsi:type="dcterms:W3CDTF">2019-12-13T01:51:08Z</dcterms:modified>
</cp:coreProperties>
</file>