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112395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2008</w:t>
      </w:r>
    </w:p>
    <w:p>
      <w:pPr>
        <w:spacing w:after="0" w:line="247" w:lineRule="exact"/>
        <w:rPr>
          <w:sz w:val="24"/>
          <w:szCs w:val="24"/>
          <w:color w:val="auto"/>
        </w:rPr>
      </w:pPr>
    </w:p>
    <w:tbl>
      <w:tblPr>
        <w:tblLayout w:type="fixed"/>
        <w:tblInd w:w="1800" w:type="dxa"/>
        <w:tblCellMar>
          <w:top w:w="0" w:type="dxa"/>
          <w:left w:w="0" w:type="dxa"/>
          <w:bottom w:w="0" w:type="dxa"/>
          <w:right w:w="0" w:type="dxa"/>
        </w:tblCellMar>
      </w:tblPr>
      <w:tr>
        <w:trPr>
          <w:trHeight w:val="281"/>
        </w:trPr>
        <w:tc>
          <w:tcPr>
            <w:tcW w:w="2100" w:type="dxa"/>
            <w:vAlign w:val="bottom"/>
          </w:tcPr>
          <w:p>
            <w:pPr>
              <w:spacing w:after="0"/>
              <w:rPr>
                <w:sz w:val="24"/>
                <w:szCs w:val="24"/>
                <w:color w:val="auto"/>
              </w:rPr>
            </w:pPr>
          </w:p>
        </w:tc>
        <w:tc>
          <w:tcPr>
            <w:tcW w:w="5940" w:type="dxa"/>
            <w:vAlign w:val="bottom"/>
            <w:gridSpan w:val="3"/>
          </w:tcPr>
          <w:p>
            <w:pPr>
              <w:jc w:val="center"/>
              <w:ind w:right="2232"/>
              <w:spacing w:after="0"/>
              <w:rPr>
                <w:sz w:val="20"/>
                <w:szCs w:val="20"/>
                <w:color w:val="auto"/>
              </w:rPr>
            </w:pPr>
            <w:r>
              <w:rPr>
                <w:rFonts w:ascii="Arial" w:cs="Arial" w:eastAsia="Arial" w:hAnsi="Arial"/>
                <w:sz w:val="22"/>
                <w:szCs w:val="22"/>
                <w:b w:val="1"/>
                <w:bCs w:val="1"/>
                <w:color w:val="auto"/>
                <w:w w:val="88"/>
              </w:rPr>
              <w:t>Commission file number 0-7647</w:t>
            </w:r>
          </w:p>
        </w:tc>
      </w:tr>
      <w:tr>
        <w:trPr>
          <w:trHeight w:val="108"/>
        </w:trPr>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r>
      <w:tr>
        <w:trPr>
          <w:trHeight w:val="596"/>
        </w:trPr>
        <w:tc>
          <w:tcPr>
            <w:tcW w:w="2100" w:type="dxa"/>
            <w:vAlign w:val="bottom"/>
          </w:tcPr>
          <w:p>
            <w:pPr>
              <w:spacing w:after="0"/>
              <w:rPr>
                <w:sz w:val="24"/>
                <w:szCs w:val="24"/>
                <w:color w:val="auto"/>
              </w:rPr>
            </w:pPr>
          </w:p>
        </w:tc>
        <w:tc>
          <w:tcPr>
            <w:tcW w:w="5940" w:type="dxa"/>
            <w:vAlign w:val="bottom"/>
            <w:gridSpan w:val="3"/>
          </w:tcPr>
          <w:p>
            <w:pPr>
              <w:jc w:val="center"/>
              <w:ind w:right="2212"/>
              <w:spacing w:after="0"/>
              <w:rPr>
                <w:sz w:val="20"/>
                <w:szCs w:val="20"/>
                <w:color w:val="auto"/>
              </w:rPr>
            </w:pPr>
            <w:r>
              <w:rPr>
                <w:rFonts w:ascii="Arial" w:cs="Arial" w:eastAsia="Arial" w:hAnsi="Arial"/>
                <w:sz w:val="43"/>
                <w:szCs w:val="43"/>
                <w:b w:val="1"/>
                <w:bCs w:val="1"/>
                <w:color w:val="auto"/>
              </w:rPr>
              <w:t>HAWKINS, INC.</w:t>
            </w:r>
          </w:p>
        </w:tc>
      </w:tr>
      <w:tr>
        <w:trPr>
          <w:trHeight w:val="222"/>
        </w:trPr>
        <w:tc>
          <w:tcPr>
            <w:tcW w:w="2100" w:type="dxa"/>
            <w:vAlign w:val="bottom"/>
          </w:tcPr>
          <w:p>
            <w:pPr>
              <w:spacing w:after="0"/>
              <w:rPr>
                <w:sz w:val="19"/>
                <w:szCs w:val="19"/>
                <w:color w:val="auto"/>
              </w:rPr>
            </w:pPr>
          </w:p>
        </w:tc>
        <w:tc>
          <w:tcPr>
            <w:tcW w:w="5940" w:type="dxa"/>
            <w:vAlign w:val="bottom"/>
            <w:gridSpan w:val="3"/>
          </w:tcPr>
          <w:p>
            <w:pPr>
              <w:jc w:val="center"/>
              <w:ind w:right="223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385"/>
        </w:trPr>
        <w:tc>
          <w:tcPr>
            <w:tcW w:w="2100" w:type="dxa"/>
            <w:vAlign w:val="bottom"/>
          </w:tcPr>
          <w:p>
            <w:pPr>
              <w:jc w:val="center"/>
              <w:spacing w:after="0"/>
              <w:rPr>
                <w:sz w:val="20"/>
                <w:szCs w:val="20"/>
                <w:color w:val="auto"/>
              </w:rPr>
            </w:pPr>
            <w:r>
              <w:rPr>
                <w:rFonts w:ascii="Arial" w:cs="Arial" w:eastAsia="Arial" w:hAnsi="Arial"/>
                <w:sz w:val="22"/>
                <w:szCs w:val="22"/>
                <w:b w:val="1"/>
                <w:bCs w:val="1"/>
                <w:color w:val="auto"/>
                <w:w w:val="99"/>
              </w:rPr>
              <w:t>MINNESOTA</w:t>
            </w:r>
          </w:p>
        </w:tc>
        <w:tc>
          <w:tcPr>
            <w:tcW w:w="5940" w:type="dxa"/>
            <w:vAlign w:val="bottom"/>
            <w:gridSpan w:val="3"/>
          </w:tcPr>
          <w:p>
            <w:pPr>
              <w:jc w:val="right"/>
              <w:ind w:right="65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80" w:type="dxa"/>
            <w:vAlign w:val="bottom"/>
          </w:tcPr>
          <w:p>
            <w:pPr>
              <w:jc w:val="center"/>
              <w:ind w:left="35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8040" w:type="dxa"/>
            <w:vAlign w:val="bottom"/>
            <w:gridSpan w:val="4"/>
          </w:tcPr>
          <w:p>
            <w:pPr>
              <w:jc w:val="center"/>
              <w:ind w:right="5832"/>
              <w:spacing w:after="0"/>
              <w:rPr>
                <w:sz w:val="20"/>
                <w:szCs w:val="20"/>
                <w:color w:val="auto"/>
              </w:rPr>
            </w:pPr>
            <w:r>
              <w:rPr>
                <w:rFonts w:ascii="Arial" w:cs="Arial" w:eastAsia="Arial" w:hAnsi="Arial"/>
                <w:sz w:val="18"/>
                <w:szCs w:val="18"/>
                <w:color w:val="auto"/>
                <w:w w:val="90"/>
              </w:rPr>
              <w:t>incorporation or organization)</w:t>
            </w:r>
          </w:p>
        </w:tc>
      </w:tr>
      <w:tr>
        <w:trPr>
          <w:trHeight w:val="412"/>
        </w:trPr>
        <w:tc>
          <w:tcPr>
            <w:tcW w:w="8040" w:type="dxa"/>
            <w:vAlign w:val="bottom"/>
            <w:gridSpan w:val="4"/>
          </w:tcPr>
          <w:p>
            <w:pPr>
              <w:jc w:val="center"/>
              <w:ind w:right="132"/>
              <w:spacing w:after="0"/>
              <w:rPr>
                <w:sz w:val="20"/>
                <w:szCs w:val="20"/>
                <w:color w:val="auto"/>
              </w:rPr>
            </w:pPr>
            <w:r>
              <w:rPr>
                <w:rFonts w:ascii="Arial" w:cs="Arial" w:eastAsia="Arial" w:hAnsi="Arial"/>
                <w:sz w:val="22"/>
                <w:szCs w:val="22"/>
                <w:b w:val="1"/>
                <w:bCs w:val="1"/>
                <w:color w:val="auto"/>
                <w:w w:val="96"/>
              </w:rPr>
              <w:t>3100 EAST HENNEPIN AVENUE, MINNEAPOLIS, MINNESOTA 55413</w:t>
            </w:r>
          </w:p>
        </w:tc>
      </w:tr>
      <w:tr>
        <w:trPr>
          <w:trHeight w:val="222"/>
        </w:trPr>
        <w:tc>
          <w:tcPr>
            <w:tcW w:w="8040" w:type="dxa"/>
            <w:vAlign w:val="bottom"/>
            <w:gridSpan w:val="4"/>
          </w:tcPr>
          <w:p>
            <w:pPr>
              <w:jc w:val="center"/>
              <w:ind w:right="132"/>
              <w:spacing w:after="0"/>
              <w:rPr>
                <w:sz w:val="20"/>
                <w:szCs w:val="20"/>
                <w:color w:val="auto"/>
              </w:rPr>
            </w:pPr>
            <w:r>
              <w:rPr>
                <w:rFonts w:ascii="Arial" w:cs="Arial" w:eastAsia="Arial" w:hAnsi="Arial"/>
                <w:sz w:val="18"/>
                <w:szCs w:val="18"/>
                <w:color w:val="auto"/>
                <w:w w:val="90"/>
              </w:rPr>
              <w:t>(Address of principal executive offices, including zip code)</w:t>
            </w:r>
          </w:p>
        </w:tc>
      </w:tr>
      <w:tr>
        <w:trPr>
          <w:trHeight w:val="385"/>
        </w:trPr>
        <w:tc>
          <w:tcPr>
            <w:tcW w:w="2100" w:type="dxa"/>
            <w:vAlign w:val="bottom"/>
          </w:tcPr>
          <w:p>
            <w:pPr>
              <w:spacing w:after="0"/>
              <w:rPr>
                <w:sz w:val="24"/>
                <w:szCs w:val="24"/>
                <w:color w:val="auto"/>
              </w:rPr>
            </w:pPr>
          </w:p>
        </w:tc>
        <w:tc>
          <w:tcPr>
            <w:tcW w:w="2960" w:type="dxa"/>
            <w:vAlign w:val="bottom"/>
            <w:gridSpan w:val="2"/>
          </w:tcPr>
          <w:p>
            <w:pPr>
              <w:jc w:val="center"/>
              <w:ind w:left="534"/>
              <w:spacing w:after="0"/>
              <w:rPr>
                <w:sz w:val="20"/>
                <w:szCs w:val="20"/>
                <w:color w:val="auto"/>
              </w:rPr>
            </w:pPr>
            <w:r>
              <w:rPr>
                <w:rFonts w:ascii="Arial" w:cs="Arial" w:eastAsia="Arial" w:hAnsi="Arial"/>
                <w:sz w:val="22"/>
                <w:szCs w:val="22"/>
                <w:b w:val="1"/>
                <w:bCs w:val="1"/>
                <w:color w:val="auto"/>
                <w:w w:val="89"/>
              </w:rPr>
              <w:t>(612) 331-6910</w:t>
            </w:r>
          </w:p>
        </w:tc>
        <w:tc>
          <w:tcPr>
            <w:tcW w:w="2980" w:type="dxa"/>
            <w:vAlign w:val="bottom"/>
          </w:tcPr>
          <w:p>
            <w:pPr>
              <w:spacing w:after="0"/>
              <w:rPr>
                <w:sz w:val="24"/>
                <w:szCs w:val="24"/>
                <w:color w:val="auto"/>
              </w:rPr>
            </w:pPr>
          </w:p>
        </w:tc>
      </w:tr>
      <w:tr>
        <w:trPr>
          <w:trHeight w:val="222"/>
        </w:trPr>
        <w:tc>
          <w:tcPr>
            <w:tcW w:w="8040" w:type="dxa"/>
            <w:vAlign w:val="bottom"/>
            <w:gridSpan w:val="4"/>
          </w:tcPr>
          <w:p>
            <w:pPr>
              <w:jc w:val="center"/>
              <w:ind w:right="112"/>
              <w:spacing w:after="0"/>
              <w:rPr>
                <w:sz w:val="20"/>
                <w:szCs w:val="20"/>
                <w:color w:val="auto"/>
              </w:rPr>
            </w:pPr>
            <w:r>
              <w:rPr>
                <w:rFonts w:ascii="Arial" w:cs="Arial" w:eastAsia="Arial" w:hAnsi="Arial"/>
                <w:sz w:val="18"/>
                <w:szCs w:val="18"/>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-1845945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-1845945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161925</wp:posOffset>
            </wp:positionV>
            <wp:extent cx="14706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52"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YES x NO o</w:t>
      </w:r>
    </w:p>
    <w:p>
      <w:pPr>
        <w:spacing w:after="0" w:line="98"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pacing w:after="0" w:line="65" w:lineRule="exact"/>
        <w:rPr>
          <w:sz w:val="24"/>
          <w:szCs w:val="24"/>
          <w:color w:val="auto"/>
        </w:rPr>
      </w:pPr>
    </w:p>
    <w:p>
      <w:pPr>
        <w:ind w:right="620" w:firstLine="501"/>
        <w:spacing w:after="0" w:line="348" w:lineRule="auto"/>
        <w:rPr>
          <w:sz w:val="20"/>
          <w:szCs w:val="20"/>
          <w:color w:val="auto"/>
        </w:rPr>
      </w:pPr>
      <w:r>
        <w:rPr>
          <w:rFonts w:ascii="Arial" w:cs="Arial" w:eastAsia="Arial" w:hAnsi="Arial"/>
          <w:sz w:val="21"/>
          <w:szCs w:val="21"/>
          <w:color w:val="auto"/>
        </w:rPr>
        <w:t>Large Accelerated Filer o Accelerated Filer x Non-Accelerated Filer o Smaller Reporting Company o Indicate by check mark whether the registrant is a shell company (as defined in Rule 12b-2 of the Exchange Act).</w:t>
      </w:r>
    </w:p>
    <w:p>
      <w:pPr>
        <w:spacing w:after="0" w:line="2" w:lineRule="exact"/>
        <w:rPr>
          <w:sz w:val="24"/>
          <w:szCs w:val="24"/>
          <w:color w:val="auto"/>
        </w:rPr>
      </w:pPr>
    </w:p>
    <w:p>
      <w:pPr>
        <w:ind w:left="5160"/>
        <w:spacing w:after="0"/>
        <w:rPr>
          <w:sz w:val="20"/>
          <w:szCs w:val="20"/>
          <w:color w:val="auto"/>
        </w:rPr>
      </w:pPr>
      <w:r>
        <w:rPr>
          <w:rFonts w:ascii="Arial" w:cs="Arial" w:eastAsia="Arial" w:hAnsi="Arial"/>
          <w:sz w:val="22"/>
          <w:szCs w:val="22"/>
          <w:color w:val="auto"/>
        </w:rPr>
        <w:t>YES o NO x</w:t>
      </w:r>
    </w:p>
    <w:p>
      <w:pPr>
        <w:spacing w:after="0" w:line="98"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6220" w:type="dxa"/>
            <w:vAlign w:val="bottom"/>
            <w:tcBorders>
              <w:bottom w:val="single" w:sz="8" w:color="auto"/>
            </w:tcBorders>
          </w:tcPr>
          <w:p>
            <w:pPr>
              <w:jc w:val="center"/>
              <w:ind w:left="532"/>
              <w:spacing w:after="0"/>
              <w:rPr>
                <w:sz w:val="20"/>
                <w:szCs w:val="20"/>
                <w:color w:val="auto"/>
              </w:rPr>
            </w:pPr>
            <w:r>
              <w:rPr>
                <w:rFonts w:ascii="Arial" w:cs="Arial" w:eastAsia="Arial" w:hAnsi="Arial"/>
                <w:sz w:val="22"/>
                <w:szCs w:val="22"/>
                <w:color w:val="auto"/>
                <w:w w:val="91"/>
              </w:rPr>
              <w:t>CLASS</w:t>
            </w:r>
          </w:p>
        </w:tc>
        <w:tc>
          <w:tcPr>
            <w:tcW w:w="5200" w:type="dxa"/>
            <w:vAlign w:val="bottom"/>
            <w:tcBorders>
              <w:bottom w:val="single" w:sz="8" w:color="auto"/>
            </w:tcBorders>
          </w:tcPr>
          <w:p>
            <w:pPr>
              <w:jc w:val="center"/>
              <w:ind w:left="532"/>
              <w:spacing w:after="0"/>
              <w:rPr>
                <w:sz w:val="20"/>
                <w:szCs w:val="20"/>
                <w:color w:val="auto"/>
              </w:rPr>
            </w:pPr>
            <w:r>
              <w:rPr>
                <w:rFonts w:ascii="Arial" w:cs="Arial" w:eastAsia="Arial" w:hAnsi="Arial"/>
                <w:sz w:val="22"/>
                <w:szCs w:val="22"/>
                <w:color w:val="auto"/>
                <w:w w:val="93"/>
              </w:rPr>
              <w:t>OUTSTANDING AT NOVEMBER 7, 2008</w:t>
            </w:r>
          </w:p>
        </w:tc>
      </w:tr>
      <w:tr>
        <w:trPr>
          <w:trHeight w:val="268"/>
        </w:trPr>
        <w:tc>
          <w:tcPr>
            <w:tcW w:w="6220" w:type="dxa"/>
            <w:vAlign w:val="bottom"/>
          </w:tcPr>
          <w:p>
            <w:pPr>
              <w:jc w:val="center"/>
              <w:ind w:left="532"/>
              <w:spacing w:after="0"/>
              <w:rPr>
                <w:sz w:val="20"/>
                <w:szCs w:val="20"/>
                <w:color w:val="auto"/>
              </w:rPr>
            </w:pPr>
            <w:r>
              <w:rPr>
                <w:rFonts w:ascii="Arial" w:cs="Arial" w:eastAsia="Arial" w:hAnsi="Arial"/>
                <w:sz w:val="22"/>
                <w:szCs w:val="22"/>
                <w:color w:val="auto"/>
                <w:w w:val="88"/>
              </w:rPr>
              <w:t>Common Stock, par value $.05 per share</w:t>
            </w:r>
          </w:p>
        </w:tc>
        <w:tc>
          <w:tcPr>
            <w:tcW w:w="5200" w:type="dxa"/>
            <w:vAlign w:val="bottom"/>
          </w:tcPr>
          <w:p>
            <w:pPr>
              <w:jc w:val="right"/>
              <w:ind w:right="1692"/>
              <w:spacing w:after="0"/>
              <w:rPr>
                <w:sz w:val="20"/>
                <w:szCs w:val="20"/>
                <w:color w:val="auto"/>
              </w:rPr>
            </w:pPr>
            <w:r>
              <w:rPr>
                <w:rFonts w:ascii="Arial" w:cs="Arial" w:eastAsia="Arial" w:hAnsi="Arial"/>
                <w:sz w:val="22"/>
                <w:szCs w:val="22"/>
                <w:color w:val="auto"/>
              </w:rPr>
              <w:t>10,253,458</w:t>
            </w:r>
          </w:p>
        </w:tc>
      </w:tr>
      <w:tr>
        <w:trPr>
          <w:trHeight w:val="158"/>
        </w:trPr>
        <w:tc>
          <w:tcPr>
            <w:tcW w:w="6220" w:type="dxa"/>
            <w:vAlign w:val="bottom"/>
            <w:tcBorders>
              <w:bottom w:val="single" w:sz="8" w:color="auto"/>
            </w:tcBorders>
          </w:tcPr>
          <w:p>
            <w:pPr>
              <w:spacing w:after="0"/>
              <w:rPr>
                <w:sz w:val="13"/>
                <w:szCs w:val="13"/>
                <w:color w:val="auto"/>
              </w:rPr>
            </w:pPr>
          </w:p>
        </w:tc>
        <w:tc>
          <w:tcPr>
            <w:tcW w:w="5200" w:type="dxa"/>
            <w:vAlign w:val="bottom"/>
            <w:tcBorders>
              <w:bottom w:val="single" w:sz="8" w:color="auto"/>
            </w:tcBorders>
          </w:tcPr>
          <w:p>
            <w:pPr>
              <w:spacing w:after="0"/>
              <w:rPr>
                <w:sz w:val="13"/>
                <w:szCs w:val="13"/>
                <w:color w:val="auto"/>
              </w:rPr>
            </w:pPr>
          </w:p>
        </w:tc>
      </w:tr>
      <w:tr>
        <w:trPr>
          <w:trHeight w:val="28"/>
        </w:trPr>
        <w:tc>
          <w:tcPr>
            <w:tcW w:w="622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132"/>
        </w:trPr>
        <w:tc>
          <w:tcPr>
            <w:tcW w:w="622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50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080" w:type="dxa"/>
            <w:vAlign w:val="bottom"/>
            <w:gridSpan w:val="1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3"/>
        </w:trPr>
        <w:tc>
          <w:tcPr>
            <w:tcW w:w="1500" w:type="dxa"/>
            <w:vAlign w:val="bottom"/>
            <w:gridSpan w:val="5"/>
            <w:vMerge w:val="continue"/>
          </w:tcPr>
          <w:p>
            <w:pPr>
              <w:spacing w:after="0"/>
              <w:rPr>
                <w:sz w:val="14"/>
                <w:szCs w:val="14"/>
                <w:color w:val="auto"/>
              </w:rPr>
            </w:pPr>
          </w:p>
        </w:tc>
        <w:tc>
          <w:tcPr>
            <w:tcW w:w="8080" w:type="dxa"/>
            <w:vAlign w:val="bottom"/>
            <w:gridSpan w:val="11"/>
            <w:vMerge w:val="continue"/>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80" w:type="dxa"/>
            <w:vAlign w:val="bottom"/>
            <w:gridSpan w:val="2"/>
          </w:tcPr>
          <w:p>
            <w:pPr>
              <w:spacing w:after="0"/>
              <w:rPr>
                <w:sz w:val="24"/>
                <w:szCs w:val="24"/>
                <w:color w:val="auto"/>
              </w:rPr>
            </w:pPr>
          </w:p>
        </w:tc>
        <w:tc>
          <w:tcPr>
            <w:tcW w:w="80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 September 30, 2008 and March 30, 2008</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8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Statements of Income – Three and Six Months Ended September 30, 2008 and 2007</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Statements of Cash Flows - Six Months Ended September 30, 2008 and 2007</w:t>
              </w:r>
            </w:hyperlink>
          </w:p>
        </w:tc>
        <w:tc>
          <w:tcPr>
            <w:tcW w:w="480" w:type="dxa"/>
            <w:vAlign w:val="bottom"/>
            <w:tcBorders>
              <w:top w:val="single" w:sz="8" w:color="0000EE"/>
            </w:tcBorders>
            <w:gridSpan w:val="2"/>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Financial Statements</w:t>
              </w:r>
            </w:hyperlink>
          </w:p>
        </w:tc>
        <w:tc>
          <w:tcPr>
            <w:tcW w:w="5140" w:type="dxa"/>
            <w:vAlign w:val="bottom"/>
            <w:gridSpan w:val="6"/>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2.</w:t>
              </w:r>
            </w:hyperlink>
          </w:p>
        </w:tc>
        <w:tc>
          <w:tcPr>
            <w:tcW w:w="980" w:type="dxa"/>
            <w:vAlign w:val="bottom"/>
            <w:gridSpan w:val="3"/>
          </w:tcPr>
          <w:p>
            <w:pPr>
              <w:spacing w:after="0"/>
              <w:rPr>
                <w:sz w:val="24"/>
                <w:szCs w:val="24"/>
                <w:color w:val="auto"/>
              </w:rPr>
            </w:pPr>
          </w:p>
        </w:tc>
        <w:tc>
          <w:tcPr>
            <w:tcW w:w="808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45"/>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3.</w:t>
              </w:r>
            </w:hyperlink>
          </w:p>
        </w:tc>
        <w:tc>
          <w:tcPr>
            <w:tcW w:w="980" w:type="dxa"/>
            <w:vAlign w:val="bottom"/>
            <w:gridSpan w:val="3"/>
          </w:tcPr>
          <w:p>
            <w:pPr>
              <w:spacing w:after="0"/>
              <w:rPr>
                <w:sz w:val="24"/>
                <w:szCs w:val="24"/>
                <w:color w:val="auto"/>
              </w:rPr>
            </w:pPr>
          </w:p>
        </w:tc>
        <w:tc>
          <w:tcPr>
            <w:tcW w:w="6300" w:type="dxa"/>
            <w:vAlign w:val="bottom"/>
            <w:tcBorders>
              <w:top w:val="single" w:sz="8" w:color="0000EE"/>
            </w:tcBorders>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1780" w:type="dxa"/>
            <w:vAlign w:val="bottom"/>
            <w:gridSpan w:val="2"/>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45"/>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4.</w:t>
              </w:r>
            </w:hyperlink>
          </w:p>
        </w:tc>
        <w:tc>
          <w:tcPr>
            <w:tcW w:w="980" w:type="dxa"/>
            <w:vAlign w:val="bottom"/>
            <w:gridSpan w:val="3"/>
          </w:tcPr>
          <w:p>
            <w:pPr>
              <w:spacing w:after="0"/>
              <w:rPr>
                <w:sz w:val="24"/>
                <w:szCs w:val="24"/>
                <w:color w:val="auto"/>
              </w:rPr>
            </w:pPr>
          </w:p>
        </w:tc>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3880" w:type="dxa"/>
            <w:vAlign w:val="bottom"/>
            <w:gridSpan w:val="5"/>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PART II.</w:t>
              </w:r>
            </w:hyperlink>
          </w:p>
        </w:tc>
        <w:tc>
          <w:tcPr>
            <w:tcW w:w="800" w:type="dxa"/>
            <w:vAlign w:val="bottom"/>
          </w:tcPr>
          <w:p>
            <w:pPr>
              <w:spacing w:after="0"/>
              <w:rPr>
                <w:sz w:val="24"/>
                <w:szCs w:val="24"/>
                <w:color w:val="auto"/>
              </w:rPr>
            </w:pPr>
          </w:p>
        </w:tc>
        <w:tc>
          <w:tcPr>
            <w:tcW w:w="198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OTHER INFORMATION</w:t>
              </w:r>
            </w:hyperlink>
          </w:p>
        </w:tc>
        <w:tc>
          <w:tcPr>
            <w:tcW w:w="6100" w:type="dxa"/>
            <w:vAlign w:val="bottom"/>
            <w:gridSpan w:val="9"/>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2"/>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860" w:type="dxa"/>
            <w:vAlign w:val="bottom"/>
            <w:gridSpan w:val="3"/>
          </w:tcPr>
          <w:p>
            <w:pPr>
              <w:spacing w:after="0"/>
              <w:rPr>
                <w:sz w:val="17"/>
                <w:szCs w:val="17"/>
                <w:color w:val="auto"/>
              </w:rPr>
            </w:pPr>
          </w:p>
        </w:tc>
        <w:tc>
          <w:tcPr>
            <w:tcW w:w="3920" w:type="dxa"/>
            <w:vAlign w:val="bottom"/>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040" w:type="dxa"/>
            <w:vAlign w:val="bottom"/>
          </w:tcPr>
          <w:p>
            <w:pPr>
              <w:jc w:val="right"/>
              <w:ind w:right="172"/>
              <w:spacing w:after="0"/>
              <w:rPr>
                <w:sz w:val="20"/>
                <w:szCs w:val="20"/>
                <w:color w:val="auto"/>
              </w:rPr>
            </w:pPr>
            <w:r>
              <w:rPr>
                <w:rFonts w:ascii="Arial" w:cs="Arial" w:eastAsia="Arial" w:hAnsi="Arial"/>
                <w:sz w:val="18"/>
                <w:szCs w:val="18"/>
                <w:color w:val="auto"/>
              </w:rPr>
              <w:t>14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345"/>
        </w:trPr>
        <w:tc>
          <w:tcPr>
            <w:tcW w:w="640" w:type="dxa"/>
            <w:vAlign w:val="bottom"/>
            <w:gridSpan w:val="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860" w:type="dxa"/>
            <w:vAlign w:val="bottom"/>
            <w:gridSpan w:val="3"/>
          </w:tcPr>
          <w:p>
            <w:pPr>
              <w:spacing w:after="0"/>
              <w:rPr>
                <w:sz w:val="24"/>
                <w:szCs w:val="24"/>
                <w:color w:val="auto"/>
              </w:rPr>
            </w:pPr>
          </w:p>
        </w:tc>
        <w:tc>
          <w:tcPr>
            <w:tcW w:w="3920" w:type="dxa"/>
            <w:vAlign w:val="bottom"/>
            <w:gridSpan w:val="4"/>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Submission of Matters to a Vote of Security Holders</w:t>
              </w:r>
            </w:hyperlink>
          </w:p>
        </w:tc>
        <w:tc>
          <w:tcPr>
            <w:tcW w:w="6040" w:type="dxa"/>
            <w:vAlign w:val="bottom"/>
          </w:tcPr>
          <w:p>
            <w:pPr>
              <w:jc w:val="right"/>
              <w:ind w:right="172"/>
              <w:spacing w:after="0"/>
              <w:rPr>
                <w:sz w:val="20"/>
                <w:szCs w:val="20"/>
                <w:color w:val="auto"/>
              </w:rPr>
            </w:pPr>
            <w:r>
              <w:rPr>
                <w:rFonts w:ascii="Arial" w:cs="Arial" w:eastAsia="Arial" w:hAnsi="Arial"/>
                <w:sz w:val="18"/>
                <w:szCs w:val="18"/>
                <w:color w:val="auto"/>
              </w:rPr>
              <w:t>14</w:t>
            </w: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345"/>
        </w:trPr>
        <w:tc>
          <w:tcPr>
            <w:tcW w:w="1500" w:type="dxa"/>
            <w:vAlign w:val="bottom"/>
            <w:gridSpan w:val="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6.</w:t>
              </w:r>
            </w:hyperlink>
          </w:p>
        </w:tc>
        <w:tc>
          <w:tcPr>
            <w:tcW w:w="3920" w:type="dxa"/>
            <w:vAlign w:val="bottom"/>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Exhibits</w:t>
              </w:r>
            </w:hyperlink>
          </w:p>
        </w:tc>
        <w:tc>
          <w:tcPr>
            <w:tcW w:w="6040" w:type="dxa"/>
            <w:vAlign w:val="bottom"/>
          </w:tcPr>
          <w:p>
            <w:pPr>
              <w:jc w:val="right"/>
              <w:ind w:right="172"/>
              <w:spacing w:after="0"/>
              <w:rPr>
                <w:sz w:val="20"/>
                <w:szCs w:val="20"/>
                <w:color w:val="auto"/>
              </w:rPr>
            </w:pPr>
            <w:r>
              <w:rPr>
                <w:rFonts w:ascii="Arial" w:cs="Arial" w:eastAsia="Arial" w:hAnsi="Arial"/>
                <w:sz w:val="18"/>
                <w:szCs w:val="18"/>
                <w:color w:val="auto"/>
              </w:rPr>
              <w:t>14</w:t>
            </w: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345"/>
        </w:trPr>
        <w:tc>
          <w:tcPr>
            <w:tcW w:w="1500" w:type="dxa"/>
            <w:vAlign w:val="bottom"/>
            <w:gridSpan w:val="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tcPr>
          <w:p>
            <w:pPr>
              <w:jc w:val="right"/>
              <w:ind w:right="172"/>
              <w:spacing w:after="0"/>
              <w:rPr>
                <w:sz w:val="20"/>
                <w:szCs w:val="20"/>
                <w:color w:val="auto"/>
              </w:rPr>
            </w:pPr>
            <w:r>
              <w:rPr>
                <w:rFonts w:ascii="Arial" w:cs="Arial" w:eastAsia="Arial" w:hAnsi="Arial"/>
                <w:sz w:val="18"/>
                <w:szCs w:val="18"/>
                <w:color w:val="auto"/>
              </w:rPr>
              <w:t>15</w:t>
            </w:r>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345"/>
        </w:trPr>
        <w:tc>
          <w:tcPr>
            <w:tcW w:w="1500" w:type="dxa"/>
            <w:vAlign w:val="bottom"/>
            <w:gridSpan w:val="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tcPr>
          <w:p>
            <w:pPr>
              <w:jc w:val="right"/>
              <w:ind w:right="172"/>
              <w:spacing w:after="0"/>
              <w:rPr>
                <w:sz w:val="20"/>
                <w:szCs w:val="20"/>
                <w:color w:val="auto"/>
              </w:rPr>
            </w:pPr>
            <w:r>
              <w:rPr>
                <w:rFonts w:ascii="Arial" w:cs="Arial" w:eastAsia="Arial" w:hAnsi="Arial"/>
                <w:sz w:val="18"/>
                <w:szCs w:val="18"/>
                <w:color w:val="auto"/>
              </w:rPr>
              <w:t>16</w:t>
            </w:r>
          </w:p>
        </w:tc>
      </w:tr>
      <w:tr>
        <w:trPr>
          <w:trHeight w:val="491"/>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tcPr>
          <w:p>
            <w:pPr>
              <w:jc w:val="right"/>
              <w:ind w:right="5612"/>
              <w:spacing w:after="0"/>
              <w:rPr>
                <w:sz w:val="20"/>
                <w:szCs w:val="20"/>
                <w:color w:val="auto"/>
              </w:rPr>
            </w:pPr>
            <w:r>
              <w:rPr>
                <w:rFonts w:ascii="Arial" w:cs="Arial" w:eastAsia="Arial" w:hAnsi="Arial"/>
                <w:sz w:val="18"/>
                <w:szCs w:val="18"/>
                <w:color w:val="auto"/>
              </w:rPr>
              <w:t>2</w:t>
            </w:r>
          </w:p>
        </w:tc>
      </w:tr>
      <w:tr>
        <w:trPr>
          <w:trHeight w:val="377"/>
        </w:trPr>
        <w:tc>
          <w:tcPr>
            <w:tcW w:w="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MARCH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SEPTEMBER 30,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STATEMENTS)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D6F3E8"/>
          </w:tcPr>
          <w:p>
            <w:pPr>
              <w:spacing w:after="0"/>
              <w:rPr>
                <w:sz w:val="20"/>
                <w:szCs w:val="20"/>
                <w:color w:val="auto"/>
              </w:rPr>
            </w:pPr>
            <w:r>
              <w:rPr>
                <w:rFonts w:ascii="Arial" w:cs="Arial" w:eastAsia="Arial" w:hAnsi="Arial"/>
                <w:sz w:val="18"/>
                <w:szCs w:val="18"/>
                <w:color w:val="auto"/>
              </w:rPr>
              <w:t>ASSETS</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21,910,542</w:t>
            </w:r>
          </w:p>
        </w:tc>
        <w:tc>
          <w:tcPr>
            <w:tcW w:w="180" w:type="dxa"/>
            <w:vAlign w:val="bottom"/>
            <w:shd w:val="clear" w:color="auto" w:fill="D6F3E8"/>
          </w:tcPr>
          <w:p>
            <w:pPr>
              <w:spacing w:after="0"/>
              <w:rPr>
                <w:sz w:val="18"/>
                <w:szCs w:val="18"/>
                <w:color w:val="auto"/>
              </w:rPr>
            </w:pPr>
          </w:p>
        </w:tc>
        <w:tc>
          <w:tcPr>
            <w:tcW w:w="38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21,509,181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Investments available-for-sale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1,111,590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2,276,358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Trade receivables - net</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32,527,115</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23,788,342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28,870,967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14,010,952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1,285,162</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3,614,387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vMerge w:val="restart"/>
          </w:tcPr>
          <w:p>
            <w:pPr>
              <w:ind w:left="30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85,705,376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65,199,220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D6F3E8"/>
          </w:tcPr>
          <w:p>
            <w:pPr>
              <w:spacing w:after="0"/>
              <w:rPr>
                <w:sz w:val="20"/>
                <w:szCs w:val="20"/>
                <w:color w:val="auto"/>
              </w:rPr>
            </w:pPr>
            <w:r>
              <w:rPr>
                <w:rFonts w:ascii="Arial" w:cs="Arial" w:eastAsia="Arial" w:hAnsi="Arial"/>
                <w:sz w:val="18"/>
                <w:szCs w:val="18"/>
                <w:color w:val="auto"/>
              </w:rPr>
              <w:t>PROPERTY, PLANT AND EQUIPMENT – net</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40,506,353</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35,928,878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780" w:type="dxa"/>
            <w:vAlign w:val="bottom"/>
            <w:gridSpan w:val="2"/>
          </w:tcPr>
          <w:p>
            <w:pPr>
              <w:spacing w:after="0"/>
              <w:rPr>
                <w:sz w:val="20"/>
                <w:szCs w:val="20"/>
                <w:color w:val="auto"/>
              </w:rPr>
            </w:pPr>
            <w:r>
              <w:rPr>
                <w:rFonts w:ascii="Arial" w:cs="Arial" w:eastAsia="Arial" w:hAnsi="Arial"/>
                <w:sz w:val="18"/>
                <w:szCs w:val="18"/>
                <w:color w:val="auto"/>
              </w:rPr>
              <w:t>GOODWILL AND INTANGIBLE ASSETS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6,662,222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6,906,956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557,466</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583,836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261,754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324,061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15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133,693,171</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108,942,951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Accounts payable – trade</w:t>
            </w:r>
          </w:p>
        </w:tc>
        <w:tc>
          <w:tcPr>
            <w:tcW w:w="7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25,981,106</w:t>
            </w:r>
          </w:p>
        </w:tc>
        <w:tc>
          <w:tcPr>
            <w:tcW w:w="180" w:type="dxa"/>
            <w:vAlign w:val="bottom"/>
          </w:tcPr>
          <w:p>
            <w:pPr>
              <w:spacing w:after="0"/>
              <w:rPr>
                <w:sz w:val="18"/>
                <w:szCs w:val="18"/>
                <w:color w:val="auto"/>
              </w:rPr>
            </w:pP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11,780,842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Dividends payable</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2,665,899</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2,459,150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Accrued payroll and employee benefits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5,336,601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6,137,089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Container deposits</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1,008,210</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983,640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Other accruals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3,282,034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1,344,123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current liabilities</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38,273,850</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22,704,844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7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125,428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119,600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1,094,950</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1,097,097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D6F3E8"/>
          </w:tcPr>
          <w:p>
            <w:pPr>
              <w:spacing w:after="0"/>
              <w:rPr>
                <w:sz w:val="20"/>
                <w:szCs w:val="20"/>
                <w:color w:val="auto"/>
              </w:rPr>
            </w:pPr>
            <w:r>
              <w:rPr>
                <w:rFonts w:ascii="Arial" w:cs="Arial" w:eastAsia="Arial" w:hAnsi="Arial"/>
                <w:sz w:val="18"/>
                <w:szCs w:val="18"/>
                <w:color w:val="auto"/>
              </w:rPr>
              <w:t>SHAREHOLDERS’ EQUITY:</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3"/>
              </w:rPr>
              <w:t>Common stock, par value $.05 per share; 10,246,458 and 10,239,458 shares issued and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300"/>
              <w:spacing w:after="0"/>
              <w:rPr>
                <w:sz w:val="20"/>
                <w:szCs w:val="20"/>
                <w:color w:val="auto"/>
              </w:rPr>
            </w:pPr>
            <w:r>
              <w:rPr>
                <w:rFonts w:ascii="Arial" w:cs="Arial" w:eastAsia="Arial" w:hAnsi="Arial"/>
                <w:sz w:val="18"/>
                <w:szCs w:val="18"/>
                <w:color w:val="auto"/>
              </w:rPr>
              <w:t>outstanding, respectively</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512,323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511,973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38,238,168</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38,090,696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Accumulated other comprehensive gain (loss)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(12,680)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55,461,132</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46,428,062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vMerge w:val="restart"/>
          </w:tcPr>
          <w:p>
            <w:pPr>
              <w:ind w:left="300"/>
              <w:spacing w:after="0"/>
              <w:rPr>
                <w:sz w:val="20"/>
                <w:szCs w:val="20"/>
                <w:color w:val="auto"/>
              </w:rPr>
            </w:pPr>
            <w:r>
              <w:rPr>
                <w:rFonts w:ascii="Arial" w:cs="Arial" w:eastAsia="Arial" w:hAnsi="Arial"/>
                <w:sz w:val="18"/>
                <w:szCs w:val="18"/>
                <w:color w:val="auto"/>
              </w:rPr>
              <w:t>Total shareholders’ equity</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94,198,943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85,021,410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15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133,693,171</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108,942,951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8"/>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SEPTEMBER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8"/>
              </w:rPr>
              <w:t>(UNAUDITED)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8"/>
              </w:rPr>
              <w:t>(UNAUDITED)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53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500" w:type="dxa"/>
            <w:vAlign w:val="bottom"/>
            <w:gridSpan w:val="2"/>
          </w:tcPr>
          <w:p>
            <w:pPr>
              <w:spacing w:after="0"/>
              <w:rPr>
                <w:sz w:val="11"/>
                <w:szCs w:val="11"/>
                <w:color w:val="auto"/>
              </w:rPr>
            </w:pPr>
          </w:p>
        </w:tc>
        <w:tc>
          <w:tcPr>
            <w:tcW w:w="1020" w:type="dxa"/>
            <w:vAlign w:val="bottom"/>
            <w:gridSpan w:val="2"/>
          </w:tcPr>
          <w:p>
            <w:pPr>
              <w:spacing w:after="0"/>
              <w:rPr>
                <w:sz w:val="11"/>
                <w:szCs w:val="11"/>
                <w:color w:val="auto"/>
              </w:rPr>
            </w:pPr>
          </w:p>
        </w:tc>
        <w:tc>
          <w:tcPr>
            <w:tcW w:w="34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9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7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3"/>
              </w:rPr>
              <w:t>80,386,435</w:t>
            </w:r>
          </w:p>
        </w:tc>
        <w:tc>
          <w:tcPr>
            <w:tcW w:w="5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0"/>
              </w:rPr>
              <w:t>48,143,856</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145,513,749</w:t>
            </w:r>
          </w:p>
        </w:tc>
        <w:tc>
          <w:tcPr>
            <w:tcW w:w="6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6"/>
              </w:rPr>
              <w:t>96,766,581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3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62,596,563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36,268,357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113,475,194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73,060,531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3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3"/>
              </w:rPr>
              <w:t>17,789,872</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0"/>
              </w:rPr>
              <w:t>11,875,499</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32,038,555</w:t>
            </w:r>
          </w:p>
        </w:tc>
        <w:tc>
          <w:tcPr>
            <w:tcW w:w="3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6"/>
              </w:rPr>
              <w:t>23,706,050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6,615,868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7,498,645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13,241,594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14,993,929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3"/>
              </w:rPr>
              <w:t>11,174,004</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4,376,854</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18,796,961</w:t>
            </w:r>
          </w:p>
        </w:tc>
        <w:tc>
          <w:tcPr>
            <w:tcW w:w="3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7"/>
              </w:rPr>
              <w:t>8,712,121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36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115,088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312,265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256,508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614,568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3"/>
              </w:rPr>
              <w:t>11,289,092</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4,689,119</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19,053,469</w:t>
            </w:r>
          </w:p>
        </w:tc>
        <w:tc>
          <w:tcPr>
            <w:tcW w:w="3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7"/>
              </w:rPr>
              <w:t>9,326,689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3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4,466,000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1,767,700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7,354,500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3,454,200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6,823,092</w:t>
            </w:r>
          </w:p>
        </w:tc>
        <w:tc>
          <w:tcPr>
            <w:tcW w:w="5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2,921,419</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11,698,969</w:t>
            </w:r>
          </w:p>
        </w:tc>
        <w:tc>
          <w:tcPr>
            <w:tcW w:w="6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7"/>
              </w:rPr>
              <w:t>5,872,489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3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10,243,567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10,211,827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10,241,524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10,198,531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6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3"/>
              </w:rPr>
              <w:t>10,248,217</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0"/>
              </w:rPr>
              <w:t>10,241,865</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10,252,046</w:t>
            </w:r>
          </w:p>
        </w:tc>
        <w:tc>
          <w:tcPr>
            <w:tcW w:w="3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6"/>
              </w:rPr>
              <w:t>10,223,228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36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0.67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D6F3E8"/>
          </w:tcPr>
          <w:p>
            <w:pPr>
              <w:spacing w:after="0"/>
              <w:rPr>
                <w:sz w:val="20"/>
                <w:szCs w:val="20"/>
                <w:color w:val="auto"/>
              </w:rPr>
            </w:pPr>
            <w:r>
              <w:rPr>
                <w:rFonts w:ascii="Arial" w:cs="Arial" w:eastAsia="Arial" w:hAnsi="Arial"/>
                <w:sz w:val="18"/>
                <w:szCs w:val="18"/>
                <w:color w:val="auto"/>
              </w:rPr>
              <w:t>Earnings per share – diluted</w:t>
            </w:r>
          </w:p>
        </w:tc>
        <w:tc>
          <w:tcPr>
            <w:tcW w:w="7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0.67</w:t>
            </w:r>
          </w:p>
        </w:tc>
        <w:tc>
          <w:tcPr>
            <w:tcW w:w="5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1.14</w:t>
            </w:r>
          </w:p>
        </w:tc>
        <w:tc>
          <w:tcPr>
            <w:tcW w:w="6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3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w w:val="92"/>
              </w:rPr>
              <w:t>See accompanying notes to condensed financial statements - unaudited.</w:t>
            </w: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ind w:right="553"/>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74"/>
              </w:rPr>
              <w:t>(UNAUDITED)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65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11,698,969</w:t>
            </w:r>
          </w:p>
        </w:tc>
        <w:tc>
          <w:tcPr>
            <w:tcW w:w="32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5,872,489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Reconciliation to cash flows:</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2,762,017</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2,497,776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Stock compensation expense</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147,822</w:t>
            </w: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322,588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rPr>
              <w:t>Loss from property disposals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94,352</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Changes in operating accounts providing (using) cash:</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60"/>
              <w:spacing w:after="0"/>
              <w:rPr>
                <w:sz w:val="20"/>
                <w:szCs w:val="20"/>
                <w:color w:val="auto"/>
              </w:rPr>
            </w:pPr>
            <w:r>
              <w:rPr>
                <w:rFonts w:ascii="Arial" w:cs="Arial" w:eastAsia="Arial" w:hAnsi="Arial"/>
                <w:sz w:val="18"/>
                <w:szCs w:val="18"/>
                <w:color w:val="auto"/>
              </w:rPr>
              <w:t>Trade receivables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(8,738,773)</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1,454,984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460"/>
              <w:spacing w:after="0"/>
              <w:rPr>
                <w:sz w:val="20"/>
                <w:szCs w:val="20"/>
                <w:color w:val="auto"/>
              </w:rPr>
            </w:pPr>
            <w:r>
              <w:rPr>
                <w:rFonts w:ascii="Arial" w:cs="Arial" w:eastAsia="Arial" w:hAnsi="Arial"/>
                <w:sz w:val="18"/>
                <w:szCs w:val="18"/>
                <w:color w:val="auto"/>
              </w:rPr>
              <w:t>Inventories</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20" w:type="dxa"/>
            <w:vAlign w:val="bottom"/>
            <w:gridSpan w:val="3"/>
            <w:shd w:val="clear" w:color="auto" w:fill="D6F3E8"/>
          </w:tcPr>
          <w:p>
            <w:pPr>
              <w:jc w:val="right"/>
              <w:ind w:right="280"/>
              <w:spacing w:after="0"/>
              <w:rPr>
                <w:sz w:val="20"/>
                <w:szCs w:val="20"/>
                <w:color w:val="auto"/>
              </w:rPr>
            </w:pPr>
            <w:r>
              <w:rPr>
                <w:rFonts w:ascii="Arial" w:cs="Arial" w:eastAsia="Arial" w:hAnsi="Arial"/>
                <w:sz w:val="18"/>
                <w:szCs w:val="18"/>
                <w:color w:val="auto"/>
              </w:rPr>
              <w:t>(14,860,015)</w:t>
            </w:r>
          </w:p>
        </w:tc>
        <w:tc>
          <w:tcPr>
            <w:tcW w:w="62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(6,216,449)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13,773,016</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2,659,498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460"/>
              <w:spacing w:after="0"/>
              <w:rPr>
                <w:sz w:val="20"/>
                <w:szCs w:val="20"/>
                <w:color w:val="auto"/>
              </w:rPr>
            </w:pPr>
            <w:r>
              <w:rPr>
                <w:rFonts w:ascii="Arial" w:cs="Arial" w:eastAsia="Arial" w:hAnsi="Arial"/>
                <w:sz w:val="18"/>
                <w:szCs w:val="18"/>
                <w:color w:val="auto"/>
              </w:rPr>
              <w:t>Other liabilities</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1,198,910</w:t>
            </w: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(1,240,409)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46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2,367,741</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2,013,176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8,444,039</w:t>
            </w: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7,423,285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20" w:type="dxa"/>
            <w:vAlign w:val="bottom"/>
            <w:gridSpan w:val="3"/>
            <w:shd w:val="clear" w:color="auto" w:fill="D6F3E8"/>
          </w:tcPr>
          <w:p>
            <w:pPr>
              <w:jc w:val="right"/>
              <w:ind w:right="280"/>
              <w:spacing w:after="0"/>
              <w:rPr>
                <w:sz w:val="20"/>
                <w:szCs w:val="20"/>
                <w:color w:val="auto"/>
              </w:rPr>
            </w:pPr>
            <w:r>
              <w:rPr>
                <w:rFonts w:ascii="Arial" w:cs="Arial" w:eastAsia="Arial" w:hAnsi="Arial"/>
                <w:sz w:val="18"/>
                <w:szCs w:val="18"/>
                <w:color w:val="auto"/>
              </w:rPr>
              <w:t>(6,812,169)</w:t>
            </w:r>
          </w:p>
        </w:tc>
        <w:tc>
          <w:tcPr>
            <w:tcW w:w="62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(2,626,476)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Sale and maturities of investments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1,178,334</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4,751,977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property disposals</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50,307</w:t>
            </w: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59,604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Acquisition of Trumark, Inc.</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(5,262,601)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gridSpan w:val="2"/>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20" w:type="dxa"/>
            <w:vAlign w:val="bottom"/>
            <w:gridSpan w:val="3"/>
            <w:shd w:val="clear" w:color="auto" w:fill="D6F3E8"/>
          </w:tcPr>
          <w:p>
            <w:pPr>
              <w:jc w:val="right"/>
              <w:ind w:right="280"/>
              <w:spacing w:after="0"/>
              <w:rPr>
                <w:sz w:val="20"/>
                <w:szCs w:val="20"/>
                <w:color w:val="auto"/>
              </w:rPr>
            </w:pPr>
            <w:r>
              <w:rPr>
                <w:rFonts w:ascii="Arial" w:cs="Arial" w:eastAsia="Arial" w:hAnsi="Arial"/>
                <w:sz w:val="18"/>
                <w:szCs w:val="18"/>
                <w:color w:val="auto"/>
              </w:rPr>
              <w:t>(5,583,528)</w:t>
            </w:r>
          </w:p>
        </w:tc>
        <w:tc>
          <w:tcPr>
            <w:tcW w:w="62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(3,077,496)</w:t>
            </w:r>
          </w:p>
        </w:tc>
        <w:tc>
          <w:tcPr>
            <w:tcW w:w="0" w:type="dxa"/>
            <w:vAlign w:val="bottom"/>
          </w:tcPr>
          <w:p>
            <w:pPr>
              <w:spacing w:after="0"/>
              <w:rPr>
                <w:sz w:val="1"/>
                <w:szCs w:val="1"/>
                <w:color w:val="auto"/>
              </w:rPr>
            </w:pPr>
          </w:p>
        </w:tc>
      </w:tr>
      <w:tr>
        <w:trPr>
          <w:trHeight w:val="364"/>
        </w:trPr>
        <w:tc>
          <w:tcPr>
            <w:tcW w:w="6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dividends paid</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20" w:type="dxa"/>
            <w:vAlign w:val="bottom"/>
            <w:gridSpan w:val="3"/>
            <w:shd w:val="clear" w:color="auto" w:fill="D6F3E8"/>
          </w:tcPr>
          <w:p>
            <w:pPr>
              <w:jc w:val="right"/>
              <w:ind w:right="280"/>
              <w:spacing w:after="0"/>
              <w:rPr>
                <w:sz w:val="20"/>
                <w:szCs w:val="20"/>
                <w:color w:val="auto"/>
              </w:rPr>
            </w:pPr>
            <w:r>
              <w:rPr>
                <w:rFonts w:ascii="Arial" w:cs="Arial" w:eastAsia="Arial" w:hAnsi="Arial"/>
                <w:sz w:val="18"/>
                <w:szCs w:val="18"/>
                <w:color w:val="auto"/>
              </w:rPr>
              <w:t>(2,459,150)</w:t>
            </w:r>
          </w:p>
        </w:tc>
        <w:tc>
          <w:tcPr>
            <w:tcW w:w="62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(2,247,686)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gridSpan w:val="2"/>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(2,459,150)</w:t>
            </w:r>
          </w:p>
        </w:tc>
        <w:tc>
          <w:tcPr>
            <w:tcW w:w="6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(2,247,686)</w:t>
            </w:r>
          </w:p>
        </w:tc>
        <w:tc>
          <w:tcPr>
            <w:tcW w:w="0" w:type="dxa"/>
            <w:vAlign w:val="bottom"/>
          </w:tcPr>
          <w:p>
            <w:pPr>
              <w:spacing w:after="0"/>
              <w:rPr>
                <w:sz w:val="1"/>
                <w:szCs w:val="1"/>
                <w:color w:val="auto"/>
              </w:rPr>
            </w:pPr>
          </w:p>
        </w:tc>
      </w:tr>
      <w:tr>
        <w:trPr>
          <w:trHeight w:val="245"/>
        </w:trPr>
        <w:tc>
          <w:tcPr>
            <w:tcW w:w="660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D6F3E8"/>
          </w:tcPr>
          <w:p>
            <w:pPr>
              <w:spacing w:after="0"/>
              <w:rPr>
                <w:sz w:val="20"/>
                <w:szCs w:val="20"/>
                <w:color w:val="auto"/>
              </w:rPr>
            </w:pPr>
            <w:r>
              <w:rPr>
                <w:rFonts w:ascii="Arial" w:cs="Arial" w:eastAsia="Arial" w:hAnsi="Arial"/>
                <w:sz w:val="18"/>
                <w:szCs w:val="18"/>
                <w:color w:val="auto"/>
              </w:rPr>
              <w:t>INCREASE IN CASH AND CASH EQUIVALENTS</w:t>
            </w:r>
          </w:p>
        </w:tc>
        <w:tc>
          <w:tcPr>
            <w:tcW w:w="13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401,361</w:t>
            </w: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2,098,103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6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21,509,181</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11,592,939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0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80" w:type="dxa"/>
            <w:vAlign w:val="bottom"/>
          </w:tcPr>
          <w:p>
            <w:pPr>
              <w:spacing w:after="0"/>
              <w:rPr>
                <w:sz w:val="12"/>
                <w:szCs w:val="12"/>
                <w:color w:val="auto"/>
              </w:rPr>
            </w:pPr>
          </w:p>
        </w:tc>
        <w:tc>
          <w:tcPr>
            <w:tcW w:w="1720" w:type="dxa"/>
            <w:vAlign w:val="bottom"/>
            <w:gridSpan w:val="2"/>
          </w:tcPr>
          <w:p>
            <w:pPr>
              <w:spacing w:after="0"/>
              <w:rPr>
                <w:sz w:val="12"/>
                <w:szCs w:val="12"/>
                <w:color w:val="auto"/>
              </w:rPr>
            </w:pPr>
          </w:p>
        </w:tc>
        <w:tc>
          <w:tcPr>
            <w:tcW w:w="110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END OF PERIOD</w:t>
            </w:r>
          </w:p>
        </w:tc>
        <w:tc>
          <w:tcPr>
            <w:tcW w:w="1720" w:type="dxa"/>
            <w:vAlign w:val="bottom"/>
            <w:gridSpan w:val="2"/>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21,910,542</w:t>
            </w: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13,691,042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continu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6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720" w:type="dxa"/>
            <w:vAlign w:val="bottom"/>
            <w:gridSpan w:val="2"/>
          </w:tcPr>
          <w:p>
            <w:pPr>
              <w:spacing w:after="0"/>
              <w:rPr>
                <w:sz w:val="13"/>
                <w:szCs w:val="13"/>
                <w:color w:val="auto"/>
              </w:rPr>
            </w:pPr>
          </w:p>
        </w:tc>
        <w:tc>
          <w:tcPr>
            <w:tcW w:w="110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paid for income taxes</w:t>
            </w:r>
          </w:p>
        </w:tc>
        <w:tc>
          <w:tcPr>
            <w:tcW w:w="1720" w:type="dxa"/>
            <w:vAlign w:val="bottom"/>
            <w:gridSpan w:val="2"/>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3,773,000</w:t>
            </w: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1,473,790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Noncash investing activities-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Capital expenditures in accounts payable</w:t>
            </w:r>
          </w:p>
        </w:tc>
        <w:tc>
          <w:tcPr>
            <w:tcW w:w="1720" w:type="dxa"/>
            <w:vAlign w:val="bottom"/>
            <w:gridSpan w:val="2"/>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768,307</w:t>
            </w: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617,352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vMerge w:val="restart"/>
          </w:tcPr>
          <w:p>
            <w:pPr>
              <w:ind w:left="300"/>
              <w:spacing w:after="0"/>
              <w:rPr>
                <w:sz w:val="20"/>
                <w:szCs w:val="20"/>
                <w:color w:val="auto"/>
              </w:rPr>
            </w:pPr>
            <w:r>
              <w:rPr>
                <w:rFonts w:ascii="Arial" w:cs="Arial" w:eastAsia="Arial" w:hAnsi="Arial"/>
                <w:sz w:val="18"/>
                <w:szCs w:val="18"/>
                <w:color w:val="auto"/>
              </w:rPr>
              <w:t>Stock issued for acquisition of Trumark</w:t>
            </w:r>
          </w:p>
        </w:tc>
        <w:tc>
          <w:tcPr>
            <w:tcW w:w="1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gridSpan w:val="2"/>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continu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Borders>
              <w:top w:val="single" w:sz="8" w:color="auto"/>
            </w:tcBorders>
          </w:tcPr>
          <w:p>
            <w:pPr>
              <w:jc w:val="right"/>
              <w:ind w:right="152"/>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7"/>
                <w:szCs w:val="17"/>
                <w:color w:val="auto"/>
              </w:rPr>
            </w:pPr>
          </w:p>
        </w:tc>
        <w:tc>
          <w:tcPr>
            <w:tcW w:w="620" w:type="dxa"/>
            <w:vAlign w:val="bottom"/>
            <w:tcBorders>
              <w:top w:val="single" w:sz="8" w:color="auto"/>
            </w:tcBorders>
          </w:tcPr>
          <w:p>
            <w:pPr>
              <w:jc w:val="right"/>
              <w:ind w:right="43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588,000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financial statements - unaudited.</w:t>
            </w:r>
          </w:p>
        </w:tc>
        <w:tc>
          <w:tcPr>
            <w:tcW w:w="1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continu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232" w:lineRule="exact"/>
        <w:rPr>
          <w:sz w:val="20"/>
          <w:szCs w:val="20"/>
          <w:color w:val="auto"/>
        </w:rPr>
      </w:pPr>
    </w:p>
    <w:p>
      <w:pPr>
        <w:ind w:left="580" w:hanging="572"/>
        <w:spacing w:after="0" w:line="29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March 30, 2008, previously filed with the Securities and Exchange Commission (SEC).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06" w:lineRule="exact"/>
        <w:rPr>
          <w:rFonts w:ascii="Arial" w:cs="Arial" w:eastAsia="Arial" w:hAnsi="Arial"/>
          <w:sz w:val="16"/>
          <w:szCs w:val="16"/>
          <w:color w:val="auto"/>
        </w:rPr>
      </w:pPr>
    </w:p>
    <w:p>
      <w:pPr>
        <w:ind w:left="580" w:right="380"/>
        <w:spacing w:after="0" w:line="268" w:lineRule="auto"/>
        <w:rPr>
          <w:rFonts w:ascii="Arial" w:cs="Arial" w:eastAsia="Arial" w:hAnsi="Arial"/>
          <w:sz w:val="16"/>
          <w:szCs w:val="16"/>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March 30, 2008 filed with the SEC on June 13, 2008.</w:t>
      </w:r>
    </w:p>
    <w:p>
      <w:pPr>
        <w:spacing w:after="0" w:line="118" w:lineRule="exact"/>
        <w:rPr>
          <w:rFonts w:ascii="Arial" w:cs="Arial" w:eastAsia="Arial" w:hAnsi="Arial"/>
          <w:sz w:val="16"/>
          <w:szCs w:val="16"/>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results of operations for the periods ended September 30, 2008 are not necessarily indicative of the results that may be expected for the full year.</w:t>
      </w:r>
    </w:p>
    <w:p>
      <w:pPr>
        <w:spacing w:after="0" w:line="180" w:lineRule="exact"/>
        <w:rPr>
          <w:rFonts w:ascii="Arial" w:cs="Arial" w:eastAsia="Arial" w:hAnsi="Arial"/>
          <w:sz w:val="16"/>
          <w:szCs w:val="16"/>
          <w:color w:val="auto"/>
        </w:rPr>
      </w:pPr>
    </w:p>
    <w:p>
      <w:pPr>
        <w:ind w:left="580" w:right="280" w:hanging="572"/>
        <w:spacing w:after="0" w:line="25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December 2007, the Financial Accounting Standards Board (FASB) issued Statement of Financial Accounting Standards (SFAS) No. 160, “Noncontrolling Interests in Consolidated Financial Statements, an amendment of Accounting Research Bulletin No. 51.” SFAS 160 changes the accounting and reporting for minority interests, which will be recharacterized as noncontrolling interests and classified as a component of equity. This new consolidation method significantly changes the accounting for transactions with minority interest holders. SFAS 160 is effective for financial statements issued for fiscal years beginning after December 15, 2008. We do not expect SFAS 160 to have a material impact on the preparation of our financial statements.</w:t>
      </w:r>
    </w:p>
    <w:p>
      <w:pPr>
        <w:spacing w:after="0" w:line="130" w:lineRule="exact"/>
        <w:rPr>
          <w:rFonts w:ascii="Arial" w:cs="Arial" w:eastAsia="Arial" w:hAnsi="Arial"/>
          <w:sz w:val="18"/>
          <w:szCs w:val="18"/>
          <w:color w:val="auto"/>
        </w:rPr>
      </w:pPr>
    </w:p>
    <w:p>
      <w:pPr>
        <w:ind w:left="580" w:right="20"/>
        <w:spacing w:after="0" w:line="290" w:lineRule="auto"/>
        <w:rPr>
          <w:rFonts w:ascii="Arial" w:cs="Arial" w:eastAsia="Arial" w:hAnsi="Arial"/>
          <w:sz w:val="18"/>
          <w:szCs w:val="18"/>
          <w:color w:val="auto"/>
        </w:rPr>
      </w:pPr>
      <w:r>
        <w:rPr>
          <w:rFonts w:ascii="Arial" w:cs="Arial" w:eastAsia="Arial" w:hAnsi="Arial"/>
          <w:sz w:val="16"/>
          <w:szCs w:val="16"/>
          <w:color w:val="auto"/>
        </w:rPr>
        <w:t>In March 2008, the FASB issued SFAS No. 161, “Disclosures about Derivative Instruments and Hedging Activities, an amendment of SFAS No. 133.” SFAS 161 is intended to improve financial standards for derivative instruments and hedging activities by requiring enhanced disclosures to enable investors to better understand the effect these instruments and activities have on an entity’s financial position, financial performance and cash flows. Entities are required to provide 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SFAS 161 is effective for financial statements issued for fiscal years and interim periods beginning after November 15, 2008. We do not expect SFAS 161 to have a material impact on the preparation of our financial statements.</w:t>
      </w:r>
    </w:p>
    <w:p>
      <w:pPr>
        <w:spacing w:after="0" w:line="104" w:lineRule="exact"/>
        <w:rPr>
          <w:rFonts w:ascii="Arial" w:cs="Arial" w:eastAsia="Arial" w:hAnsi="Arial"/>
          <w:sz w:val="18"/>
          <w:szCs w:val="18"/>
          <w:color w:val="auto"/>
        </w:rPr>
      </w:pPr>
    </w:p>
    <w:p>
      <w:pPr>
        <w:ind w:left="580" w:right="40"/>
        <w:spacing w:after="0" w:line="254" w:lineRule="auto"/>
        <w:rPr>
          <w:rFonts w:ascii="Arial" w:cs="Arial" w:eastAsia="Arial" w:hAnsi="Arial"/>
          <w:sz w:val="18"/>
          <w:szCs w:val="18"/>
          <w:color w:val="auto"/>
        </w:rPr>
      </w:pPr>
      <w:r>
        <w:rPr>
          <w:rFonts w:ascii="Arial" w:cs="Arial" w:eastAsia="Arial" w:hAnsi="Arial"/>
          <w:sz w:val="18"/>
          <w:szCs w:val="18"/>
          <w:color w:val="auto"/>
        </w:rPr>
        <w:t>In May 2008, the FASB issued SFAS No. 162, “The Hierarchy of Generally Accepted Accounting Principles.” This standard is intended to improve financial reporting by identifying a consistent framework, or hierarchy, for selecting accounting principles to be used in preparing financial statements that are presented in conformity with generally accepted accounting principles in the United States for non-governmental entities. SFAS 162 is effective 60 days following approval by the SEC of the Public Company Accounting Oversight Board’s amendments to AU Section 411, “The Meaning of Present Fairly in Conformity with Generally Accepted Accounting Principles.” We do not expect SFAS 162 to have a material impact on the preparation of our financial statements.</w:t>
      </w:r>
    </w:p>
    <w:p>
      <w:pPr>
        <w:spacing w:after="0" w:line="130" w:lineRule="exact"/>
        <w:rPr>
          <w:rFonts w:ascii="Arial" w:cs="Arial" w:eastAsia="Arial" w:hAnsi="Arial"/>
          <w:sz w:val="18"/>
          <w:szCs w:val="18"/>
          <w:color w:val="auto"/>
        </w:rPr>
      </w:pPr>
    </w:p>
    <w:p>
      <w:pPr>
        <w:ind w:left="580" w:right="10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Basic earnings per share (EPS) is net earnings divided by the weighted average number of common shares outstanding during the period.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Three months ended</w:t>
            </w:r>
          </w:p>
        </w:tc>
        <w:tc>
          <w:tcPr>
            <w:tcW w:w="23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74"/>
        </w:trPr>
        <w:tc>
          <w:tcPr>
            <w:tcW w:w="5640" w:type="dxa"/>
            <w:vAlign w:val="bottom"/>
          </w:tcPr>
          <w:p>
            <w:pPr>
              <w:spacing w:after="0"/>
              <w:rPr>
                <w:sz w:val="15"/>
                <w:szCs w:val="15"/>
                <w:color w:val="auto"/>
              </w:rPr>
            </w:pPr>
          </w:p>
        </w:tc>
        <w:tc>
          <w:tcPr>
            <w:tcW w:w="1680" w:type="dxa"/>
            <w:vAlign w:val="bottom"/>
            <w:gridSpan w:val="3"/>
          </w:tcPr>
          <w:p>
            <w:pPr>
              <w:jc w:val="center"/>
              <w:ind w:left="742"/>
              <w:spacing w:after="0"/>
              <w:rPr>
                <w:sz w:val="20"/>
                <w:szCs w:val="20"/>
                <w:color w:val="auto"/>
              </w:rPr>
            </w:pPr>
            <w:r>
              <w:rPr>
                <w:rFonts w:ascii="Arial" w:cs="Arial" w:eastAsia="Arial" w:hAnsi="Arial"/>
                <w:sz w:val="14"/>
                <w:szCs w:val="14"/>
                <w:b w:val="1"/>
                <w:bCs w:val="1"/>
                <w:color w:val="auto"/>
                <w:w w:val="84"/>
              </w:rPr>
              <w:t>September 30</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r>
      <w:tr>
        <w:trPr>
          <w:trHeight w:val="230"/>
        </w:trPr>
        <w:tc>
          <w:tcPr>
            <w:tcW w:w="56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68"/>
        </w:trPr>
        <w:tc>
          <w:tcPr>
            <w:tcW w:w="5640" w:type="dxa"/>
            <w:vAlign w:val="bottom"/>
          </w:tcPr>
          <w:p>
            <w:pPr>
              <w:spacing w:after="0"/>
              <w:rPr>
                <w:sz w:val="14"/>
                <w:szCs w:val="14"/>
                <w:color w:val="auto"/>
              </w:rPr>
            </w:pPr>
          </w:p>
        </w:tc>
        <w:tc>
          <w:tcPr>
            <w:tcW w:w="1080" w:type="dxa"/>
            <w:vAlign w:val="bottom"/>
          </w:tcPr>
          <w:p>
            <w:pPr>
              <w:jc w:val="right"/>
              <w:ind w:right="32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31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23"/>
        </w:trPr>
        <w:tc>
          <w:tcPr>
            <w:tcW w:w="5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r>
      <w:tr>
        <w:trPr>
          <w:trHeight w:val="216"/>
        </w:trPr>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basic</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10,243,567</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86"/>
              </w:rPr>
              <w:t>10,211,827</w:t>
            </w:r>
          </w:p>
        </w:tc>
        <w:tc>
          <w:tcPr>
            <w:tcW w:w="13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10,241,524</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10,198,531</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w w:val="99"/>
              </w:rPr>
              <w:t>Dilutive impact of stock options, performance units, and restricted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4,650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30,038</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10,522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24,697</w:t>
            </w:r>
          </w:p>
        </w:tc>
      </w:tr>
      <w:tr>
        <w:trPr>
          <w:trHeight w:val="237"/>
        </w:trPr>
        <w:tc>
          <w:tcPr>
            <w:tcW w:w="5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r>
      <w:tr>
        <w:trPr>
          <w:trHeight w:val="210"/>
        </w:trPr>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10,248,217</w:t>
            </w:r>
          </w:p>
        </w:tc>
        <w:tc>
          <w:tcPr>
            <w:tcW w:w="320" w:type="dxa"/>
            <w:vAlign w:val="bottom"/>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86"/>
              </w:rPr>
              <w:t>10,241,865</w:t>
            </w:r>
          </w:p>
        </w:tc>
        <w:tc>
          <w:tcPr>
            <w:tcW w:w="320" w:type="dxa"/>
            <w:vAlign w:val="bottom"/>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10,252,046</w:t>
            </w:r>
          </w:p>
        </w:tc>
        <w:tc>
          <w:tcPr>
            <w:tcW w:w="320" w:type="dxa"/>
            <w:vAlign w:val="bottom"/>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10,223,228</w:t>
            </w:r>
          </w:p>
        </w:tc>
        <w:tc>
          <w:tcPr>
            <w:tcW w:w="100" w:type="dxa"/>
            <w:vAlign w:val="bottom"/>
            <w:shd w:val="clear" w:color="auto" w:fill="D6F3E8"/>
          </w:tcPr>
          <w:p>
            <w:pPr>
              <w:spacing w:after="0"/>
              <w:rPr>
                <w:sz w:val="18"/>
                <w:szCs w:val="18"/>
                <w:color w:val="auto"/>
              </w:rPr>
            </w:pPr>
          </w:p>
        </w:tc>
      </w:tr>
      <w:tr>
        <w:trPr>
          <w:trHeight w:val="243"/>
        </w:trPr>
        <w:tc>
          <w:tcPr>
            <w:tcW w:w="56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For the three months and six months ended September 30, 2008, 61,332 stock options were excluded from the calculation of weighted average shares for diluted EPS because their effects were antidilutive.</w:t>
      </w:r>
    </w:p>
    <w:p>
      <w:pPr>
        <w:spacing w:after="0" w:line="118" w:lineRule="exact"/>
        <w:rPr>
          <w:sz w:val="20"/>
          <w:szCs w:val="20"/>
          <w:color w:val="auto"/>
        </w:rPr>
      </w:pPr>
    </w:p>
    <w:p>
      <w:pPr>
        <w:ind w:left="580" w:right="4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$9,729,012 and $4,501,745 at September 30, 2008 and March 30, 2008, respectively. Inventory consists principally of finished goods.</w:t>
      </w:r>
    </w:p>
    <w:p>
      <w:pPr>
        <w:spacing w:after="0" w:line="118"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Intangible assets consist primarily of customer lists, trademarks, and trade names in previous business acquisitions. A summary of our intangible assets for September 30, 2008 and March 30, 2008 were as follows:</w:t>
      </w:r>
    </w:p>
    <w:p>
      <w:pPr>
        <w:spacing w:after="0" w:line="222" w:lineRule="exact"/>
        <w:rPr>
          <w:sz w:val="20"/>
          <w:szCs w:val="20"/>
          <w:color w:val="auto"/>
        </w:rPr>
      </w:pPr>
    </w:p>
    <w:tbl>
      <w:tblPr>
        <w:tblLayout w:type="fixed"/>
        <w:tblInd w:w="11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202"/>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340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500" w:type="dxa"/>
            <w:vAlign w:val="bottom"/>
            <w:gridSpan w:val="3"/>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6,565,033</w:t>
            </w:r>
          </w:p>
        </w:tc>
        <w:tc>
          <w:tcPr>
            <w:tcW w:w="380" w:type="dxa"/>
            <w:vAlign w:val="bottom"/>
            <w:gridSpan w:val="2"/>
            <w:shd w:val="clear" w:color="auto" w:fill="D6F3E8"/>
          </w:tcPr>
          <w:p>
            <w:pPr>
              <w:ind w:left="28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(2,333,401)</w:t>
            </w:r>
          </w:p>
        </w:tc>
        <w:tc>
          <w:tcPr>
            <w:tcW w:w="420" w:type="dxa"/>
            <w:vAlign w:val="bottom"/>
            <w:gridSpan w:val="3"/>
            <w:shd w:val="clear" w:color="auto" w:fill="D6F3E8"/>
          </w:tcPr>
          <w:p>
            <w:pPr>
              <w:jc w:val="right"/>
              <w:ind w:right="143"/>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ind w:left="240"/>
              <w:spacing w:after="0"/>
              <w:rPr>
                <w:sz w:val="20"/>
                <w:szCs w:val="20"/>
                <w:color w:val="auto"/>
              </w:rPr>
            </w:pPr>
            <w:r>
              <w:rPr>
                <w:rFonts w:ascii="Arial" w:cs="Arial" w:eastAsia="Arial" w:hAnsi="Arial"/>
                <w:sz w:val="18"/>
                <w:szCs w:val="18"/>
                <w:color w:val="auto"/>
                <w:w w:val="87"/>
              </w:rPr>
              <w:t>4,231,632</w:t>
            </w:r>
          </w:p>
        </w:tc>
        <w:tc>
          <w:tcPr>
            <w:tcW w:w="80" w:type="dxa"/>
            <w:vAlign w:val="bottom"/>
            <w:tcBorders>
              <w:right w:val="single" w:sz="8" w:color="D6F3E8"/>
            </w:tcBorders>
            <w:shd w:val="clear" w:color="auto" w:fill="D6F3E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87"/>
              </w:rPr>
              <w:t>1,227,000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p>
        </w:tc>
        <w:tc>
          <w:tcPr>
            <w:tcW w:w="13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0" w:type="dxa"/>
            <w:vAlign w:val="bottom"/>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1240" w:type="dxa"/>
            <w:vAlign w:val="bottom"/>
            <w:shd w:val="clear" w:color="auto" w:fill="D6F3E8"/>
          </w:tcPr>
          <w:p>
            <w:pPr>
              <w:spacing w:after="0"/>
              <w:rPr>
                <w:sz w:val="18"/>
                <w:szCs w:val="18"/>
                <w:color w:val="auto"/>
              </w:rPr>
            </w:pPr>
          </w:p>
        </w:tc>
        <w:tc>
          <w:tcPr>
            <w:tcW w:w="260" w:type="dxa"/>
            <w:vAlign w:val="bottom"/>
            <w:tcBorders>
              <w:top w:val="single" w:sz="8" w:color="auto"/>
            </w:tcBorders>
            <w:gridSpan w:val="2"/>
            <w:shd w:val="clear" w:color="auto" w:fill="D6F3E8"/>
          </w:tcPr>
          <w:p>
            <w:pPr>
              <w:jc w:val="right"/>
              <w:ind w:right="9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7,792,033</w:t>
            </w:r>
          </w:p>
        </w:tc>
        <w:tc>
          <w:tcPr>
            <w:tcW w:w="28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(2,333,401)</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00" w:type="dxa"/>
            <w:vAlign w:val="bottom"/>
            <w:tcBorders>
              <w:top w:val="single" w:sz="8" w:color="auto"/>
            </w:tcBorders>
            <w:gridSpan w:val="2"/>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D6F3E8"/>
          </w:tcPr>
          <w:p>
            <w:pPr>
              <w:ind w:left="240"/>
              <w:spacing w:after="0"/>
              <w:rPr>
                <w:sz w:val="20"/>
                <w:szCs w:val="20"/>
                <w:color w:val="auto"/>
              </w:rPr>
            </w:pPr>
            <w:r>
              <w:rPr>
                <w:rFonts w:ascii="Arial" w:cs="Arial" w:eastAsia="Arial" w:hAnsi="Arial"/>
                <w:sz w:val="18"/>
                <w:szCs w:val="18"/>
                <w:color w:val="auto"/>
                <w:w w:val="87"/>
              </w:rPr>
              <w:t>5,458,632</w:t>
            </w:r>
          </w:p>
        </w:tc>
        <w:tc>
          <w:tcPr>
            <w:tcW w:w="80" w:type="dxa"/>
            <w:vAlign w:val="bottom"/>
            <w:tcBorders>
              <w:right w:val="single" w:sz="8" w:color="D6F3E8"/>
            </w:tcBorders>
            <w:shd w:val="clear" w:color="auto" w:fill="D6F3E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30, 2008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22"/>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40" w:type="dxa"/>
            <w:vAlign w:val="bottom"/>
            <w:gridSpan w:val="2"/>
          </w:tcPr>
          <w:p>
            <w:pPr>
              <w:spacing w:after="0"/>
              <w:rPr>
                <w:sz w:val="12"/>
                <w:szCs w:val="12"/>
                <w:color w:val="auto"/>
              </w:rPr>
            </w:pPr>
          </w:p>
        </w:tc>
        <w:tc>
          <w:tcPr>
            <w:tcW w:w="1500" w:type="dxa"/>
            <w:vAlign w:val="bottom"/>
            <w:gridSpan w:val="3"/>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1400" w:type="dxa"/>
            <w:vAlign w:val="bottom"/>
            <w:gridSpan w:val="3"/>
          </w:tcPr>
          <w:p>
            <w:pPr>
              <w:spacing w:after="0"/>
              <w:rPr>
                <w:sz w:val="12"/>
                <w:szCs w:val="12"/>
                <w:color w:val="auto"/>
              </w:rPr>
            </w:pPr>
          </w:p>
        </w:tc>
        <w:tc>
          <w:tcPr>
            <w:tcW w:w="420" w:type="dxa"/>
            <w:vAlign w:val="bottom"/>
            <w:gridSpan w:val="3"/>
          </w:tcPr>
          <w:p>
            <w:pPr>
              <w:spacing w:after="0"/>
              <w:rPr>
                <w:sz w:val="12"/>
                <w:szCs w:val="12"/>
                <w:color w:val="auto"/>
              </w:rPr>
            </w:pPr>
          </w:p>
        </w:tc>
        <w:tc>
          <w:tcPr>
            <w:tcW w:w="10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500" w:type="dxa"/>
            <w:vAlign w:val="bottom"/>
            <w:gridSpan w:val="3"/>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6,565,033</w:t>
            </w:r>
          </w:p>
        </w:tc>
        <w:tc>
          <w:tcPr>
            <w:tcW w:w="3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rPr>
              <w:t>(2,088,667)</w:t>
            </w:r>
          </w:p>
        </w:tc>
        <w:tc>
          <w:tcPr>
            <w:tcW w:w="420" w:type="dxa"/>
            <w:vAlign w:val="bottom"/>
            <w:gridSpan w:val="3"/>
            <w:shd w:val="clear" w:color="auto" w:fill="D6F3E8"/>
          </w:tcPr>
          <w:p>
            <w:pPr>
              <w:jc w:val="right"/>
              <w:ind w:right="123"/>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w w:val="87"/>
              </w:rPr>
              <w:t>4,476,366</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Indefinite-life intangible assets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w w:val="87"/>
              </w:rPr>
              <w:t>1,227,000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gridSpan w:val="3"/>
          </w:tcPr>
          <w:p>
            <w:pPr>
              <w:spacing w:after="0"/>
              <w:rPr>
                <w:sz w:val="20"/>
                <w:szCs w:val="20"/>
                <w:color w:val="auto"/>
              </w:rPr>
            </w:pPr>
          </w:p>
        </w:tc>
        <w:tc>
          <w:tcPr>
            <w:tcW w:w="1500" w:type="dxa"/>
            <w:vAlign w:val="bottom"/>
            <w:gridSpan w:val="3"/>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1400" w:type="dxa"/>
            <w:vAlign w:val="bottom"/>
            <w:gridSpan w:val="3"/>
          </w:tcPr>
          <w:p>
            <w:pPr>
              <w:spacing w:after="0"/>
              <w:rPr>
                <w:sz w:val="20"/>
                <w:szCs w:val="20"/>
                <w:color w:val="auto"/>
              </w:rPr>
            </w:pPr>
          </w:p>
        </w:tc>
        <w:tc>
          <w:tcPr>
            <w:tcW w:w="420" w:type="dxa"/>
            <w:vAlign w:val="bottom"/>
            <w:gridSpan w:val="3"/>
          </w:tcPr>
          <w:p>
            <w:pPr>
              <w:spacing w:after="0"/>
              <w:rPr>
                <w:sz w:val="20"/>
                <w:szCs w:val="20"/>
                <w:color w:val="auto"/>
              </w:rPr>
            </w:pPr>
          </w:p>
        </w:tc>
        <w:tc>
          <w:tcPr>
            <w:tcW w:w="10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1300" w:type="dxa"/>
            <w:vAlign w:val="bottom"/>
            <w:gridSpan w:val="2"/>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7,792,033</w:t>
            </w:r>
          </w:p>
        </w:tc>
        <w:tc>
          <w:tcPr>
            <w:tcW w:w="28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(2,088,667)</w:t>
            </w:r>
          </w:p>
        </w:tc>
        <w:tc>
          <w:tcPr>
            <w:tcW w:w="140" w:type="dxa"/>
            <w:vAlign w:val="bottom"/>
            <w:shd w:val="clear" w:color="auto" w:fill="D6F3E8"/>
          </w:tcPr>
          <w:p>
            <w:pPr>
              <w:spacing w:after="0"/>
              <w:rPr>
                <w:sz w:val="18"/>
                <w:szCs w:val="18"/>
                <w:color w:val="auto"/>
              </w:rPr>
            </w:pPr>
          </w:p>
        </w:tc>
        <w:tc>
          <w:tcPr>
            <w:tcW w:w="140" w:type="dxa"/>
            <w:vAlign w:val="bottom"/>
            <w:gridSpan w:val="2"/>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w w:val="87"/>
              </w:rPr>
              <w:t>5,703,366</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Goodwill in the amount of $1,203,590 is included in Goodwill and Intangible Assets at September 30, 2008 and March 30, 2008.</w:t>
      </w:r>
    </w:p>
    <w:p>
      <w:pPr>
        <w:spacing w:after="0" w:line="158" w:lineRule="exact"/>
        <w:rPr>
          <w:sz w:val="20"/>
          <w:szCs w:val="20"/>
          <w:color w:val="auto"/>
        </w:rPr>
      </w:pPr>
    </w:p>
    <w:p>
      <w:pPr>
        <w:ind w:left="580" w:right="60" w:hanging="572"/>
        <w:spacing w:after="0" w:line="29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follows SFAS No. 109, “Accounting for Income Taxes.” In the preparation of the Company’s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The Company records any interest and penalties related to income taxes as income tax expense in the condensed statements of income.</w:t>
      </w:r>
    </w:p>
    <w:p>
      <w:pPr>
        <w:spacing w:after="0" w:line="106" w:lineRule="exact"/>
        <w:rPr>
          <w:rFonts w:ascii="Arial" w:cs="Arial" w:eastAsia="Arial" w:hAnsi="Arial"/>
          <w:sz w:val="16"/>
          <w:szCs w:val="16"/>
          <w:color w:val="auto"/>
        </w:rPr>
      </w:pPr>
    </w:p>
    <w:p>
      <w:pPr>
        <w:ind w:left="580" w:right="40"/>
        <w:spacing w:after="0" w:line="259" w:lineRule="auto"/>
        <w:rPr>
          <w:rFonts w:ascii="Arial" w:cs="Arial" w:eastAsia="Arial" w:hAnsi="Arial"/>
          <w:sz w:val="16"/>
          <w:szCs w:val="16"/>
          <w:color w:val="auto"/>
        </w:rPr>
      </w:pPr>
      <w:r>
        <w:rPr>
          <w:rFonts w:ascii="Arial" w:cs="Arial" w:eastAsia="Arial" w:hAnsi="Arial"/>
          <w:sz w:val="18"/>
          <w:szCs w:val="18"/>
          <w:color w:val="auto"/>
        </w:rPr>
        <w:t>The Company is subject to U.S. federal income tax as well as income tax of multiple state jurisdictions. The tax years beginning with 2004 remain open to examination by the Internal Revenue Service. The significant state jurisdictions of Minnesota, Iowa, North Dakota, South Dakota, and Wisconsin have tax years beginning with 2004 open to examination.</w:t>
      </w:r>
    </w:p>
    <w:p>
      <w:pPr>
        <w:spacing w:after="0" w:line="126" w:lineRule="exact"/>
        <w:rPr>
          <w:rFonts w:ascii="Arial" w:cs="Arial" w:eastAsia="Arial" w:hAnsi="Arial"/>
          <w:sz w:val="16"/>
          <w:szCs w:val="16"/>
          <w:color w:val="auto"/>
        </w:rPr>
      </w:pPr>
    </w:p>
    <w:p>
      <w:pPr>
        <w:ind w:left="580"/>
        <w:spacing w:after="0" w:line="256" w:lineRule="auto"/>
        <w:rPr>
          <w:rFonts w:ascii="Arial" w:cs="Arial" w:eastAsia="Arial" w:hAnsi="Arial"/>
          <w:sz w:val="16"/>
          <w:szCs w:val="16"/>
          <w:color w:val="auto"/>
        </w:rPr>
      </w:pPr>
      <w:r>
        <w:rPr>
          <w:rFonts w:ascii="Arial" w:cs="Arial" w:eastAsia="Arial" w:hAnsi="Arial"/>
          <w:sz w:val="18"/>
          <w:szCs w:val="18"/>
          <w:color w:val="auto"/>
        </w:rPr>
        <w:t>In accordance with FASB Interpretation (FIN) No. 48, “Accounting for Uncertainty in Income Taxes - an interpretation of FASB Statement No. 109,” we accrue for the effects of open uncertain tax positions and the related penalties and interest. There were no adjustments made to record a liability for unrecognized tax benefits during the six months ended September 30, 2008, and we do not expect any significant adjustments to be made that would have a material impact on our results of operations and financial condition.</w:t>
      </w:r>
    </w:p>
    <w:p>
      <w:pPr>
        <w:spacing w:after="0" w:line="129" w:lineRule="exact"/>
        <w:rPr>
          <w:rFonts w:ascii="Arial" w:cs="Arial" w:eastAsia="Arial" w:hAnsi="Arial"/>
          <w:sz w:val="16"/>
          <w:szCs w:val="16"/>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68"/>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ind w:right="377"/>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6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377"/>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r>
      <w:tr>
        <w:trPr>
          <w:trHeight w:val="123"/>
        </w:trPr>
        <w:tc>
          <w:tcPr>
            <w:tcW w:w="5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r>
      <w:tr>
        <w:trPr>
          <w:trHeight w:val="216"/>
        </w:trPr>
        <w:tc>
          <w:tcPr>
            <w:tcW w:w="50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6,823,092</w:t>
            </w:r>
          </w:p>
        </w:tc>
        <w:tc>
          <w:tcPr>
            <w:tcW w:w="780" w:type="dxa"/>
            <w:vAlign w:val="bottom"/>
            <w:gridSpan w:val="2"/>
            <w:shd w:val="clear" w:color="auto" w:fill="D6F3E8"/>
          </w:tcPr>
          <w:p>
            <w:pPr>
              <w:jc w:val="right"/>
              <w:ind w:right="2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89"/>
              </w:rPr>
              <w:t>2,921,419</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11,698,969</w:t>
            </w:r>
          </w:p>
        </w:tc>
        <w:tc>
          <w:tcPr>
            <w:tcW w:w="42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4"/>
              </w:rPr>
              <w:t>5,872,489</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Available-for-sale investments unrealized gain (loss)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57,080</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(3,359)</w:t>
            </w:r>
          </w:p>
        </w:tc>
        <w:tc>
          <w:tcPr>
            <w:tcW w:w="4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36,499</w:t>
            </w:r>
          </w:p>
        </w:tc>
      </w:tr>
      <w:tr>
        <w:trPr>
          <w:trHeight w:val="237"/>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r>
      <w:tr>
        <w:trPr>
          <w:trHeight w:val="210"/>
        </w:trPr>
        <w:tc>
          <w:tcPr>
            <w:tcW w:w="5000" w:type="dxa"/>
            <w:vAlign w:val="bottom"/>
            <w:shd w:val="clear" w:color="auto" w:fill="D6F3E8"/>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6,825,573</w:t>
            </w:r>
          </w:p>
        </w:tc>
        <w:tc>
          <w:tcPr>
            <w:tcW w:w="320" w:type="dxa"/>
            <w:vAlign w:val="bottom"/>
            <w:shd w:val="clear" w:color="auto" w:fill="D6F3E8"/>
          </w:tcPr>
          <w:p>
            <w:pPr>
              <w:spacing w:after="0"/>
              <w:rPr>
                <w:sz w:val="18"/>
                <w:szCs w:val="18"/>
                <w:color w:val="auto"/>
              </w:rPr>
            </w:pPr>
          </w:p>
        </w:tc>
        <w:tc>
          <w:tcPr>
            <w:tcW w:w="460" w:type="dxa"/>
            <w:vAlign w:val="bottom"/>
            <w:tcBorders>
              <w:top w:val="single" w:sz="8" w:color="auto"/>
            </w:tcBorders>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89"/>
              </w:rPr>
              <w:t>2,978,499</w:t>
            </w:r>
          </w:p>
        </w:tc>
        <w:tc>
          <w:tcPr>
            <w:tcW w:w="320" w:type="dxa"/>
            <w:vAlign w:val="bottom"/>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11,695,610</w:t>
            </w:r>
          </w:p>
        </w:tc>
        <w:tc>
          <w:tcPr>
            <w:tcW w:w="320" w:type="dxa"/>
            <w:vAlign w:val="bottom"/>
            <w:shd w:val="clear" w:color="auto" w:fill="D6F3E8"/>
          </w:tcPr>
          <w:p>
            <w:pPr>
              <w:spacing w:after="0"/>
              <w:rPr>
                <w:sz w:val="18"/>
                <w:szCs w:val="18"/>
                <w:color w:val="auto"/>
              </w:rPr>
            </w:pPr>
          </w:p>
        </w:tc>
        <w:tc>
          <w:tcPr>
            <w:tcW w:w="420" w:type="dxa"/>
            <w:vAlign w:val="bottom"/>
            <w:tcBorders>
              <w:top w:val="single" w:sz="8" w:color="auto"/>
            </w:tcBorders>
            <w:shd w:val="clear" w:color="auto" w:fill="D6F3E8"/>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4"/>
              </w:rPr>
              <w:t>5,908,988</w:t>
            </w:r>
          </w:p>
        </w:tc>
        <w:tc>
          <w:tcPr>
            <w:tcW w:w="100" w:type="dxa"/>
            <w:vAlign w:val="bottom"/>
            <w:shd w:val="clear" w:color="auto" w:fill="D6F3E8"/>
          </w:tcPr>
          <w:p>
            <w:pPr>
              <w:spacing w:after="0"/>
              <w:rPr>
                <w:sz w:val="18"/>
                <w:szCs w:val="18"/>
                <w:color w:val="auto"/>
              </w:rPr>
            </w:pPr>
          </w:p>
        </w:tc>
      </w:tr>
      <w:tr>
        <w:trPr>
          <w:trHeight w:val="243"/>
        </w:trPr>
        <w:tc>
          <w:tcPr>
            <w:tcW w:w="5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1" w:right="259" w:bottom="1440" w:gutter="0" w:footer="0" w:header="0"/>
        </w:sect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580" w:right="240" w:hanging="572"/>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involved in various legal actions arising from the normal course of business from time to time. Management is of the opinion that any judgment or settlement resulting from pending or threatened litigation would not have a material adverse effect on the financial position, results of operations or cash flows of the Company.</w:t>
      </w:r>
    </w:p>
    <w:p>
      <w:pPr>
        <w:spacing w:after="0" w:line="126" w:lineRule="exact"/>
        <w:rPr>
          <w:rFonts w:ascii="Arial" w:cs="Arial" w:eastAsia="Arial" w:hAnsi="Arial"/>
          <w:sz w:val="18"/>
          <w:szCs w:val="18"/>
          <w:color w:val="auto"/>
        </w:rPr>
      </w:pPr>
    </w:p>
    <w:p>
      <w:pPr>
        <w:ind w:left="580" w:right="16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Directors approved a long-term incentive equity compensation arrangement for the executive officers of the Company during the first quarter of fiscal 2009. This long-term incentive arrangement provides for the grant of nonqualified stock options that cliff vest at the end of a three-year period and expire no later than 10 years after the grant date. On May 13, 2008, the Company issued 61,332 stock options to the executive officers of the Company under this plan. The Black-Scholes valuation model was used to estimate the fair value of the options at grant date based on the following assumptions: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260" w:type="dxa"/>
            <w:vAlign w:val="bottom"/>
            <w:shd w:val="clear" w:color="auto" w:fill="D6F3E8"/>
          </w:tcPr>
          <w:p>
            <w:pPr>
              <w:spacing w:after="0"/>
              <w:rPr>
                <w:sz w:val="20"/>
                <w:szCs w:val="20"/>
                <w:color w:val="auto"/>
              </w:rPr>
            </w:pPr>
            <w:r>
              <w:rPr>
                <w:rFonts w:ascii="Arial" w:cs="Arial" w:eastAsia="Arial" w:hAnsi="Arial"/>
                <w:sz w:val="18"/>
                <w:szCs w:val="18"/>
                <w:color w:val="auto"/>
              </w:rPr>
              <w:t>Dividend Yield:</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3.2 %</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Volatility:</w:t>
            </w:r>
          </w:p>
        </w:tc>
        <w:tc>
          <w:tcPr>
            <w:tcW w:w="1140" w:type="dxa"/>
            <w:vAlign w:val="bottom"/>
          </w:tcPr>
          <w:p>
            <w:pPr>
              <w:jc w:val="right"/>
              <w:spacing w:after="0"/>
              <w:rPr>
                <w:sz w:val="20"/>
                <w:szCs w:val="20"/>
                <w:color w:val="auto"/>
              </w:rPr>
            </w:pPr>
            <w:r>
              <w:rPr>
                <w:rFonts w:ascii="Arial" w:cs="Arial" w:eastAsia="Arial" w:hAnsi="Arial"/>
                <w:sz w:val="18"/>
                <w:szCs w:val="18"/>
                <w:color w:val="auto"/>
              </w:rPr>
              <w:t>28.0 %</w:t>
            </w:r>
          </w:p>
        </w:tc>
      </w:tr>
      <w:tr>
        <w:trPr>
          <w:trHeight w:val="216"/>
        </w:trPr>
        <w:tc>
          <w:tcPr>
            <w:tcW w:w="2260" w:type="dxa"/>
            <w:vAlign w:val="bottom"/>
            <w:shd w:val="clear" w:color="auto" w:fill="D6F3E8"/>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3.0 %</w:t>
            </w: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4</w:t>
            </w:r>
          </w:p>
        </w:tc>
      </w:tr>
    </w:tbl>
    <w:p>
      <w:pPr>
        <w:spacing w:after="0" w:line="242"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color w:val="auto"/>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 The grant date fair value was $2.95 per option and the Company recorded compensation expense for the three and six months ended September 30, 2008 of approximately $15,000 and $23,000, respectively.</w:t>
      </w:r>
    </w:p>
    <w:p>
      <w:pPr>
        <w:spacing w:after="0" w:line="130" w:lineRule="exact"/>
        <w:rPr>
          <w:sz w:val="20"/>
          <w:szCs w:val="20"/>
          <w:color w:val="auto"/>
        </w:rPr>
      </w:pPr>
    </w:p>
    <w:p>
      <w:pPr>
        <w:ind w:left="580"/>
        <w:spacing w:after="0" w:line="287" w:lineRule="auto"/>
        <w:rPr>
          <w:sz w:val="20"/>
          <w:szCs w:val="20"/>
          <w:color w:val="auto"/>
        </w:rPr>
      </w:pPr>
      <w:r>
        <w:rPr>
          <w:rFonts w:ascii="Arial" w:cs="Arial" w:eastAsia="Arial" w:hAnsi="Arial"/>
          <w:sz w:val="16"/>
          <w:szCs w:val="16"/>
          <w:color w:val="auto"/>
        </w:rPr>
        <w:t>Our Board of Directors approved a performance-based equity compensation arrangement for the executive officers of the Company during the first quarter of fiscal 2009. The performance-based arrangement provides for the grant of performance units that represent a possible future issuance of restricted shares of the Company’s common stock based on the Company’s pre-tax income target for the applicable fiscal year. The actual number of restricted shares to be issued to each officer will be determined after the Company’s final financial information becomes available after the applicable fiscal year and will be between 0 shares and 23,000 shares in the aggregate. The restricted shares fully vest two years after the last day of the fiscal year on which the performance is based. On May 13, 2008, performance units were granted to the executive officers of the Company under this plan. In accordance with SFAS 123R, “Share-Based Payment,” the Company is recording the compensation expense for the outstanding performance share units over the life of the awards and recorded approximately $39,000 and $67,000 of compensation expense for the three and six months ended September 30, 2008, respectively. The amount of expense recorded each period is dependent upon our estimate of the number of shares that will ultimately be issued and the then current price of our common stock.</w:t>
      </w:r>
    </w:p>
    <w:p>
      <w:pPr>
        <w:spacing w:after="0" w:line="109" w:lineRule="exact"/>
        <w:rPr>
          <w:sz w:val="20"/>
          <w:szCs w:val="20"/>
          <w:color w:val="auto"/>
        </w:rPr>
      </w:pPr>
    </w:p>
    <w:p>
      <w:pPr>
        <w:ind w:left="580" w:right="60"/>
        <w:spacing w:after="0" w:line="298" w:lineRule="auto"/>
        <w:rPr>
          <w:sz w:val="20"/>
          <w:szCs w:val="20"/>
          <w:color w:val="auto"/>
        </w:rPr>
      </w:pPr>
      <w:r>
        <w:rPr>
          <w:rFonts w:ascii="Arial" w:cs="Arial" w:eastAsia="Arial" w:hAnsi="Arial"/>
          <w:sz w:val="16"/>
          <w:szCs w:val="16"/>
          <w:color w:val="auto"/>
        </w:rPr>
        <w:t>On August 7, 2008, the Company issued 7,000 shares of restricted stock to the Board of Directors as part of their annual retainer for their Board services. The restricted stock awards are expensed over the requisite vesting period, which begins on the date of issuance and ends on the date of the next Annual Meeting of shareholders, based on the market value on the date of grant. The grant date fair value on August 7, 2008 was $14.53. For the three and six months ended September 30, 2008, there was approximately $17,000 of compensation expense recorded for this award.</w:t>
      </w:r>
    </w:p>
    <w:p>
      <w:pPr>
        <w:spacing w:after="0" w:line="99" w:lineRule="exact"/>
        <w:rPr>
          <w:sz w:val="20"/>
          <w:szCs w:val="20"/>
          <w:color w:val="auto"/>
        </w:rPr>
      </w:pPr>
    </w:p>
    <w:p>
      <w:pPr>
        <w:ind w:left="580" w:right="60"/>
        <w:spacing w:after="0" w:line="294" w:lineRule="auto"/>
        <w:rPr>
          <w:sz w:val="20"/>
          <w:szCs w:val="20"/>
          <w:color w:val="auto"/>
        </w:rPr>
      </w:pPr>
      <w:r>
        <w:rPr>
          <w:rFonts w:ascii="Arial" w:cs="Arial" w:eastAsia="Arial" w:hAnsi="Arial"/>
          <w:sz w:val="16"/>
          <w:szCs w:val="16"/>
          <w:color w:val="auto"/>
        </w:rPr>
        <w:t>On September 18, 2007, the Company issued 7,000 shares of restricted stock to the Board of Directors as part of their annual retainer for their Board services. The restricted stock awards are expensed over the requisite vesting period, which begins on the date of issuance and ends on the date of the next Annual Meeting of shareholders, based on the market value on the date of grant. The grant date fair value on September 18, 2007 was $14.48. The shares became fully vested on August 7, 2008. For the three and six months ended September 30, 2008, there was approximately $12,000 and $40,000, respectively, of compensation expense recorded for this award.</w:t>
      </w:r>
    </w:p>
    <w:p>
      <w:pPr>
        <w:spacing w:after="0" w:line="102" w:lineRule="exact"/>
        <w:rPr>
          <w:sz w:val="20"/>
          <w:szCs w:val="20"/>
          <w:color w:val="auto"/>
        </w:rPr>
      </w:pPr>
    </w:p>
    <w:p>
      <w:pPr>
        <w:ind w:left="580" w:right="180"/>
        <w:spacing w:after="0" w:line="298" w:lineRule="auto"/>
        <w:rPr>
          <w:sz w:val="20"/>
          <w:szCs w:val="20"/>
          <w:color w:val="auto"/>
        </w:rPr>
      </w:pPr>
      <w:r>
        <w:rPr>
          <w:rFonts w:ascii="Arial" w:cs="Arial" w:eastAsia="Arial" w:hAnsi="Arial"/>
          <w:sz w:val="16"/>
          <w:szCs w:val="16"/>
          <w:color w:val="auto"/>
        </w:rPr>
        <w:t>On December 15, 2006, the Company issued 45,257 shares of restricted stock to certain employees of the Company. The restricted stock awards are recorded as compensation expense over the requisite vesting period, which is one year of service, based on the market value on the date of grant. The grant date fair value on December 15, 2006 was $14.09. The shares became fully vested on December 15, 2007. Restricted stock expense related to this grant for three and six months ended September 30, 2007 was approximately $159,000 and $319,000, respectively.</w:t>
      </w:r>
    </w:p>
    <w:p>
      <w:pPr>
        <w:spacing w:after="0" w:line="99" w:lineRule="exact"/>
        <w:rPr>
          <w:sz w:val="20"/>
          <w:szCs w:val="20"/>
          <w:color w:val="auto"/>
        </w:rPr>
      </w:pPr>
    </w:p>
    <w:p>
      <w:pPr>
        <w:ind w:left="580" w:right="60" w:hanging="572"/>
        <w:spacing w:after="0" w:line="306"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July 15, 2008, the Company acquired a 77,000 square foot facility on 10 acres in Centralia, Illinois for approximately $2,000,000. The facility will be primarily used for expansion of the Company’s lactate and other food ingredient manufacturing capacity within its Industrial segment, with the Water Treatment segment using the location as a branch office for its operations as it expands its geographic coverage.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580" w:right="80"/>
        <w:spacing w:after="0" w:line="298" w:lineRule="auto"/>
        <w:rPr>
          <w:sz w:val="20"/>
          <w:szCs w:val="20"/>
          <w:color w:val="auto"/>
        </w:rPr>
      </w:pPr>
      <w:r>
        <w:rPr>
          <w:rFonts w:ascii="Arial" w:cs="Arial" w:eastAsia="Arial" w:hAnsi="Arial"/>
          <w:sz w:val="16"/>
          <w:szCs w:val="16"/>
          <w:color w:val="auto"/>
        </w:rPr>
        <w:t>On May 15, 2007, the Company signed an asset purchase agreement with Trumark, Inc., Trumark Ltd., Profloc Inc. (collectively Trumark) and the shareholders of each entity, under which the Company agreed to acquire substantially all of the assets of the entities and assume certain operating liabilities for cash of approximately $5,963,000 and Hawkins stock of $588,000. On May 31, 2007, the acquisition was completed. The acquired business is a producer of antimicrobial products for the food industry. The acquired business is included in the Company’s Industrial operating segment.</w:t>
      </w:r>
    </w:p>
    <w:p>
      <w:pPr>
        <w:spacing w:after="0" w:line="99" w:lineRule="exact"/>
        <w:rPr>
          <w:sz w:val="20"/>
          <w:szCs w:val="20"/>
          <w:color w:val="auto"/>
        </w:rPr>
      </w:pPr>
    </w:p>
    <w:p>
      <w:pPr>
        <w:ind w:left="580" w:right="120"/>
        <w:spacing w:after="0" w:line="298" w:lineRule="auto"/>
        <w:rPr>
          <w:sz w:val="20"/>
          <w:szCs w:val="20"/>
          <w:color w:val="auto"/>
        </w:rPr>
      </w:pPr>
      <w:r>
        <w:rPr>
          <w:rFonts w:ascii="Arial" w:cs="Arial" w:eastAsia="Arial" w:hAnsi="Arial"/>
          <w:sz w:val="16"/>
          <w:szCs w:val="16"/>
          <w:color w:val="auto"/>
        </w:rPr>
        <w:t>The assets acquired consist of assets used by Trumark to operate its business, including intellectual property, manufacturing equipment and inventory. The purchase price consisted of cash and shares of the Company’s common stock. The Company funded the cash portion of the transaction with existing cash and issued new shares of common stock. The operations of Trumark are included in the Company’s statement of income beginning on June 1, 2007. The proforma effect of this acquisition on prior period sales, operating income, and EPS was not significant.</w:t>
      </w:r>
    </w:p>
    <w:p>
      <w:pPr>
        <w:spacing w:after="0" w:line="99" w:lineRule="exact"/>
        <w:rPr>
          <w:sz w:val="20"/>
          <w:szCs w:val="20"/>
          <w:color w:val="auto"/>
        </w:rPr>
      </w:pPr>
    </w:p>
    <w:p>
      <w:pPr>
        <w:ind w:left="580" w:right="140" w:hanging="572"/>
        <w:spacing w:after="0" w:line="289"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income from operations not including nonrecurring gains and losses. The segments do not have separate accounting, administration, customer service or purchasing functions. There are no intersegment sales and no operating segments have been aggregated. Sales are primarily within the United States and all assets are located within the United States. These results are not necessarily indicative of the results of operations that would have occurred had each segment been an independent, stand-alone entity during the periods presented.</w:t>
      </w:r>
    </w:p>
    <w:p>
      <w:pPr>
        <w:spacing w:after="0" w:line="208" w:lineRule="exact"/>
        <w:rPr>
          <w:sz w:val="20"/>
          <w:szCs w:val="20"/>
          <w:color w:val="auto"/>
        </w:rPr>
      </w:pPr>
    </w:p>
    <w:p>
      <w:pPr>
        <w:spacing w:after="0"/>
        <w:tabs>
          <w:tab w:leader="none" w:pos="4800" w:val="left"/>
          <w:tab w:leader="none" w:pos="6440" w:val="left"/>
          <w:tab w:leader="none" w:pos="8300" w:val="left"/>
          <w:tab w:leader="none" w:pos="10400" w:val="left"/>
        </w:tabs>
        <w:rPr>
          <w:sz w:val="20"/>
          <w:szCs w:val="20"/>
          <w:color w:val="auto"/>
        </w:rPr>
      </w:pPr>
      <w:r>
        <w:rPr>
          <w:rFonts w:ascii="Arial" w:cs="Arial" w:eastAsia="Arial" w:hAnsi="Arial"/>
          <w:sz w:val="14"/>
          <w:szCs w:val="14"/>
          <w:b w:val="1"/>
          <w:bCs w:val="1"/>
          <w:color w:val="auto"/>
        </w:rPr>
        <w:t>Reportable Segments</w:t>
      </w:r>
      <w:r>
        <w:rPr>
          <w:sz w:val="20"/>
          <w:szCs w:val="20"/>
          <w:color w:val="auto"/>
        </w:rPr>
        <w:tab/>
      </w:r>
      <w:r>
        <w:rPr>
          <w:rFonts w:ascii="Arial" w:cs="Arial" w:eastAsia="Arial" w:hAnsi="Arial"/>
          <w:sz w:val="14"/>
          <w:szCs w:val="14"/>
          <w:b w:val="1"/>
          <w:bCs w:val="1"/>
          <w:color w:val="auto"/>
        </w:rPr>
        <w:t>Industrial</w:t>
      </w:r>
      <w:r>
        <w:rPr>
          <w:sz w:val="20"/>
          <w:szCs w:val="20"/>
          <w:color w:val="auto"/>
        </w:rPr>
        <w:tab/>
      </w:r>
      <w:r>
        <w:rPr>
          <w:rFonts w:ascii="Arial" w:cs="Arial" w:eastAsia="Arial" w:hAnsi="Arial"/>
          <w:sz w:val="14"/>
          <w:szCs w:val="14"/>
          <w:b w:val="1"/>
          <w:bCs w:val="1"/>
          <w:color w:val="auto"/>
        </w:rPr>
        <w:t>Water Treatment</w:t>
      </w:r>
      <w:r>
        <w:rPr>
          <w:sz w:val="20"/>
          <w:szCs w:val="20"/>
          <w:color w:val="auto"/>
        </w:rPr>
        <w:tab/>
      </w:r>
      <w:r>
        <w:rPr>
          <w:rFonts w:ascii="Arial" w:cs="Arial" w:eastAsia="Arial" w:hAnsi="Arial"/>
          <w:sz w:val="14"/>
          <w:szCs w:val="14"/>
          <w:b w:val="1"/>
          <w:bCs w:val="1"/>
          <w:color w:val="auto"/>
        </w:rPr>
        <w:t>Pharmaceutical</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78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shd w:val="clear" w:color="auto" w:fill="D6F3E8"/>
          </w:tcPr>
          <w:p>
            <w:pPr>
              <w:spacing w:after="0"/>
              <w:rPr>
                <w:sz w:val="20"/>
                <w:szCs w:val="20"/>
                <w:color w:val="auto"/>
              </w:rPr>
            </w:pPr>
            <w:r>
              <w:rPr>
                <w:rFonts w:ascii="Arial" w:cs="Arial" w:eastAsia="Arial" w:hAnsi="Arial"/>
                <w:sz w:val="18"/>
                <w:szCs w:val="18"/>
                <w:color w:val="auto"/>
              </w:rPr>
              <w:t>Three Months Ended September 30, 2008:</w:t>
            </w:r>
          </w:p>
        </w:tc>
        <w:tc>
          <w:tcPr>
            <w:tcW w:w="108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80"/>
              <w:spacing w:after="0"/>
              <w:rPr>
                <w:sz w:val="20"/>
                <w:szCs w:val="20"/>
                <w:color w:val="auto"/>
              </w:rPr>
            </w:pPr>
            <w:r>
              <w:rPr>
                <w:rFonts w:ascii="Arial" w:cs="Arial" w:eastAsia="Arial" w:hAnsi="Arial"/>
                <w:sz w:val="18"/>
                <w:szCs w:val="18"/>
                <w:color w:val="auto"/>
              </w:rPr>
              <w:t>Sales</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53,721,466</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24,741,667</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1,923,302</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80,386,435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Income from operations</w:t>
            </w:r>
          </w:p>
        </w:tc>
        <w:tc>
          <w:tcPr>
            <w:tcW w:w="108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7,299,523</w:t>
            </w:r>
          </w:p>
        </w:tc>
        <w:tc>
          <w:tcPr>
            <w:tcW w:w="56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4,024,084</w:t>
            </w:r>
          </w:p>
        </w:tc>
        <w:tc>
          <w:tcPr>
            <w:tcW w:w="60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(149,603)</w:t>
            </w:r>
          </w:p>
        </w:tc>
        <w:tc>
          <w:tcPr>
            <w:tcW w:w="48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11,174,004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680" w:type="dxa"/>
            <w:vAlign w:val="bottom"/>
            <w:gridSpan w:val="2"/>
          </w:tcPr>
          <w:p>
            <w:pPr>
              <w:spacing w:after="0"/>
              <w:rPr>
                <w:sz w:val="20"/>
                <w:szCs w:val="20"/>
                <w:color w:val="auto"/>
              </w:rPr>
            </w:pPr>
            <w:r>
              <w:rPr>
                <w:rFonts w:ascii="Arial" w:cs="Arial" w:eastAsia="Arial" w:hAnsi="Arial"/>
                <w:sz w:val="18"/>
                <w:szCs w:val="18"/>
                <w:color w:val="auto"/>
              </w:rPr>
              <w:t>Three Months Ended September 30, 2007:</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Sales</w:t>
            </w:r>
          </w:p>
        </w:tc>
        <w:tc>
          <w:tcPr>
            <w:tcW w:w="108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28,435,618</w:t>
            </w:r>
          </w:p>
        </w:tc>
        <w:tc>
          <w:tcPr>
            <w:tcW w:w="56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17,446,735</w:t>
            </w:r>
          </w:p>
        </w:tc>
        <w:tc>
          <w:tcPr>
            <w:tcW w:w="60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2,261,503</w:t>
            </w:r>
          </w:p>
        </w:tc>
        <w:tc>
          <w:tcPr>
            <w:tcW w:w="48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48,143,856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480"/>
              <w:spacing w:after="0"/>
              <w:rPr>
                <w:sz w:val="20"/>
                <w:szCs w:val="20"/>
                <w:color w:val="auto"/>
              </w:rPr>
            </w:pPr>
            <w:r>
              <w:rPr>
                <w:rFonts w:ascii="Arial" w:cs="Arial" w:eastAsia="Arial" w:hAnsi="Arial"/>
                <w:sz w:val="18"/>
                <w:szCs w:val="18"/>
                <w:color w:val="auto"/>
              </w:rPr>
              <w:t>Income from operations</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621,605</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3,647,828</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107,421</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4,376,854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D6F3E8"/>
          </w:tcPr>
          <w:p>
            <w:pPr>
              <w:spacing w:after="0"/>
              <w:rPr>
                <w:sz w:val="20"/>
                <w:szCs w:val="20"/>
                <w:color w:val="auto"/>
              </w:rPr>
            </w:pPr>
            <w:r>
              <w:rPr>
                <w:rFonts w:ascii="Arial" w:cs="Arial" w:eastAsia="Arial" w:hAnsi="Arial"/>
                <w:sz w:val="18"/>
                <w:szCs w:val="18"/>
                <w:color w:val="auto"/>
              </w:rPr>
              <w:t>Six Months Ended September 30, 2008:</w:t>
            </w:r>
          </w:p>
        </w:tc>
        <w:tc>
          <w:tcPr>
            <w:tcW w:w="108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80"/>
              <w:spacing w:after="0"/>
              <w:rPr>
                <w:sz w:val="20"/>
                <w:szCs w:val="20"/>
                <w:color w:val="auto"/>
              </w:rPr>
            </w:pPr>
            <w:r>
              <w:rPr>
                <w:rFonts w:ascii="Arial" w:cs="Arial" w:eastAsia="Arial" w:hAnsi="Arial"/>
                <w:sz w:val="18"/>
                <w:szCs w:val="18"/>
                <w:color w:val="auto"/>
              </w:rPr>
              <w:t>Sales</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94,929,686</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46,087,513</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4,496,550</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145,513,749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Income from operations</w:t>
            </w:r>
          </w:p>
        </w:tc>
        <w:tc>
          <w:tcPr>
            <w:tcW w:w="108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10,902,564</w:t>
            </w:r>
          </w:p>
        </w:tc>
        <w:tc>
          <w:tcPr>
            <w:tcW w:w="56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7,944,838</w:t>
            </w:r>
          </w:p>
        </w:tc>
        <w:tc>
          <w:tcPr>
            <w:tcW w:w="60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(50,441)</w:t>
            </w:r>
          </w:p>
        </w:tc>
        <w:tc>
          <w:tcPr>
            <w:tcW w:w="48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18,796,961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680" w:type="dxa"/>
            <w:vAlign w:val="bottom"/>
            <w:gridSpan w:val="2"/>
          </w:tcPr>
          <w:p>
            <w:pPr>
              <w:spacing w:after="0"/>
              <w:rPr>
                <w:sz w:val="20"/>
                <w:szCs w:val="20"/>
                <w:color w:val="auto"/>
              </w:rPr>
            </w:pPr>
            <w:r>
              <w:rPr>
                <w:rFonts w:ascii="Arial" w:cs="Arial" w:eastAsia="Arial" w:hAnsi="Arial"/>
                <w:sz w:val="18"/>
                <w:szCs w:val="18"/>
                <w:color w:val="auto"/>
              </w:rPr>
              <w:t>Six Months Ended September 30, 2007:</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Sales</w:t>
            </w:r>
          </w:p>
        </w:tc>
        <w:tc>
          <w:tcPr>
            <w:tcW w:w="108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rPr>
              <w:t>57,720,243</w:t>
            </w:r>
          </w:p>
        </w:tc>
        <w:tc>
          <w:tcPr>
            <w:tcW w:w="56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34,369,784</w:t>
            </w:r>
          </w:p>
        </w:tc>
        <w:tc>
          <w:tcPr>
            <w:tcW w:w="60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4,676,554</w:t>
            </w:r>
          </w:p>
        </w:tc>
        <w:tc>
          <w:tcPr>
            <w:tcW w:w="48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96,766,581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480"/>
              <w:spacing w:after="0"/>
              <w:rPr>
                <w:sz w:val="20"/>
                <w:szCs w:val="20"/>
                <w:color w:val="auto"/>
              </w:rPr>
            </w:pPr>
            <w:r>
              <w:rPr>
                <w:rFonts w:ascii="Arial" w:cs="Arial" w:eastAsia="Arial" w:hAnsi="Arial"/>
                <w:sz w:val="18"/>
                <w:szCs w:val="18"/>
                <w:color w:val="auto"/>
              </w:rPr>
              <w:t>Income from operations</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1,585,144</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6,860,940</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266,037</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8,712,121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left="1380" w:right="700" w:hanging="1377"/>
        <w:spacing w:after="0" w:line="251" w:lineRule="auto"/>
        <w:tabs>
          <w:tab w:leader="none" w:pos="136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information contained in this Quarterly Report on Form 10-Q for the period ended September 30, 2008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 other filings with the SEC.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34" w:lineRule="exact"/>
        <w:rPr>
          <w:sz w:val="20"/>
          <w:szCs w:val="20"/>
          <w:color w:val="auto"/>
        </w:rPr>
      </w:pPr>
    </w:p>
    <w:p>
      <w:pPr>
        <w:ind w:left="6520"/>
        <w:spacing w:after="0"/>
        <w:tabs>
          <w:tab w:leader="none" w:pos="93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SIX MONTHS ENDED</w:t>
      </w:r>
    </w:p>
    <w:p>
      <w:pPr>
        <w:spacing w:after="0" w:line="1" w:lineRule="exact"/>
        <w:rPr>
          <w:sz w:val="20"/>
          <w:szCs w:val="20"/>
          <w:color w:val="auto"/>
        </w:rPr>
      </w:pPr>
    </w:p>
    <w:p>
      <w:pPr>
        <w:ind w:left="6680"/>
        <w:spacing w:after="0"/>
        <w:tabs>
          <w:tab w:leader="none" w:pos="9380" w:val="left"/>
        </w:tabs>
        <w:rPr>
          <w:sz w:val="20"/>
          <w:szCs w:val="20"/>
          <w:color w:val="auto"/>
        </w:rPr>
      </w:pPr>
      <w:r>
        <w:rPr>
          <w:rFonts w:ascii="Arial" w:cs="Arial" w:eastAsia="Arial" w:hAnsi="Arial"/>
          <w:sz w:val="14"/>
          <w:szCs w:val="14"/>
          <w:b w:val="1"/>
          <w:bCs w:val="1"/>
          <w:color w:val="auto"/>
        </w:rPr>
        <w:t>SEPTEMBER 30, 2008</w:t>
      </w:r>
      <w:r>
        <w:rPr>
          <w:sz w:val="20"/>
          <w:szCs w:val="20"/>
          <w:color w:val="auto"/>
        </w:rPr>
        <w:tab/>
      </w:r>
      <w:r>
        <w:rPr>
          <w:rFonts w:ascii="Arial" w:cs="Arial" w:eastAsia="Arial" w:hAnsi="Arial"/>
          <w:sz w:val="12"/>
          <w:szCs w:val="12"/>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740" w:type="dxa"/>
            <w:vAlign w:val="bottom"/>
            <w:gridSpan w:val="2"/>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80,386</w:t>
            </w:r>
          </w:p>
        </w:tc>
        <w:tc>
          <w:tcPr>
            <w:tcW w:w="136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145,514</w:t>
            </w:r>
          </w:p>
        </w:tc>
        <w:tc>
          <w:tcPr>
            <w:tcW w:w="10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62,597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113,475</w:t>
            </w: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14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17,790</w:t>
            </w:r>
          </w:p>
        </w:tc>
        <w:tc>
          <w:tcPr>
            <w:tcW w:w="3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32,039</w:t>
            </w:r>
          </w:p>
        </w:tc>
        <w:tc>
          <w:tcPr>
            <w:tcW w:w="3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13,242</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11,174</w:t>
            </w:r>
          </w:p>
        </w:tc>
        <w:tc>
          <w:tcPr>
            <w:tcW w:w="320" w:type="dxa"/>
            <w:vAlign w:val="bottom"/>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18,797</w:t>
            </w:r>
          </w:p>
        </w:tc>
        <w:tc>
          <w:tcPr>
            <w:tcW w:w="340" w:type="dxa"/>
            <w:vAlign w:val="bottom"/>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Investment income</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257</w:t>
            </w: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11,289</w:t>
            </w:r>
          </w:p>
        </w:tc>
        <w:tc>
          <w:tcPr>
            <w:tcW w:w="320" w:type="dxa"/>
            <w:vAlign w:val="bottom"/>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19,053</w:t>
            </w:r>
          </w:p>
        </w:tc>
        <w:tc>
          <w:tcPr>
            <w:tcW w:w="340" w:type="dxa"/>
            <w:vAlign w:val="bottom"/>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7,355</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6,823</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11,699</w:t>
            </w:r>
          </w:p>
        </w:tc>
        <w:tc>
          <w:tcPr>
            <w:tcW w:w="3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gridSpan w:val="2"/>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8"/>
              </w:rPr>
              <w:t>THREE MONTHS ENDED</w:t>
            </w:r>
          </w:p>
        </w:tc>
        <w:tc>
          <w:tcPr>
            <w:tcW w:w="320" w:type="dxa"/>
            <w:vAlign w:val="bottom"/>
          </w:tcPr>
          <w:p>
            <w:pPr>
              <w:spacing w:after="0"/>
              <w:rPr>
                <w:sz w:val="24"/>
                <w:szCs w:val="2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2"/>
              </w:rPr>
              <w:t>SEPTEMBER 30, 2007</w:t>
            </w:r>
          </w:p>
        </w:tc>
        <w:tc>
          <w:tcPr>
            <w:tcW w:w="320" w:type="dxa"/>
            <w:vAlign w:val="bottom"/>
          </w:tcPr>
          <w:p>
            <w:pPr>
              <w:spacing w:after="0"/>
              <w:rPr>
                <w:sz w:val="15"/>
                <w:szCs w:val="15"/>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p>
        </w:tc>
        <w:tc>
          <w:tcPr>
            <w:tcW w:w="1360" w:type="dxa"/>
            <w:vAlign w:val="bottom"/>
            <w:tcBorders>
              <w:bottom w:val="single" w:sz="8" w:color="auto"/>
            </w:tcBorders>
            <w:gridSpan w:val="3"/>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1740" w:type="dxa"/>
            <w:vAlign w:val="bottom"/>
            <w:gridSpan w:val="2"/>
          </w:tcPr>
          <w:p>
            <w:pPr>
              <w:spacing w:after="0"/>
              <w:rPr>
                <w:sz w:val="12"/>
                <w:szCs w:val="12"/>
                <w:color w:val="auto"/>
              </w:rPr>
            </w:pPr>
          </w:p>
        </w:tc>
        <w:tc>
          <w:tcPr>
            <w:tcW w:w="920" w:type="dxa"/>
            <w:vAlign w:val="bottom"/>
            <w:gridSpan w:val="2"/>
          </w:tcPr>
          <w:p>
            <w:pPr>
              <w:spacing w:after="0"/>
              <w:rPr>
                <w:sz w:val="12"/>
                <w:szCs w:val="12"/>
                <w:color w:val="auto"/>
              </w:rPr>
            </w:pPr>
          </w:p>
        </w:tc>
        <w:tc>
          <w:tcPr>
            <w:tcW w:w="136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10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740" w:type="dxa"/>
            <w:vAlign w:val="bottom"/>
            <w:gridSpan w:val="2"/>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48,144</w:t>
            </w:r>
          </w:p>
        </w:tc>
        <w:tc>
          <w:tcPr>
            <w:tcW w:w="136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96,767</w:t>
            </w:r>
          </w:p>
        </w:tc>
        <w:tc>
          <w:tcPr>
            <w:tcW w:w="10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36,268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73,061</w:t>
            </w:r>
          </w:p>
        </w:tc>
        <w:tc>
          <w:tcPr>
            <w:tcW w:w="680" w:type="dxa"/>
            <w:vAlign w:val="bottom"/>
          </w:tcPr>
          <w:p>
            <w:pPr>
              <w:jc w:val="right"/>
              <w:spacing w:after="0"/>
              <w:rPr>
                <w:sz w:val="20"/>
                <w:szCs w:val="20"/>
                <w:color w:val="auto"/>
              </w:rPr>
            </w:pPr>
            <w:r>
              <w:rPr>
                <w:rFonts w:ascii="Arial" w:cs="Arial" w:eastAsia="Arial" w:hAnsi="Arial"/>
                <w:sz w:val="18"/>
                <w:szCs w:val="18"/>
                <w:color w:val="auto"/>
              </w:rPr>
              <w:t>75.5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148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11,875</w:t>
            </w:r>
          </w:p>
        </w:tc>
        <w:tc>
          <w:tcPr>
            <w:tcW w:w="320" w:type="dxa"/>
            <w:vAlign w:val="bottom"/>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23,706</w:t>
            </w:r>
          </w:p>
        </w:tc>
        <w:tc>
          <w:tcPr>
            <w:tcW w:w="340" w:type="dxa"/>
            <w:vAlign w:val="bottom"/>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14,993</w:t>
            </w: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4,377</w:t>
            </w:r>
          </w:p>
        </w:tc>
        <w:tc>
          <w:tcPr>
            <w:tcW w:w="320" w:type="dxa"/>
            <w:vAlign w:val="bottom"/>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8,712</w:t>
            </w:r>
          </w:p>
        </w:tc>
        <w:tc>
          <w:tcPr>
            <w:tcW w:w="340" w:type="dxa"/>
            <w:vAlign w:val="bottom"/>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Investment income</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615</w:t>
            </w: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4,689</w:t>
            </w:r>
          </w:p>
        </w:tc>
        <w:tc>
          <w:tcPr>
            <w:tcW w:w="320" w:type="dxa"/>
            <w:vAlign w:val="bottom"/>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9,327</w:t>
            </w:r>
          </w:p>
        </w:tc>
        <w:tc>
          <w:tcPr>
            <w:tcW w:w="340" w:type="dxa"/>
            <w:vAlign w:val="bottom"/>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3,454</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2,921</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5,872</w:t>
            </w:r>
          </w:p>
        </w:tc>
        <w:tc>
          <w:tcPr>
            <w:tcW w:w="3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Sales increased $32,242,579, or 67.0%, in the three months ended September 30, 2008, and increased $48,747,168, or 50.4%, in the six months ended September 30, 2008 as compared to the same periods a year ago. Sales of bulk chemicals, including caustic soda, were approximately 37% and 35% of sales for the three and six months ended September 30, 2008, respectively, compared to approximately 35% and 33% in the comparable periods a year ago. Industrial segment sales increased by $25,285,848 in the three months ended September 30, 2008 and increased by $37,209,443 in the six-month period ended September 30, 2008, as compared to the comparable periods in fiscal 2008. Water Treatment segment sales increased by $7,294,932 in the three months ended September 30, 2008 and increased $11,717,729 in the six-month period ended September 30, 2008, as compared to the same periods in fiscal 2008. The Industrial and Water Treatment segments’ sales increases were primarily attributable to significant increases in selling prices related to rising material costs along existing product lines, with total volumes across these two segments increasing approximately 8% this quarter compared to the same period last year.</w:t>
      </w:r>
    </w:p>
    <w:p>
      <w:pPr>
        <w:spacing w:after="0" w:line="1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Pharmaceutical segment sales decreased by 15.0% to $1,923,302 for the three months ended September 30, 2008 and decreased by 3.8% to $4,496,550 for the six months ended September 30, 2008 as compared to the same periods in fiscal 2008. The Food and Drug Administration (FDA) is currently exercising an industry-wide enforcement against two major compounding chemicals, which negatively impacted the Pharmaceutical segment sales during the three and six months ended September 30, 2008. During the six months ended September 30, 2007, the Pharmaceutical segment was restricted from selling certain products by the Minneapolis District Office of the FDA. The Company worked to resolve this matter and, during the third quarter of fiscal 2008, received clearance from the FDA to sell the majority of the products initially affected. Although sales within the Pharmaceutical segment were negatively impacted by these regulatory actions in fiscal 2008 and the first half of fiscal 2009, there was not a material impact to the Company’s results of operations or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margin, as a percentage of sales, for the three and six months ended September 30, 2008 was 22.1% and 22.0%, respectively, compared to 24.7% and</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24.5%, respectively, for the comparable periods of fiscal 2008. Due to significant increases in raw material inventory costs, the LIFO method of valuing inventory resulted in a LIFO charge that negatively impacted the gross margin for the three and six months ended September 30, 2008 by 4.4% and 3.6%, respectively. The pass-through of higher raw material costs also serves to reduce the reported gross margin rate as a percentage of sales. To more accurately reflect their underlying nature, certain operating expenses that would have been classified as selling, general and administrative expenses in fiscal 2008, are now classified as cost of sales. For the three and six months ended September 30, 2008, these operating expenses totaled $890,562 and $1,585,089, respectively. Excluding the effect of the LIFO adjustment and change in expense classification for the three and six months ended September 30, 2008, gross margin as a percentage of sales would have been 27.7% and 26.7%, respectively. The higher margin rates were primarily due to an increase in margins on certain products due to the Company having the inventory to meet high demands from its current customers and gaining new customers during a period of constrained supply. Reported margins were also higher due to the sale of lower-cost inventory in storage. Many of the Company’s products are commodity based and therefore are subject to cost and pricing fluctuations that will impact the reported gross margin percentage rate, which are expected to continue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Selling, general and administrative (SG&amp;A) expenses, for the three and six months ended September 30, 2008 were $6,615,868 and $13,241,594, respectively, compared to $7,498,645 and $14,993,929 for the comparable periods a year ago. Excluding the impact of the $890,562 and $1,585,089 changes in classification of certain expenses to cost of sales for the three and six months ended September 30, 2008, respectively, expenses were relatively consistent for the three months ended September 30, 2008 and decreased by $167,246 for the six months ended September 30, 2008, as compared to a year ago. SG&amp;A expenses during the six months ended September 30, 2007 included contractor and consulting fees related to the Company’s implementation of an Enterprise Resource Planning system and approximately $300,000 of non-recurring acquisition-related expenses associated with the Trumark acquisition. Employee compensation, including variable pay plans and additional sales staff to support sales growth in the Water Treatment and Pharmaceutical segments, were higher during the six months ended September 30, 2008 as compared to a year ago.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Income from operations for the three and six months ended September 30, 2008 increased by $6,797,150 to $11,174,004 and by $10,084,840 to $18,796,961, respectively. The increase for the three and six months ended September 30, 2008 were driven by the Industrial segment, which increased by $6,677,918 and $9,317,420, respectively, and the Water Treatment segment, which increased by $376,256 and $1,083,898, respectively. The increases during the three and six month periods were driven by increases in sales volumes and higher than usual margins on certain products due to high demand coupled with raw material supply constraints. Shortages of certain raw materials in the Industrial segment’s industry acutely impacted certain competitors’ ability to meet their customers’ product requirements, while the Company’s inventory position allowed it to meet the requirements of its current customer base and to expand its business. Income from the Pharmaceutical segment decreased by $257,024 and $316,478, respectively, for the three and six months ended September 30, 2008 due to the decrease in sales discussed above, higher lab testing expenses, and an increase in selling expense due to additional sales staff.</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Investment income was $256,508 for the six months ended September 30, 2008 as compared to $614,568 earned during the same period a year ago. The decrease was primarily due to lower average investment balances due to the May 2007 Trumark acquisition and lower yields due to the change in mix in investment balances in the current year as compared to the prior year, as the Company has continued to move the substantial portion of its investment assets into cash equivalents over the past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effective income tax rate was 39.6% and 38.6%, respectively, for the three and six months ended September 30, 2008 compared to 37.7% and 37.0%, respectively, for the three and six months ended September 30, 2007. The increase was primarily due to an increase in pre-tax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six-month period ended September 30, 2008, cash provided by operations was $8,444,039 compared to $7,423,285 for the same period one year ago. The increase in cash provided by operating activities was due primarily to the increase in income from operations and the timing of inventory purchases and the related vendor payments, which were partially mitigated by an increase in trade receivables associated with the increase in sales. Due to the nature of our operations, which includes purchases of large quantities of bulk chemicals, timing of purchases can result in significant changes in working capital investment and the resulting operating cash flow. Historically, the Company’s cash requirements for working capital increase during the period from April through September as caustic soda inventory levels increase as the majority of barges are received during this period. Additionally, due to the seasonality of the water treatment business, the Company’s trade receivable balance generally increases during this period. Cash used in investing activities increased by $2,506,032 for the six months ended September 30, 2008 compared to the same period one year ago primarily due to the purchase of the land and facility in Centralia, Illinois during the second quarter of fiscal 2009. In the prior year, the acquisition of Trumark was largely offset by the proceeds obtained from the sale of investments during the six months ended September 30, 2007. Other capital expenditures during the six months ended September 30, 2008 consisted primarily of facilities improvement projects, machinery and equipment, new route sales trucks, and returnable containers. The Company has plans to spend approximately $8.0 million on capacity expansion during the current fiscal year, of which approximately $3.5 million has been incurred through September 30, 2008. Recurring capital expenditures for the remainder of this fiscal year are expected to be comparable with the three previous years and they will primarily relate to facilities improvement projects.</w:t>
      </w:r>
    </w:p>
    <w:p>
      <w:pPr>
        <w:spacing w:after="0" w:line="17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Cash, cash equivalents and investments available-for-sale decreased by $792,463 from March 30, 2008 to $23,321,912 as of September 30, 2008 due primarily to dividends paid of $2,459,150 and capital spending of $6,812,169, partially offset by cash generated from operating activities during the six-month period ended September 30, 2008. Cash equivalents consist of money market accounts and certificates of deposit with an original maturity of three months or less. Investments available-for-sale consists of corporate bonds and U.S. Government agency securities. The Company’s investment objectives in order of importance are the preservation of principal, maintenance of liquidity and rate of return. The fixed income portfolio consists primarily of investment grade securities to minimize credit risk, and they generally mature within 10 years. The Company monitors the maturities of its investments to ensure that funding is available for anticipated cash needs. At September 30, 2008, $299,780 of available-for-sale investments were classified as non-current assets as they were determined to be temporarily impaired with an aggregate carrying value exceeding market value by approximately $7,500 and have maturity dates of one year or longer. These investments were not determined to be other-than-temporarily impaired, as the Company has the intent and ability to hold these investments for a period of time sufficient to allow a recovery of fair value.</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At September 30, 2008, the Company had an investment portfolio of fixed income securities of $1,669,056 and cash and cash equivalents of $21,910,542.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recovery. Consequently, the Company would not expect to recognize an adverse impact on net income or cash flows during the holding period.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September 30, 2008 puts it in a position to obtain debt financing on favorable terms, although there can be no assurance of this.</w:t>
      </w:r>
    </w:p>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March 30, 2008. The accounting policies used in preparing the Company’s interim fiscal 2009 financial statements are the same as those described in the Company’s Annual Report.</w:t>
      </w:r>
    </w:p>
    <w:p>
      <w:pPr>
        <w:spacing w:after="0" w:line="19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September 30, 2008, the Company had an investment portfolio of fixed income securities of $1,669,056 and cash and cash equivalents of $21,910,542.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recovery. Consequently, the Company would not expect to recognize an adverse impact on net income or cash flows during the holding period. The Company adjusts the carrying value of its investments if an impairment occurs that is considered to be other than temporary.</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16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 Our management evaluated, with the participation of our Chief Executive Officer and our Chief Financial Officer, the effectiveness of the design and operation of our disclosure controls and procedures as of the end of the period covered by this report. Based on this evaluation the Chief Executive Officer and Chief Financial Officer concluded that as of September 30, 2008, the disclosure controls and procedures for Hawkins, Inc. were effective to ensure that information required to be disclosed in reports it files or submits under the Exchange Act is recorded, processed, summarized and reported within the time period specified in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second quarter of fiscal 2009 that has materially affected, or is reasonably likely to materially affect, the Company’s internal control over financial reporting.</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 OTHER INFORMATION</w:t>
      </w: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Annual Report on Form 10-K for the fiscal year ended March 30, 2008.</w:t>
      </w:r>
    </w:p>
    <w:p>
      <w:pPr>
        <w:spacing w:after="0" w:line="18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SUBMISSION OF MATTERS TO A VOTE OF SECURITY HOLDERS</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annual meeting of shareholders was held on August 7, 2008. There were 10,246,458 shares of Common Stock entitled to vote at the meeting and a total of 8,755,964 shares (85.45%) were represented at the meeting.</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Proxies for the annual meeting were solicited pursuant to Regulation 14A of the Exchange Act. There was no solicitation in opposition to the Board of Director nominees listed in the proxy statement and all of the nominees for director were elected with the following votes: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06"/>
              <w:spacing w:after="0"/>
              <w:rPr>
                <w:sz w:val="20"/>
                <w:szCs w:val="20"/>
                <w:color w:val="auto"/>
              </w:rPr>
            </w:pPr>
            <w:r>
              <w:rPr>
                <w:rFonts w:ascii="Arial" w:cs="Arial" w:eastAsia="Arial" w:hAnsi="Arial"/>
                <w:sz w:val="14"/>
                <w:szCs w:val="14"/>
                <w:b w:val="1"/>
                <w:bCs w:val="1"/>
                <w:color w:val="auto"/>
              </w:rPr>
              <w:t>Broker</w:t>
            </w:r>
          </w:p>
        </w:tc>
        <w:tc>
          <w:tcPr>
            <w:tcW w:w="8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80" w:type="dxa"/>
            <w:vAlign w:val="bottom"/>
          </w:tcPr>
          <w:p>
            <w:pPr>
              <w:jc w:val="right"/>
              <w:ind w:right="254"/>
              <w:spacing w:after="0"/>
              <w:rPr>
                <w:sz w:val="20"/>
                <w:szCs w:val="20"/>
                <w:color w:val="auto"/>
              </w:rPr>
            </w:pPr>
            <w:r>
              <w:rPr>
                <w:rFonts w:ascii="Arial" w:cs="Arial" w:eastAsia="Arial" w:hAnsi="Arial"/>
                <w:sz w:val="14"/>
                <w:szCs w:val="14"/>
                <w:b w:val="1"/>
                <w:bCs w:val="1"/>
                <w:color w:val="auto"/>
              </w:rPr>
              <w:t>For</w:t>
            </w:r>
          </w:p>
        </w:tc>
        <w:tc>
          <w:tcPr>
            <w:tcW w:w="300" w:type="dxa"/>
            <w:vAlign w:val="bottom"/>
          </w:tcPr>
          <w:p>
            <w:pPr>
              <w:spacing w:after="0"/>
              <w:rPr>
                <w:sz w:val="15"/>
                <w:szCs w:val="15"/>
                <w:color w:val="auto"/>
              </w:rPr>
            </w:pPr>
          </w:p>
        </w:tc>
        <w:tc>
          <w:tcPr>
            <w:tcW w:w="1100" w:type="dxa"/>
            <w:vAlign w:val="bottom"/>
          </w:tcPr>
          <w:p>
            <w:pPr>
              <w:jc w:val="right"/>
              <w:ind w:right="222"/>
              <w:spacing w:after="0"/>
              <w:rPr>
                <w:sz w:val="20"/>
                <w:szCs w:val="20"/>
                <w:color w:val="auto"/>
              </w:rPr>
            </w:pPr>
            <w:r>
              <w:rPr>
                <w:rFonts w:ascii="Arial" w:cs="Arial" w:eastAsia="Arial" w:hAnsi="Arial"/>
                <w:sz w:val="14"/>
                <w:szCs w:val="14"/>
                <w:b w:val="1"/>
                <w:bCs w:val="1"/>
                <w:color w:val="auto"/>
              </w:rPr>
              <w:t>Withheld</w:t>
            </w:r>
          </w:p>
        </w:tc>
        <w:tc>
          <w:tcPr>
            <w:tcW w:w="30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rPr>
              <w:t>Abstain</w:t>
            </w:r>
          </w:p>
        </w:tc>
        <w:tc>
          <w:tcPr>
            <w:tcW w:w="300" w:type="dxa"/>
            <w:vAlign w:val="bottom"/>
          </w:tcPr>
          <w:p>
            <w:pPr>
              <w:spacing w:after="0"/>
              <w:rPr>
                <w:sz w:val="15"/>
                <w:szCs w:val="15"/>
                <w:color w:val="auto"/>
              </w:rPr>
            </w:pPr>
          </w:p>
        </w:tc>
        <w:tc>
          <w:tcPr>
            <w:tcW w:w="940" w:type="dxa"/>
            <w:vAlign w:val="bottom"/>
          </w:tcPr>
          <w:p>
            <w:pPr>
              <w:jc w:val="right"/>
              <w:ind w:right="126"/>
              <w:spacing w:after="0"/>
              <w:rPr>
                <w:sz w:val="20"/>
                <w:szCs w:val="20"/>
                <w:color w:val="auto"/>
              </w:rPr>
            </w:pPr>
            <w:r>
              <w:rPr>
                <w:rFonts w:ascii="Arial" w:cs="Arial" w:eastAsia="Arial" w:hAnsi="Arial"/>
                <w:sz w:val="14"/>
                <w:szCs w:val="14"/>
                <w:b w:val="1"/>
                <w:bCs w:val="1"/>
                <w:color w:val="auto"/>
              </w:rPr>
              <w:t>Non-votes</w:t>
            </w:r>
          </w:p>
        </w:tc>
        <w:tc>
          <w:tcPr>
            <w:tcW w:w="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8,730,935</w:t>
            </w:r>
          </w:p>
        </w:tc>
        <w:tc>
          <w:tcPr>
            <w:tcW w:w="30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25,029</w:t>
            </w:r>
          </w:p>
        </w:tc>
        <w:tc>
          <w:tcPr>
            <w:tcW w:w="30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282"/>
              <w:spacing w:after="0"/>
              <w:rPr>
                <w:sz w:val="20"/>
                <w:szCs w:val="20"/>
                <w:color w:val="auto"/>
              </w:rPr>
            </w:pPr>
            <w:r>
              <w:rPr>
                <w:rFonts w:ascii="Arial" w:cs="Arial" w:eastAsia="Arial" w:hAnsi="Arial"/>
                <w:sz w:val="18"/>
                <w:szCs w:val="18"/>
                <w:color w:val="auto"/>
              </w:rPr>
              <w:t>0</w:t>
            </w: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ind w:right="326"/>
              <w:spacing w:after="0"/>
              <w:rPr>
                <w:sz w:val="20"/>
                <w:szCs w:val="20"/>
                <w:color w:val="auto"/>
              </w:rPr>
            </w:pPr>
            <w:r>
              <w:rPr>
                <w:rFonts w:ascii="Arial" w:cs="Arial" w:eastAsia="Arial" w:hAnsi="Arial"/>
                <w:sz w:val="18"/>
                <w:szCs w:val="18"/>
                <w:color w:val="auto"/>
              </w:rPr>
              <w:t>0</w:t>
            </w:r>
          </w:p>
        </w:tc>
        <w:tc>
          <w:tcPr>
            <w:tcW w:w="8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Howard M. Hawkins</w:t>
            </w:r>
          </w:p>
        </w:tc>
        <w:tc>
          <w:tcPr>
            <w:tcW w:w="880" w:type="dxa"/>
            <w:vAlign w:val="bottom"/>
          </w:tcPr>
          <w:p>
            <w:pPr>
              <w:jc w:val="right"/>
              <w:spacing w:after="0"/>
              <w:rPr>
                <w:sz w:val="20"/>
                <w:szCs w:val="20"/>
                <w:color w:val="auto"/>
              </w:rPr>
            </w:pPr>
            <w:r>
              <w:rPr>
                <w:rFonts w:ascii="Arial" w:cs="Arial" w:eastAsia="Arial" w:hAnsi="Arial"/>
                <w:sz w:val="18"/>
                <w:szCs w:val="18"/>
                <w:color w:val="auto"/>
              </w:rPr>
              <w:t>8,613,295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142,669</w:t>
            </w:r>
          </w:p>
        </w:tc>
        <w:tc>
          <w:tcPr>
            <w:tcW w:w="1180" w:type="dxa"/>
            <w:vAlign w:val="bottom"/>
            <w:gridSpan w:val="2"/>
          </w:tcPr>
          <w:p>
            <w:pPr>
              <w:jc w:val="right"/>
              <w:ind w:right="282"/>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26"/>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John S. McKeon</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8,652,982</w:t>
            </w:r>
          </w:p>
        </w:tc>
        <w:tc>
          <w:tcPr>
            <w:tcW w:w="1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102,982</w:t>
            </w:r>
          </w:p>
        </w:tc>
        <w:tc>
          <w:tcPr>
            <w:tcW w:w="1180" w:type="dxa"/>
            <w:vAlign w:val="bottom"/>
            <w:gridSpan w:val="2"/>
            <w:shd w:val="clear" w:color="auto" w:fill="D6F3E8"/>
          </w:tcPr>
          <w:p>
            <w:pPr>
              <w:jc w:val="right"/>
              <w:ind w:right="282"/>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6F3E8"/>
          </w:tcPr>
          <w:p>
            <w:pPr>
              <w:jc w:val="right"/>
              <w:ind w:right="326"/>
              <w:spacing w:after="0"/>
              <w:rPr>
                <w:sz w:val="20"/>
                <w:szCs w:val="20"/>
                <w:color w:val="auto"/>
              </w:rPr>
            </w:pPr>
            <w:r>
              <w:rPr>
                <w:rFonts w:ascii="Arial" w:cs="Arial" w:eastAsia="Arial" w:hAnsi="Arial"/>
                <w:sz w:val="18"/>
                <w:szCs w:val="18"/>
                <w:color w:val="auto"/>
              </w:rPr>
              <w:t>0</w:t>
            </w:r>
          </w:p>
        </w:tc>
        <w:tc>
          <w:tcPr>
            <w:tcW w:w="8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Duane M. Jergenson</w:t>
            </w:r>
          </w:p>
        </w:tc>
        <w:tc>
          <w:tcPr>
            <w:tcW w:w="880" w:type="dxa"/>
            <w:vAlign w:val="bottom"/>
          </w:tcPr>
          <w:p>
            <w:pPr>
              <w:jc w:val="right"/>
              <w:spacing w:after="0"/>
              <w:rPr>
                <w:sz w:val="20"/>
                <w:szCs w:val="20"/>
                <w:color w:val="auto"/>
              </w:rPr>
            </w:pPr>
            <w:r>
              <w:rPr>
                <w:rFonts w:ascii="Arial" w:cs="Arial" w:eastAsia="Arial" w:hAnsi="Arial"/>
                <w:sz w:val="18"/>
                <w:szCs w:val="18"/>
                <w:color w:val="auto"/>
              </w:rPr>
              <w:t>8,742,536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13,428</w:t>
            </w:r>
          </w:p>
        </w:tc>
        <w:tc>
          <w:tcPr>
            <w:tcW w:w="1180" w:type="dxa"/>
            <w:vAlign w:val="bottom"/>
            <w:gridSpan w:val="2"/>
          </w:tcPr>
          <w:p>
            <w:pPr>
              <w:jc w:val="right"/>
              <w:ind w:right="282"/>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26"/>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G. Robert Gey</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8,437,187</w:t>
            </w:r>
          </w:p>
        </w:tc>
        <w:tc>
          <w:tcPr>
            <w:tcW w:w="1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318,777</w:t>
            </w:r>
          </w:p>
        </w:tc>
        <w:tc>
          <w:tcPr>
            <w:tcW w:w="1180" w:type="dxa"/>
            <w:vAlign w:val="bottom"/>
            <w:gridSpan w:val="2"/>
            <w:shd w:val="clear" w:color="auto" w:fill="D6F3E8"/>
          </w:tcPr>
          <w:p>
            <w:pPr>
              <w:jc w:val="right"/>
              <w:ind w:right="282"/>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6F3E8"/>
          </w:tcPr>
          <w:p>
            <w:pPr>
              <w:jc w:val="right"/>
              <w:ind w:right="326"/>
              <w:spacing w:after="0"/>
              <w:rPr>
                <w:sz w:val="20"/>
                <w:szCs w:val="20"/>
                <w:color w:val="auto"/>
              </w:rPr>
            </w:pPr>
            <w:r>
              <w:rPr>
                <w:rFonts w:ascii="Arial" w:cs="Arial" w:eastAsia="Arial" w:hAnsi="Arial"/>
                <w:sz w:val="18"/>
                <w:szCs w:val="18"/>
                <w:color w:val="auto"/>
              </w:rPr>
              <w:t>0</w:t>
            </w:r>
          </w:p>
        </w:tc>
        <w:tc>
          <w:tcPr>
            <w:tcW w:w="8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Daryl I. Skaar</w:t>
            </w:r>
          </w:p>
        </w:tc>
        <w:tc>
          <w:tcPr>
            <w:tcW w:w="880" w:type="dxa"/>
            <w:vAlign w:val="bottom"/>
          </w:tcPr>
          <w:p>
            <w:pPr>
              <w:jc w:val="right"/>
              <w:spacing w:after="0"/>
              <w:rPr>
                <w:sz w:val="20"/>
                <w:szCs w:val="20"/>
                <w:color w:val="auto"/>
              </w:rPr>
            </w:pPr>
            <w:r>
              <w:rPr>
                <w:rFonts w:ascii="Arial" w:cs="Arial" w:eastAsia="Arial" w:hAnsi="Arial"/>
                <w:sz w:val="18"/>
                <w:szCs w:val="18"/>
                <w:color w:val="auto"/>
              </w:rPr>
              <w:t>8,741,385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14,579</w:t>
            </w:r>
          </w:p>
        </w:tc>
        <w:tc>
          <w:tcPr>
            <w:tcW w:w="1180" w:type="dxa"/>
            <w:vAlign w:val="bottom"/>
            <w:gridSpan w:val="2"/>
          </w:tcPr>
          <w:p>
            <w:pPr>
              <w:jc w:val="right"/>
              <w:ind w:right="282"/>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26"/>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Eapen Chacko</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8,508,023</w:t>
            </w:r>
          </w:p>
        </w:tc>
        <w:tc>
          <w:tcPr>
            <w:tcW w:w="1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247,941</w:t>
            </w:r>
          </w:p>
        </w:tc>
        <w:tc>
          <w:tcPr>
            <w:tcW w:w="1180" w:type="dxa"/>
            <w:vAlign w:val="bottom"/>
            <w:gridSpan w:val="2"/>
            <w:shd w:val="clear" w:color="auto" w:fill="D6F3E8"/>
          </w:tcPr>
          <w:p>
            <w:pPr>
              <w:jc w:val="right"/>
              <w:ind w:right="282"/>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6F3E8"/>
          </w:tcPr>
          <w:p>
            <w:pPr>
              <w:jc w:val="right"/>
              <w:ind w:right="326"/>
              <w:spacing w:after="0"/>
              <w:rPr>
                <w:sz w:val="20"/>
                <w:szCs w:val="20"/>
                <w:color w:val="auto"/>
              </w:rPr>
            </w:pPr>
            <w:r>
              <w:rPr>
                <w:rFonts w:ascii="Arial" w:cs="Arial" w:eastAsia="Arial" w:hAnsi="Arial"/>
                <w:sz w:val="18"/>
                <w:szCs w:val="18"/>
                <w:color w:val="auto"/>
              </w:rPr>
              <w:t>0</w:t>
            </w:r>
          </w:p>
        </w:tc>
        <w:tc>
          <w:tcPr>
            <w:tcW w:w="80" w:type="dxa"/>
            <w:vAlign w:val="bottom"/>
            <w:shd w:val="clear" w:color="auto" w:fill="D6F3E8"/>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James A. Faulconbridge</w:t>
            </w:r>
          </w:p>
        </w:tc>
        <w:tc>
          <w:tcPr>
            <w:tcW w:w="880" w:type="dxa"/>
            <w:vAlign w:val="bottom"/>
          </w:tcPr>
          <w:p>
            <w:pPr>
              <w:jc w:val="right"/>
              <w:spacing w:after="0"/>
              <w:rPr>
                <w:sz w:val="20"/>
                <w:szCs w:val="20"/>
                <w:color w:val="auto"/>
              </w:rPr>
            </w:pPr>
            <w:r>
              <w:rPr>
                <w:rFonts w:ascii="Arial" w:cs="Arial" w:eastAsia="Arial" w:hAnsi="Arial"/>
                <w:sz w:val="18"/>
                <w:szCs w:val="18"/>
                <w:color w:val="auto"/>
              </w:rPr>
              <w:t>8,741,436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14,528</w:t>
            </w:r>
          </w:p>
        </w:tc>
        <w:tc>
          <w:tcPr>
            <w:tcW w:w="1180" w:type="dxa"/>
            <w:vAlign w:val="bottom"/>
            <w:gridSpan w:val="2"/>
          </w:tcPr>
          <w:p>
            <w:pPr>
              <w:jc w:val="right"/>
              <w:ind w:right="282"/>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26"/>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0" w:type="dxa"/>
            <w:vAlign w:val="bottom"/>
            <w:gridSpan w:val="2"/>
          </w:tcPr>
          <w:p>
            <w:pPr>
              <w:jc w:val="right"/>
              <w:ind w:right="312"/>
              <w:spacing w:after="0"/>
              <w:rPr>
                <w:sz w:val="20"/>
                <w:szCs w:val="20"/>
                <w:color w:val="auto"/>
              </w:rPr>
            </w:pPr>
            <w:r>
              <w:rPr>
                <w:rFonts w:ascii="Arial" w:cs="Arial" w:eastAsia="Arial" w:hAnsi="Arial"/>
                <w:sz w:val="22"/>
                <w:szCs w:val="22"/>
                <w:color w:val="auto"/>
                <w:w w:val="96"/>
              </w:rPr>
              <w:t>ITEM 6.</w:t>
            </w:r>
          </w:p>
        </w:tc>
        <w:tc>
          <w:tcPr>
            <w:tcW w:w="7740" w:type="dxa"/>
            <w:vAlign w:val="bottom"/>
            <w:gridSpan w:val="3"/>
          </w:tcPr>
          <w:p>
            <w:pPr>
              <w:ind w:left="20"/>
              <w:spacing w:after="0"/>
              <w:rPr>
                <w:sz w:val="20"/>
                <w:szCs w:val="20"/>
                <w:color w:val="auto"/>
              </w:rPr>
            </w:pPr>
            <w:r>
              <w:rPr>
                <w:rFonts w:ascii="Arial" w:cs="Arial" w:eastAsia="Arial" w:hAnsi="Arial"/>
                <w:sz w:val="22"/>
                <w:szCs w:val="22"/>
                <w:color w:val="auto"/>
              </w:rPr>
              <w:t>EXHIBITS</w:t>
            </w: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420"/>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Exhibit Index</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80"/>
        </w:trPr>
        <w:tc>
          <w:tcPr>
            <w:tcW w:w="7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3420" w:type="dxa"/>
            <w:vAlign w:val="bottom"/>
          </w:tcPr>
          <w:p>
            <w:pPr>
              <w:spacing w:after="0"/>
              <w:rPr>
                <w:sz w:val="24"/>
                <w:szCs w:val="2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Method of Filing</w:t>
            </w:r>
          </w:p>
        </w:tc>
        <w:tc>
          <w:tcPr>
            <w:tcW w:w="260" w:type="dxa"/>
            <w:vAlign w:val="bottom"/>
          </w:tcPr>
          <w:p>
            <w:pPr>
              <w:spacing w:after="0"/>
              <w:rPr>
                <w:sz w:val="24"/>
                <w:szCs w:val="24"/>
                <w:color w:val="auto"/>
              </w:rPr>
            </w:pPr>
          </w:p>
        </w:tc>
      </w:tr>
      <w:tr>
        <w:trPr>
          <w:trHeight w:val="437"/>
        </w:trPr>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7740" w:type="dxa"/>
            <w:vAlign w:val="bottom"/>
            <w:gridSpan w:val="3"/>
          </w:tcPr>
          <w:p>
            <w:pPr>
              <w:ind w:left="320"/>
              <w:spacing w:after="0"/>
              <w:rPr>
                <w:sz w:val="20"/>
                <w:szCs w:val="20"/>
                <w:color w:val="auto"/>
              </w:rPr>
            </w:pPr>
            <w:r>
              <w:rPr>
                <w:rFonts w:ascii="Arial" w:cs="Arial" w:eastAsia="Arial" w:hAnsi="Arial"/>
                <w:sz w:val="18"/>
                <w:szCs w:val="18"/>
                <w:color w:val="auto"/>
                <w:w w:val="92"/>
              </w:rPr>
              <w:t>Amended and Second Restated Articles of Incorporation as amended through February 27, 2001. (1)</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Incorporated by Reference</w:t>
            </w:r>
          </w:p>
        </w:tc>
      </w:tr>
      <w:tr>
        <w:trPr>
          <w:trHeight w:val="365"/>
        </w:trPr>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740" w:type="dxa"/>
            <w:vAlign w:val="bottom"/>
            <w:gridSpan w:val="3"/>
          </w:tcPr>
          <w:p>
            <w:pPr>
              <w:ind w:left="32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Incorporated by Reference</w:t>
            </w:r>
          </w:p>
        </w:tc>
      </w:tr>
      <w:tr>
        <w:trPr>
          <w:trHeight w:val="365"/>
        </w:trPr>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7740" w:type="dxa"/>
            <w:vAlign w:val="bottom"/>
            <w:gridSpan w:val="3"/>
          </w:tcPr>
          <w:p>
            <w:pPr>
              <w:ind w:left="320"/>
              <w:spacing w:after="0"/>
              <w:rPr>
                <w:sz w:val="20"/>
                <w:szCs w:val="20"/>
                <w:color w:val="auto"/>
              </w:rPr>
            </w:pPr>
            <w:r>
              <w:rPr>
                <w:rFonts w:ascii="Arial" w:cs="Arial" w:eastAsia="Arial" w:hAnsi="Arial"/>
                <w:sz w:val="18"/>
                <w:szCs w:val="18"/>
                <w:color w:val="auto"/>
                <w:w w:val="95"/>
              </w:rPr>
              <w:t>Form of Restricted Stock Agreement (Directors) under the Company’s 2004 Omnibus Stock Plan.</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74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74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740" w:type="dxa"/>
            <w:vAlign w:val="bottom"/>
            <w:gridSpan w:val="3"/>
          </w:tcPr>
          <w:p>
            <w:pPr>
              <w:ind w:left="320"/>
              <w:spacing w:after="0"/>
              <w:rPr>
                <w:sz w:val="20"/>
                <w:szCs w:val="20"/>
                <w:color w:val="auto"/>
              </w:rPr>
            </w:pPr>
            <w:r>
              <w:rPr>
                <w:rFonts w:ascii="Arial" w:cs="Arial" w:eastAsia="Arial" w:hAnsi="Arial"/>
                <w:sz w:val="18"/>
                <w:szCs w:val="18"/>
                <w:color w:val="auto"/>
              </w:rPr>
              <w:t>Section 1350 Certification by Chief Executive Officer.</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740" w:type="dxa"/>
            <w:vAlign w:val="bottom"/>
            <w:gridSpan w:val="3"/>
          </w:tcPr>
          <w:p>
            <w:pPr>
              <w:ind w:left="320"/>
              <w:spacing w:after="0"/>
              <w:rPr>
                <w:sz w:val="20"/>
                <w:szCs w:val="20"/>
                <w:color w:val="auto"/>
              </w:rPr>
            </w:pPr>
            <w:r>
              <w:rPr>
                <w:rFonts w:ascii="Arial" w:cs="Arial" w:eastAsia="Arial" w:hAnsi="Arial"/>
                <w:sz w:val="18"/>
                <w:szCs w:val="18"/>
                <w:color w:val="auto"/>
              </w:rPr>
              <w:t>Section 1350 Certification by Chief Financial Officer.</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r>
    </w:tbl>
    <w:p>
      <w:pPr>
        <w:spacing w:after="0" w:line="250"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482"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472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165735</wp:posOffset>
            </wp:positionV>
            <wp:extent cx="3730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394" w:lineRule="exact"/>
        <w:rPr>
          <w:sz w:val="20"/>
          <w:szCs w:val="20"/>
          <w:color w:val="auto"/>
        </w:rPr>
      </w:pPr>
    </w:p>
    <w:p>
      <w:pPr>
        <w:jc w:val="center"/>
        <w:ind w:left="4400"/>
        <w:spacing w:after="0"/>
        <w:rPr>
          <w:sz w:val="20"/>
          <w:szCs w:val="20"/>
          <w:color w:val="auto"/>
        </w:rPr>
      </w:pPr>
      <w:r>
        <w:rPr>
          <w:rFonts w:ascii="Arial" w:cs="Arial" w:eastAsia="Arial" w:hAnsi="Arial"/>
          <w:sz w:val="18"/>
          <w:szCs w:val="18"/>
          <w:color w:val="auto"/>
        </w:rPr>
        <w:t>Kathleen P. Pepski</w:t>
      </w:r>
    </w:p>
    <w:p>
      <w:pPr>
        <w:spacing w:after="0" w:line="158" w:lineRule="exact"/>
        <w:rPr>
          <w:sz w:val="20"/>
          <w:szCs w:val="20"/>
          <w:color w:val="auto"/>
        </w:rPr>
      </w:pPr>
    </w:p>
    <w:p>
      <w:pPr>
        <w:jc w:val="center"/>
        <w:ind w:left="440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15" w:lineRule="exact"/>
        <w:rPr>
          <w:sz w:val="20"/>
          <w:szCs w:val="20"/>
          <w:color w:val="auto"/>
        </w:rPr>
      </w:pPr>
    </w:p>
    <w:p>
      <w:pPr>
        <w:jc w:val="center"/>
        <w:ind w:left="440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Exhibit Index</w:t>
      </w:r>
    </w:p>
    <w:p>
      <w:pPr>
        <w:spacing w:after="0" w:line="23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1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Method of Filing</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7740" w:type="dxa"/>
            <w:vAlign w:val="bottom"/>
            <w:gridSpan w:val="4"/>
            <w:vMerge w:val="restart"/>
          </w:tcPr>
          <w:p>
            <w:pPr>
              <w:ind w:left="320"/>
              <w:spacing w:after="0"/>
              <w:rPr>
                <w:sz w:val="20"/>
                <w:szCs w:val="20"/>
                <w:color w:val="auto"/>
              </w:rPr>
            </w:pPr>
            <w:r>
              <w:rPr>
                <w:rFonts w:ascii="Arial" w:cs="Arial" w:eastAsia="Arial" w:hAnsi="Arial"/>
                <w:sz w:val="18"/>
                <w:szCs w:val="18"/>
                <w:color w:val="auto"/>
                <w:w w:val="92"/>
              </w:rPr>
              <w:t>Amended and Second Restated Articles of Incorporation as amended through February 27, 2001. (1)</w:t>
            </w:r>
          </w:p>
        </w:tc>
        <w:tc>
          <w:tcPr>
            <w:tcW w:w="2220" w:type="dxa"/>
            <w:vAlign w:val="bottom"/>
            <w:gridSpan w:val="3"/>
            <w:vMerge w:val="restart"/>
          </w:tcPr>
          <w:p>
            <w:pPr>
              <w:jc w:val="center"/>
              <w:ind w:left="272"/>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7740" w:type="dxa"/>
            <w:vAlign w:val="bottom"/>
            <w:gridSpan w:val="4"/>
            <w:vMerge w:val="continue"/>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7740" w:type="dxa"/>
            <w:vAlign w:val="bottom"/>
            <w:gridSpan w:val="4"/>
          </w:tcPr>
          <w:p>
            <w:pPr>
              <w:ind w:left="32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365"/>
        </w:trPr>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7740" w:type="dxa"/>
            <w:vAlign w:val="bottom"/>
            <w:gridSpan w:val="4"/>
          </w:tcPr>
          <w:p>
            <w:pPr>
              <w:ind w:left="320"/>
              <w:spacing w:after="0"/>
              <w:rPr>
                <w:sz w:val="20"/>
                <w:szCs w:val="20"/>
                <w:color w:val="auto"/>
              </w:rPr>
            </w:pPr>
            <w:r>
              <w:rPr>
                <w:rFonts w:ascii="Arial" w:cs="Arial" w:eastAsia="Arial" w:hAnsi="Arial"/>
                <w:sz w:val="18"/>
                <w:szCs w:val="18"/>
                <w:color w:val="auto"/>
                <w:w w:val="95"/>
              </w:rPr>
              <w:t>Form of Restricted Stock Agreement (Directors) under the Company’s 2004 Omnibus Stock Plan.</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r>
        <w:trPr>
          <w:trHeight w:val="365"/>
        </w:trPr>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7740" w:type="dxa"/>
            <w:vAlign w:val="bottom"/>
            <w:gridSpan w:val="4"/>
          </w:tcPr>
          <w:p>
            <w:pPr>
              <w:ind w:left="3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r>
        <w:trPr>
          <w:trHeight w:val="365"/>
        </w:trPr>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7740" w:type="dxa"/>
            <w:vAlign w:val="bottom"/>
            <w:gridSpan w:val="4"/>
          </w:tcPr>
          <w:p>
            <w:pPr>
              <w:ind w:left="3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r>
        <w:trPr>
          <w:trHeight w:val="365"/>
        </w:trPr>
        <w:tc>
          <w:tcPr>
            <w:tcW w:w="440" w:type="dxa"/>
            <w:vAlign w:val="bottom"/>
          </w:tcPr>
          <w:p>
            <w:pPr>
              <w:jc w:val="right"/>
              <w:spacing w:after="0"/>
              <w:rPr>
                <w:sz w:val="20"/>
                <w:szCs w:val="20"/>
                <w:color w:val="auto"/>
              </w:rPr>
            </w:pPr>
            <w:r>
              <w:rPr>
                <w:rFonts w:ascii="Arial" w:cs="Arial" w:eastAsia="Arial" w:hAnsi="Arial"/>
                <w:sz w:val="18"/>
                <w:szCs w:val="18"/>
                <w:color w:val="auto"/>
              </w:rPr>
              <w:t>32.1</w:t>
            </w:r>
          </w:p>
        </w:tc>
        <w:tc>
          <w:tcPr>
            <w:tcW w:w="1260" w:type="dxa"/>
            <w:vAlign w:val="bottom"/>
          </w:tcPr>
          <w:p>
            <w:pPr>
              <w:ind w:left="320"/>
              <w:spacing w:after="0"/>
              <w:rPr>
                <w:sz w:val="20"/>
                <w:szCs w:val="20"/>
                <w:color w:val="auto"/>
              </w:rPr>
            </w:pPr>
            <w:r>
              <w:rPr>
                <w:rFonts w:ascii="Arial" w:cs="Arial" w:eastAsia="Arial" w:hAnsi="Arial"/>
                <w:sz w:val="18"/>
                <w:szCs w:val="18"/>
                <w:color w:val="auto"/>
                <w:w w:val="87"/>
              </w:rPr>
              <w:t>Section 1350</w:t>
            </w:r>
          </w:p>
        </w:tc>
        <w:tc>
          <w:tcPr>
            <w:tcW w:w="648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r>
        <w:trPr>
          <w:trHeight w:val="365"/>
        </w:trPr>
        <w:tc>
          <w:tcPr>
            <w:tcW w:w="440" w:type="dxa"/>
            <w:vAlign w:val="bottom"/>
          </w:tcPr>
          <w:p>
            <w:pPr>
              <w:jc w:val="right"/>
              <w:spacing w:after="0"/>
              <w:rPr>
                <w:sz w:val="20"/>
                <w:szCs w:val="20"/>
                <w:color w:val="auto"/>
              </w:rPr>
            </w:pPr>
            <w:r>
              <w:rPr>
                <w:rFonts w:ascii="Arial" w:cs="Arial" w:eastAsia="Arial" w:hAnsi="Arial"/>
                <w:sz w:val="18"/>
                <w:szCs w:val="18"/>
                <w:color w:val="auto"/>
              </w:rPr>
              <w:t>32.2</w:t>
            </w:r>
          </w:p>
        </w:tc>
        <w:tc>
          <w:tcPr>
            <w:tcW w:w="1260" w:type="dxa"/>
            <w:vAlign w:val="bottom"/>
          </w:tcPr>
          <w:p>
            <w:pPr>
              <w:ind w:left="320"/>
              <w:spacing w:after="0"/>
              <w:rPr>
                <w:sz w:val="20"/>
                <w:szCs w:val="20"/>
                <w:color w:val="auto"/>
              </w:rPr>
            </w:pPr>
            <w:r>
              <w:rPr>
                <w:rFonts w:ascii="Arial" w:cs="Arial" w:eastAsia="Arial" w:hAnsi="Arial"/>
                <w:sz w:val="18"/>
                <w:szCs w:val="18"/>
                <w:color w:val="auto"/>
                <w:w w:val="87"/>
              </w:rPr>
              <w:t>Section 1350</w:t>
            </w:r>
          </w:p>
        </w:tc>
        <w:tc>
          <w:tcPr>
            <w:tcW w:w="648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22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Filed Electronically</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Annual Report on Form 10-K for the year ended September 30, 2001.</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6" w:name="page17"/>
    <w:bookmarkEnd w:id="16"/>
    <w:p>
      <w:pPr>
        <w:ind w:left="10060"/>
        <w:spacing w:after="0"/>
        <w:rPr>
          <w:sz w:val="20"/>
          <w:szCs w:val="20"/>
          <w:color w:val="auto"/>
        </w:rPr>
      </w:pPr>
      <w:r>
        <w:rPr>
          <w:rFonts w:ascii="Arial" w:cs="Arial" w:eastAsia="Arial" w:hAnsi="Arial"/>
          <w:sz w:val="22"/>
          <w:szCs w:val="22"/>
          <w:b w:val="1"/>
          <w:bCs w:val="1"/>
          <w:color w:val="auto"/>
        </w:rPr>
        <w:t>EXHIBIT 10.1</w:t>
      </w:r>
    </w:p>
    <w:p>
      <w:pPr>
        <w:spacing w:after="0" w:line="197" w:lineRule="exact"/>
        <w:rPr>
          <w:sz w:val="20"/>
          <w:szCs w:val="20"/>
          <w:color w:val="auto"/>
        </w:rPr>
      </w:pPr>
    </w:p>
    <w:tbl>
      <w:tblPr>
        <w:tblLayout w:type="fixed"/>
        <w:tblInd w:w="13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6960" w:type="dxa"/>
            <w:vAlign w:val="bottom"/>
            <w:gridSpan w:val="2"/>
          </w:tcPr>
          <w:p>
            <w:pPr>
              <w:jc w:val="center"/>
              <w:ind w:right="2992"/>
              <w:spacing w:after="0"/>
              <w:rPr>
                <w:sz w:val="20"/>
                <w:szCs w:val="20"/>
                <w:color w:val="auto"/>
              </w:rPr>
            </w:pPr>
            <w:r>
              <w:rPr>
                <w:rFonts w:ascii="Arial" w:cs="Arial" w:eastAsia="Arial" w:hAnsi="Arial"/>
                <w:sz w:val="22"/>
                <w:szCs w:val="22"/>
                <w:b w:val="1"/>
                <w:bCs w:val="1"/>
                <w:color w:val="auto"/>
                <w:w w:val="99"/>
              </w:rPr>
              <w:t>HAWKINS, INC.</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960" w:type="dxa"/>
            <w:vAlign w:val="bottom"/>
            <w:gridSpan w:val="2"/>
          </w:tcPr>
          <w:p>
            <w:pPr>
              <w:jc w:val="center"/>
              <w:ind w:right="2992"/>
              <w:spacing w:after="0"/>
              <w:rPr>
                <w:sz w:val="20"/>
                <w:szCs w:val="20"/>
                <w:color w:val="auto"/>
              </w:rPr>
            </w:pPr>
            <w:r>
              <w:rPr>
                <w:rFonts w:ascii="Arial" w:cs="Arial" w:eastAsia="Arial" w:hAnsi="Arial"/>
                <w:sz w:val="22"/>
                <w:szCs w:val="22"/>
                <w:b w:val="1"/>
                <w:bCs w:val="1"/>
                <w:color w:val="auto"/>
                <w:w w:val="96"/>
              </w:rPr>
              <w:t>2004 OMNIBUS STOCK PLAN</w:t>
            </w:r>
          </w:p>
        </w:tc>
        <w:tc>
          <w:tcPr>
            <w:tcW w:w="0" w:type="dxa"/>
            <w:vAlign w:val="bottom"/>
          </w:tcPr>
          <w:p>
            <w:pPr>
              <w:spacing w:after="0"/>
              <w:rPr>
                <w:sz w:val="1"/>
                <w:szCs w:val="1"/>
                <w:color w:val="auto"/>
              </w:rPr>
            </w:pPr>
          </w:p>
        </w:tc>
      </w:tr>
      <w:tr>
        <w:trPr>
          <w:trHeight w:val="420"/>
        </w:trPr>
        <w:tc>
          <w:tcPr>
            <w:tcW w:w="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960" w:type="dxa"/>
            <w:vAlign w:val="bottom"/>
            <w:gridSpan w:val="2"/>
          </w:tcPr>
          <w:p>
            <w:pPr>
              <w:jc w:val="center"/>
              <w:ind w:right="3012"/>
              <w:spacing w:after="0"/>
              <w:rPr>
                <w:sz w:val="20"/>
                <w:szCs w:val="20"/>
                <w:color w:val="auto"/>
              </w:rPr>
            </w:pPr>
            <w:r>
              <w:rPr>
                <w:rFonts w:ascii="Arial" w:cs="Arial" w:eastAsia="Arial" w:hAnsi="Arial"/>
                <w:sz w:val="18"/>
                <w:szCs w:val="18"/>
                <w:b w:val="1"/>
                <w:bCs w:val="1"/>
                <w:color w:val="auto"/>
                <w:w w:val="87"/>
              </w:rPr>
              <w:t>Restricted Stock Agreement</w:t>
            </w:r>
          </w:p>
        </w:tc>
        <w:tc>
          <w:tcPr>
            <w:tcW w:w="0" w:type="dxa"/>
            <w:vAlign w:val="bottom"/>
          </w:tcPr>
          <w:p>
            <w:pPr>
              <w:spacing w:after="0"/>
              <w:rPr>
                <w:sz w:val="1"/>
                <w:szCs w:val="1"/>
                <w:color w:val="auto"/>
              </w:rPr>
            </w:pPr>
          </w:p>
        </w:tc>
      </w:tr>
      <w:tr>
        <w:trPr>
          <w:trHeight w:val="272"/>
        </w:trPr>
        <w:tc>
          <w:tcPr>
            <w:tcW w:w="6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5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60" w:type="dxa"/>
            <w:vAlign w:val="bottom"/>
            <w:tcBorders>
              <w:left w:val="single" w:sz="8" w:color="auto"/>
              <w:bottom w:val="single" w:sz="8" w:color="auto"/>
              <w:right w:val="single" w:sz="8" w:color="auto"/>
            </w:tcBorders>
          </w:tcPr>
          <w:p>
            <w:pPr>
              <w:spacing w:after="0"/>
              <w:rPr>
                <w:sz w:val="17"/>
                <w:szCs w:val="17"/>
                <w:color w:val="auto"/>
              </w:rPr>
            </w:pPr>
          </w:p>
        </w:tc>
        <w:tc>
          <w:tcPr>
            <w:tcW w:w="360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Name of Director:</w:t>
            </w:r>
          </w:p>
        </w:tc>
        <w:tc>
          <w:tcPr>
            <w:tcW w:w="1560" w:type="dxa"/>
            <w:vAlign w:val="bottom"/>
            <w:tcBorders>
              <w:bottom w:val="single" w:sz="8" w:color="auto"/>
            </w:tcBorders>
          </w:tcPr>
          <w:p>
            <w:pPr>
              <w:spacing w:after="0"/>
              <w:rPr>
                <w:sz w:val="17"/>
                <w:szCs w:val="17"/>
                <w:color w:val="auto"/>
              </w:rPr>
            </w:pPr>
          </w:p>
        </w:tc>
        <w:tc>
          <w:tcPr>
            <w:tcW w:w="5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No. of Shares Covered:</w:t>
            </w:r>
          </w:p>
        </w:tc>
        <w:tc>
          <w:tcPr>
            <w:tcW w:w="15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Date of Issuance:</w:t>
            </w: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3600" w:type="dxa"/>
            <w:vAlign w:val="bottom"/>
          </w:tcPr>
          <w:p>
            <w:pPr>
              <w:ind w:left="140"/>
              <w:spacing w:after="0"/>
              <w:rPr>
                <w:sz w:val="20"/>
                <w:szCs w:val="20"/>
                <w:color w:val="auto"/>
              </w:rPr>
            </w:pPr>
            <w:r>
              <w:rPr>
                <w:rFonts w:ascii="Arial" w:cs="Arial" w:eastAsia="Arial" w:hAnsi="Arial"/>
                <w:sz w:val="18"/>
                <w:szCs w:val="18"/>
                <w:b w:val="1"/>
                <w:bCs w:val="1"/>
                <w:color w:val="auto"/>
                <w:w w:val="99"/>
              </w:rPr>
              <w:t>Vesting Schedule pursuant to Section 3:</w:t>
            </w:r>
          </w:p>
        </w:tc>
        <w:tc>
          <w:tcPr>
            <w:tcW w:w="1560" w:type="dxa"/>
            <w:vAlign w:val="bottom"/>
          </w:tcPr>
          <w:p>
            <w:pPr>
              <w:spacing w:after="0"/>
              <w:rPr>
                <w:sz w:val="19"/>
                <w:szCs w:val="19"/>
                <w:color w:val="auto"/>
              </w:rPr>
            </w:pPr>
          </w:p>
        </w:tc>
        <w:tc>
          <w:tcPr>
            <w:tcW w:w="5400" w:type="dxa"/>
            <w:vAlign w:val="bottom"/>
            <w:tcBorders>
              <w:right w:val="single" w:sz="8" w:color="auto"/>
            </w:tcBorders>
            <w:vMerge w:val="restart"/>
          </w:tcPr>
          <w:p>
            <w:pPr>
              <w:jc w:val="center"/>
              <w:ind w:left="52"/>
              <w:spacing w:after="0"/>
              <w:rPr>
                <w:sz w:val="20"/>
                <w:szCs w:val="20"/>
                <w:color w:val="auto"/>
              </w:rPr>
            </w:pPr>
            <w:r>
              <w:rPr>
                <w:rFonts w:ascii="Arial" w:cs="Arial" w:eastAsia="Arial" w:hAnsi="Arial"/>
                <w:sz w:val="18"/>
                <w:szCs w:val="18"/>
                <w:b w:val="1"/>
                <w:bCs w:val="1"/>
                <w:color w:val="auto"/>
                <w:w w:val="87"/>
              </w:rPr>
              <w:t>No. of Shares Which</w:t>
            </w:r>
          </w:p>
        </w:tc>
        <w:tc>
          <w:tcPr>
            <w:tcW w:w="0" w:type="dxa"/>
            <w:vAlign w:val="bottom"/>
          </w:tcPr>
          <w:p>
            <w:pPr>
              <w:spacing w:after="0"/>
              <w:rPr>
                <w:sz w:val="1"/>
                <w:szCs w:val="1"/>
                <w:color w:val="auto"/>
              </w:rPr>
            </w:pPr>
          </w:p>
        </w:tc>
      </w:tr>
      <w:tr>
        <w:trPr>
          <w:trHeight w:val="189"/>
        </w:trPr>
        <w:tc>
          <w:tcPr>
            <w:tcW w:w="60" w:type="dxa"/>
            <w:vAlign w:val="bottom"/>
            <w:tcBorders>
              <w:left w:val="single" w:sz="8" w:color="auto"/>
              <w:right w:val="single" w:sz="8" w:color="auto"/>
            </w:tcBorders>
          </w:tcPr>
          <w:p>
            <w:pPr>
              <w:spacing w:after="0"/>
              <w:rPr>
                <w:sz w:val="16"/>
                <w:szCs w:val="16"/>
                <w:color w:val="auto"/>
              </w:rPr>
            </w:pPr>
          </w:p>
        </w:tc>
        <w:tc>
          <w:tcPr>
            <w:tcW w:w="3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4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 w:type="dxa"/>
            <w:vAlign w:val="bottom"/>
            <w:tcBorders>
              <w:left w:val="single" w:sz="8" w:color="auto"/>
              <w:right w:val="single" w:sz="8" w:color="auto"/>
            </w:tcBorders>
          </w:tcPr>
          <w:p>
            <w:pPr>
              <w:spacing w:after="0"/>
              <w:rPr>
                <w:sz w:val="19"/>
                <w:szCs w:val="19"/>
                <w:color w:val="auto"/>
              </w:rPr>
            </w:pPr>
          </w:p>
        </w:tc>
        <w:tc>
          <w:tcPr>
            <w:tcW w:w="3600" w:type="dxa"/>
            <w:vAlign w:val="bottom"/>
          </w:tcPr>
          <w:p>
            <w:pPr>
              <w:ind w:left="2000"/>
              <w:spacing w:after="0"/>
              <w:rPr>
                <w:sz w:val="20"/>
                <w:szCs w:val="20"/>
                <w:color w:val="auto"/>
              </w:rPr>
            </w:pPr>
            <w:r>
              <w:rPr>
                <w:rFonts w:ascii="Arial" w:cs="Arial" w:eastAsia="Arial" w:hAnsi="Arial"/>
                <w:sz w:val="18"/>
                <w:szCs w:val="18"/>
                <w:b w:val="1"/>
                <w:bCs w:val="1"/>
                <w:color w:val="auto"/>
              </w:rPr>
              <w:t>Vesting Date(s)</w:t>
            </w:r>
          </w:p>
        </w:tc>
        <w:tc>
          <w:tcPr>
            <w:tcW w:w="1560" w:type="dxa"/>
            <w:vAlign w:val="bottom"/>
          </w:tcPr>
          <w:p>
            <w:pPr>
              <w:spacing w:after="0"/>
              <w:rPr>
                <w:sz w:val="19"/>
                <w:szCs w:val="19"/>
                <w:color w:val="auto"/>
              </w:rPr>
            </w:pPr>
          </w:p>
        </w:tc>
        <w:tc>
          <w:tcPr>
            <w:tcW w:w="5400" w:type="dxa"/>
            <w:vAlign w:val="bottom"/>
            <w:tcBorders>
              <w:righ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84"/>
              </w:rPr>
              <w:t>Become Vested as of Such Date</w:t>
            </w:r>
          </w:p>
        </w:tc>
        <w:tc>
          <w:tcPr>
            <w:tcW w:w="0" w:type="dxa"/>
            <w:vAlign w:val="bottom"/>
          </w:tcPr>
          <w:p>
            <w:pPr>
              <w:spacing w:after="0"/>
              <w:rPr>
                <w:sz w:val="1"/>
                <w:szCs w:val="1"/>
                <w:color w:val="auto"/>
              </w:rPr>
            </w:pPr>
          </w:p>
        </w:tc>
      </w:tr>
      <w:tr>
        <w:trPr>
          <w:trHeight w:val="448"/>
        </w:trPr>
        <w:tc>
          <w:tcPr>
            <w:tcW w:w="60" w:type="dxa"/>
            <w:vAlign w:val="bottom"/>
            <w:tcBorders>
              <w:left w:val="single" w:sz="8" w:color="auto"/>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87"/>
        <w:spacing w:after="0" w:line="268" w:lineRule="auto"/>
        <w:rPr>
          <w:sz w:val="20"/>
          <w:szCs w:val="20"/>
          <w:color w:val="auto"/>
        </w:rPr>
      </w:pPr>
      <w:r>
        <w:rPr>
          <w:rFonts w:ascii="Arial" w:cs="Arial" w:eastAsia="Arial" w:hAnsi="Arial"/>
          <w:sz w:val="18"/>
          <w:szCs w:val="18"/>
          <w:color w:val="auto"/>
        </w:rPr>
        <w:t>This is a Restricted Stock Agreement (“Agreement”) between Hawkins, Inc., a Minnesota corporation (the “Company”), and the above-named member of the Board of Directors (the “Director”).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maintains the Hawkins, Inc. 2004 Omnibus Stock Plan (as amended from time to time, the “Plan”);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WHEREAS, the Board of Directors (the “Board”) of the Company has appointed the Compensation Committee (the “Committee”) with the authority to determine the awards to be granted under the Plan; and</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WHEREAS, the Committee or its designee has determined that the Director is eligible to receive an award under the Plan in the form of restricted stock and has set the terms thereof;</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the Director mutually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39"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Shares.</w:t>
      </w:r>
    </w:p>
    <w:p>
      <w:pPr>
        <w:spacing w:after="0" w:line="157" w:lineRule="exact"/>
        <w:rPr>
          <w:rFonts w:ascii="Arial" w:cs="Arial" w:eastAsia="Arial" w:hAnsi="Arial"/>
          <w:sz w:val="18"/>
          <w:szCs w:val="18"/>
          <w:b w:val="1"/>
          <w:bCs w:val="1"/>
          <w:color w:val="auto"/>
        </w:rPr>
      </w:pPr>
    </w:p>
    <w:p>
      <w:pPr>
        <w:jc w:val="both"/>
        <w:ind w:left="1160" w:hanging="571"/>
        <w:spacing w:after="0" w:line="301" w:lineRule="auto"/>
        <w:tabs>
          <w:tab w:leader="none" w:pos="1160"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w:t>
      </w:r>
      <w:r>
        <w:rPr>
          <w:rFonts w:ascii="Arial" w:cs="Arial" w:eastAsia="Arial" w:hAnsi="Arial"/>
          <w:sz w:val="16"/>
          <w:szCs w:val="16"/>
          <w:color w:val="auto"/>
        </w:rPr>
        <w:t>The Company hereby issues to the Director the number of shares specified at the beginning of this Agreement (the “Restricted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terms and conditions and subject to the restrictions set forth in this Agreement. The term “Restricted Shares” also refers to all securities received by the Director in replacement of or in connection with the Restricted Shares granted hereby pursuant to a recapitalization, reclassification, stock dividend, stock split, stock combination or other relevant event.</w:t>
      </w:r>
    </w:p>
    <w:p>
      <w:pPr>
        <w:spacing w:after="0" w:line="89" w:lineRule="exact"/>
        <w:rPr>
          <w:rFonts w:ascii="Arial" w:cs="Arial" w:eastAsia="Arial" w:hAnsi="Arial"/>
          <w:sz w:val="16"/>
          <w:szCs w:val="16"/>
          <w:b w:val="1"/>
          <w:bCs w:val="1"/>
          <w:color w:val="auto"/>
        </w:rPr>
      </w:pPr>
    </w:p>
    <w:p>
      <w:pPr>
        <w:jc w:val="both"/>
        <w:ind w:left="1160" w:hanging="571"/>
        <w:spacing w:after="0" w:line="287" w:lineRule="auto"/>
        <w:tabs>
          <w:tab w:leader="none" w:pos="1160"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Certificate. </w:t>
      </w:r>
      <w:r>
        <w:rPr>
          <w:rFonts w:ascii="Arial" w:cs="Arial" w:eastAsia="Arial" w:hAnsi="Arial"/>
          <w:sz w:val="16"/>
          <w:szCs w:val="16"/>
          <w:color w:val="auto"/>
        </w:rPr>
        <w:t>Within a reasonable time after the execution of this Agreement by the Director and the Company, the Company shall have a</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or certificates representing the Restricted Shares issued in the name of the Director and delivered to the Company to hold until the vesting and other conditions set forth in this Agreement have been satisfied. The Company shall pay all original issue or transfer taxes, if any, with respect to the issue or transfer of the Restricted Shares and all fees and expenses necessarily incurred by the Company in connection therewith. All Restricted Shares so issued shall be fully paid and nonassessable. Notwithstanding anything to the contrary in this Agreement, the Company shall not be required to deliver a certificate or certificates representing any Restricted Shares prior to (i) the vesting of such Restricted Shares in accordance with Section 3 and (ii) the completion of such registration or other qualification of such Restricted Shares for sale under the laws, rules or regulations of any state or other jurisdiction as the Company shall determine to be necessary or desirable. Upon the vesting of Restricted Shares in accordance with Section 3 and provided that the other conditions set forth in the previous sentence and elsewhere in this Agreement have been satisfied, the Company shall deliver a certificate or certificates representing such vested Restricted Shares to the Director as promptly as practicable.</w:t>
      </w:r>
    </w:p>
    <w:p>
      <w:pPr>
        <w:spacing w:after="0" w:line="105" w:lineRule="exact"/>
        <w:rPr>
          <w:rFonts w:ascii="Arial" w:cs="Arial" w:eastAsia="Arial" w:hAnsi="Arial"/>
          <w:sz w:val="16"/>
          <w:szCs w:val="16"/>
          <w:b w:val="1"/>
          <w:bCs w:val="1"/>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 Events and Transfer Restrictions.</w:t>
      </w:r>
    </w:p>
    <w:p>
      <w:pPr>
        <w:spacing w:after="0" w:line="157" w:lineRule="exact"/>
        <w:rPr>
          <w:rFonts w:ascii="Arial" w:cs="Arial" w:eastAsia="Arial" w:hAnsi="Arial"/>
          <w:sz w:val="18"/>
          <w:szCs w:val="18"/>
          <w:b w:val="1"/>
          <w:bCs w:val="1"/>
          <w:color w:val="auto"/>
        </w:rPr>
      </w:pPr>
    </w:p>
    <w:p>
      <w:pPr>
        <w:jc w:val="both"/>
        <w:ind w:left="1160" w:hanging="571"/>
        <w:spacing w:after="0" w:line="256" w:lineRule="auto"/>
        <w:tabs>
          <w:tab w:leader="none" w:pos="116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Forfeiture Events. </w:t>
      </w:r>
      <w:r>
        <w:rPr>
          <w:rFonts w:ascii="Arial" w:cs="Arial" w:eastAsia="Arial" w:hAnsi="Arial"/>
          <w:sz w:val="18"/>
          <w:szCs w:val="18"/>
          <w:color w:val="auto"/>
        </w:rPr>
        <w:t>Upon the occurrence of a “Forfeiture Event” (as defined below), the Director shall forfeit to the Company all of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have not become vested pursuant to Section 3, and upon such forfeiture the Director shall immediately return any stock certificates representing Restricted Shares then held by the Director and execute and deliver such stock powers as the Company may request. The Restricted Shares that are forfeited pursuant to the previous sentence shall become authorized but unissued shares of the Company’s capital stock. A Forfeiture Event means any of the following events:</w:t>
      </w:r>
    </w:p>
    <w:p>
      <w:pPr>
        <w:spacing w:after="0" w:line="131" w:lineRule="exact"/>
        <w:rPr>
          <w:rFonts w:ascii="Arial" w:cs="Arial" w:eastAsia="Arial" w:hAnsi="Arial"/>
          <w:sz w:val="18"/>
          <w:szCs w:val="18"/>
          <w:b w:val="1"/>
          <w:bCs w:val="1"/>
          <w:color w:val="auto"/>
        </w:rPr>
      </w:pPr>
    </w:p>
    <w:p>
      <w:pPr>
        <w:ind w:left="1720" w:right="20" w:hanging="564"/>
        <w:spacing w:after="0" w:line="268" w:lineRule="auto"/>
        <w:tabs>
          <w:tab w:leader="none" w:pos="17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termination of the Director’s status as a member of the Board for any reason, whether by the Company with or without cause, voluntarily or involuntarily by the Director or otherwise (“Termination of Directorship”); or</w:t>
      </w:r>
    </w:p>
    <w:p>
      <w:pPr>
        <w:spacing w:after="0" w:line="118" w:lineRule="exact"/>
        <w:rPr>
          <w:rFonts w:ascii="Arial" w:cs="Arial" w:eastAsia="Arial" w:hAnsi="Arial"/>
          <w:sz w:val="18"/>
          <w:szCs w:val="18"/>
          <w:color w:val="auto"/>
        </w:rPr>
      </w:pPr>
    </w:p>
    <w:p>
      <w:pPr>
        <w:ind w:left="1720" w:hanging="564"/>
        <w:spacing w:after="0" w:line="268" w:lineRule="auto"/>
        <w:tabs>
          <w:tab w:leader="none" w:pos="172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attempt to transfer or otherwise dispose of any of the Restricted Shares, or to levy any attachment or pursue any similar involuntary process with respect to any Restricted Shares, in violation of Section 2(b)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0"/>
          <w:szCs w:val="20"/>
          <w:color w:val="auto"/>
        </w:rPr>
      </w:pPr>
    </w:p>
    <w:p>
      <w:pPr>
        <w:ind w:firstLine="8"/>
        <w:spacing w:after="0" w:line="268" w:lineRule="auto"/>
        <w:tabs>
          <w:tab w:leader="none" w:pos="5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the context indicates otherwise, terms that are not defined in this Agreement shall have the meaning set forth in the Plan as it currently exists or as it is amended in the future.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left="580"/>
        <w:spacing w:after="0"/>
        <w:rPr>
          <w:sz w:val="20"/>
          <w:szCs w:val="20"/>
          <w:color w:val="auto"/>
        </w:rPr>
      </w:pPr>
      <w:r>
        <w:rPr>
          <w:rFonts w:ascii="Arial" w:cs="Arial" w:eastAsia="Arial" w:hAnsi="Arial"/>
          <w:sz w:val="16"/>
          <w:szCs w:val="16"/>
          <w:color w:val="auto"/>
        </w:rPr>
        <w:t>For purposes of this Agreement, a leave of absence granted to the Director by the Board shall not be deemed a Termination of Directorship.</w:t>
      </w:r>
    </w:p>
    <w:p>
      <w:pPr>
        <w:spacing w:after="0" w:line="175" w:lineRule="exact"/>
        <w:rPr>
          <w:sz w:val="20"/>
          <w:szCs w:val="20"/>
          <w:color w:val="auto"/>
        </w:rPr>
      </w:pPr>
    </w:p>
    <w:p>
      <w:pPr>
        <w:jc w:val="both"/>
        <w:ind w:left="1160" w:hanging="571"/>
        <w:spacing w:after="0" w:line="301" w:lineRule="auto"/>
        <w:tabs>
          <w:tab w:leader="none" w:pos="1160" w:val="left"/>
        </w:tabs>
        <w:numPr>
          <w:ilvl w:val="1"/>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on Transfer. </w:t>
      </w:r>
      <w:r>
        <w:rPr>
          <w:rFonts w:ascii="Arial" w:cs="Arial" w:eastAsia="Arial" w:hAnsi="Arial"/>
          <w:sz w:val="16"/>
          <w:szCs w:val="16"/>
          <w:color w:val="auto"/>
        </w:rPr>
        <w:t>Until such time as the Restricted Shares have become vested under Section 3 of this Agreement, the Director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the Restricted Shares and the Restricted Shares shall not be subject to pledge, hypothecation, execution, attachment or similar process. Any attempt to assign, transfer, pledge, hypothecate or otherwise dispose of any Restricted Shares contrary to the provisions hereof, and any attempt to levy any attachment or pursue any similar process with respect to them, shall be null and void.</w:t>
      </w:r>
    </w:p>
    <w:p>
      <w:pPr>
        <w:spacing w:after="0" w:line="197" w:lineRule="exact"/>
        <w:rPr>
          <w:rFonts w:ascii="Arial" w:cs="Arial" w:eastAsia="Arial" w:hAnsi="Arial"/>
          <w:sz w:val="16"/>
          <w:szCs w:val="16"/>
          <w:b w:val="1"/>
          <w:bCs w:val="1"/>
          <w:color w:val="auto"/>
        </w:rPr>
      </w:pPr>
    </w:p>
    <w:p>
      <w:pPr>
        <w:jc w:val="both"/>
        <w:ind w:left="580" w:hanging="572"/>
        <w:spacing w:after="0" w:line="301" w:lineRule="auto"/>
        <w:tabs>
          <w:tab w:leader="none" w:pos="5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Shares shall cease to be subject to forfeiture under Section 2 hereof in the numbers and on the dates specified in the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at the beginning of this Agreement; provided, however, that the Restricted Shares shall immediately cease to be subject to forfeiture under Section 2 hereof (i) upon the occurrence of a Fundamental Change or (ii) if the Director’s directorship terminates because of death or disability. Restricted Shares that have so ceased to be subject to forfeiture are sometimes referred to as “vested” or as “Vested Shares” in this Agreement.</w:t>
      </w:r>
    </w:p>
    <w:p>
      <w:pPr>
        <w:spacing w:after="0" w:line="89" w:lineRule="exact"/>
        <w:rPr>
          <w:rFonts w:ascii="Arial" w:cs="Arial" w:eastAsia="Arial" w:hAnsi="Arial"/>
          <w:sz w:val="16"/>
          <w:szCs w:val="16"/>
          <w:b w:val="1"/>
          <w:bCs w:val="1"/>
          <w:color w:val="auto"/>
        </w:rPr>
      </w:pPr>
    </w:p>
    <w:p>
      <w:pPr>
        <w:ind w:left="580" w:hanging="572"/>
        <w:spacing w:after="0" w:line="275" w:lineRule="auto"/>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of issuance specified at the beginning of this Agreement, the Director shall have all of the rights of a shareholder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with respect to the Restricted Shares, except as otherwise specifically provided in this Agreement.</w:t>
      </w:r>
    </w:p>
    <w:p>
      <w:pPr>
        <w:spacing w:after="0" w:line="106" w:lineRule="exact"/>
        <w:rPr>
          <w:rFonts w:ascii="Arial" w:cs="Arial" w:eastAsia="Arial" w:hAnsi="Arial"/>
          <w:sz w:val="18"/>
          <w:szCs w:val="18"/>
          <w:b w:val="1"/>
          <w:bCs w:val="1"/>
          <w:color w:val="auto"/>
        </w:rPr>
      </w:pPr>
    </w:p>
    <w:p>
      <w:pPr>
        <w:jc w:val="both"/>
        <w:ind w:left="580" w:hanging="572"/>
        <w:spacing w:after="0" w:line="290" w:lineRule="auto"/>
        <w:tabs>
          <w:tab w:leader="none" w:pos="5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recognize that the Company or a subsidiary of the Company may be obligated to withhold federal and state taxes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taxes upon the vesting of the Restricted Shares, or, in the event that the Director elects under Code Section 83(b) to report the receipt of the Restricted Shares as income in the year of receipt, upon the Director’s receipt of the Restricted Shares. The Director agrees that, at such time, if the Company or a subsidiary is required to withhold such taxes, the Director will promptly pay, in cash or through the forfeiture of Vested Shares to the Company (or in any other manner permitted by the Committee in accordance with the terms of the Plan), upon demand, to the Company or the subsidiary having such obligation, such amounts as shall be necessary to satisfy such obligation. The Director further acknowledges that the Company has directed the Director to seek independent advice regarding the applicable provisions of the Code, the income tax laws of any municipality, state or foreign country in which the Director may reside, and the tax consequences of the Director’s death.</w:t>
      </w:r>
    </w:p>
    <w:p>
      <w:pPr>
        <w:spacing w:after="0" w:line="98" w:lineRule="exact"/>
        <w:rPr>
          <w:rFonts w:ascii="Arial" w:cs="Arial" w:eastAsia="Arial" w:hAnsi="Arial"/>
          <w:sz w:val="16"/>
          <w:szCs w:val="16"/>
          <w:b w:val="1"/>
          <w:bCs w:val="1"/>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Legends and Stop-Transfer Orders.</w:t>
      </w:r>
    </w:p>
    <w:p>
      <w:pPr>
        <w:spacing w:after="0" w:line="157" w:lineRule="exact"/>
        <w:rPr>
          <w:rFonts w:ascii="Arial" w:cs="Arial" w:eastAsia="Arial" w:hAnsi="Arial"/>
          <w:sz w:val="18"/>
          <w:szCs w:val="18"/>
          <w:b w:val="1"/>
          <w:bCs w:val="1"/>
          <w:color w:val="auto"/>
        </w:rPr>
      </w:pPr>
    </w:p>
    <w:p>
      <w:pPr>
        <w:ind w:left="1160" w:right="20" w:hanging="571"/>
        <w:spacing w:after="0" w:line="339" w:lineRule="auto"/>
        <w:tabs>
          <w:tab w:leader="none" w:pos="1160"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Legends. </w:t>
      </w:r>
      <w:r>
        <w:rPr>
          <w:rFonts w:ascii="Arial" w:cs="Arial" w:eastAsia="Arial" w:hAnsi="Arial"/>
          <w:sz w:val="16"/>
          <w:szCs w:val="16"/>
          <w:color w:val="auto"/>
        </w:rPr>
        <w:t>The certificate or certificates representing the Restricted Shares shall bear the following legend (as well as any legends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and federal corporate and securities laws) noting the existence of the restrictions set forth in this Agreement:</w:t>
      </w:r>
    </w:p>
    <w:p>
      <w:pPr>
        <w:spacing w:after="0" w:line="67" w:lineRule="exact"/>
        <w:rPr>
          <w:sz w:val="20"/>
          <w:szCs w:val="20"/>
          <w:color w:val="auto"/>
        </w:rPr>
      </w:pPr>
    </w:p>
    <w:p>
      <w:pPr>
        <w:ind w:left="1720" w:right="340"/>
        <w:spacing w:after="0" w:line="306" w:lineRule="auto"/>
        <w:rPr>
          <w:sz w:val="20"/>
          <w:szCs w:val="20"/>
          <w:color w:val="auto"/>
        </w:rPr>
      </w:pPr>
      <w:r>
        <w:rPr>
          <w:rFonts w:ascii="Arial" w:cs="Arial" w:eastAsia="Arial" w:hAnsi="Arial"/>
          <w:sz w:val="16"/>
          <w:szCs w:val="16"/>
          <w:color w:val="auto"/>
        </w:rPr>
        <w:t>“THE SHARES REPRESENTED BY THIS CERTIFICATE ARE SUBJECT TO FORFEITURE AND MAY BE TRANSFERRED ONLY IN ACCORDANCE WITH THE TERMS OF A RESTRICTED STOCK AGREEMENT BETWEEN THE COMPANY AND THE DIRECTOR, A COPY OF WHICH IS ON FILE WITH THE SECRETARY OF THE COMPANY.”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9" w:name="page20"/>
    <w:bookmarkEnd w:id="19"/>
    <w:p>
      <w:pPr>
        <w:ind w:left="1160" w:right="100" w:hanging="571"/>
        <w:spacing w:after="0" w:line="262" w:lineRule="auto"/>
        <w:tabs>
          <w:tab w:leader="none" w:pos="11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Stop-Transfer Notices. </w:t>
      </w:r>
      <w:r>
        <w:rPr>
          <w:rFonts w:ascii="Arial" w:cs="Arial" w:eastAsia="Arial" w:hAnsi="Arial"/>
          <w:sz w:val="18"/>
          <w:szCs w:val="18"/>
          <w:color w:val="auto"/>
        </w:rPr>
        <w:t>The Director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118" w:lineRule="exact"/>
        <w:rPr>
          <w:rFonts w:ascii="Arial" w:cs="Arial" w:eastAsia="Arial" w:hAnsi="Arial"/>
          <w:sz w:val="18"/>
          <w:szCs w:val="18"/>
          <w:b w:val="1"/>
          <w:bCs w:val="1"/>
          <w:color w:val="auto"/>
        </w:rPr>
      </w:pPr>
    </w:p>
    <w:p>
      <w:pPr>
        <w:ind w:left="1160" w:hanging="571"/>
        <w:spacing w:after="0" w:line="310" w:lineRule="auto"/>
        <w:tabs>
          <w:tab w:leader="none" w:pos="1160"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Refusal to Transfer. </w:t>
      </w:r>
      <w:r>
        <w:rPr>
          <w:rFonts w:ascii="Arial" w:cs="Arial" w:eastAsia="Arial" w:hAnsi="Arial"/>
          <w:sz w:val="16"/>
          <w:szCs w:val="16"/>
          <w:color w:val="auto"/>
        </w:rPr>
        <w:t>The Company shall not be required (i) to transfer on its books any Restricted Shares that have been sold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in violation of any of the provisions of this Agreement or (ii) to treat as owner of the Restricted Shares or to accord the right to vote or pay dividends to any purchaser or other transferee to whom the Restricted Shares shall have been so transferred.</w:t>
      </w:r>
    </w:p>
    <w:p>
      <w:pPr>
        <w:spacing w:after="0" w:line="83" w:lineRule="exact"/>
        <w:rPr>
          <w:rFonts w:ascii="Arial" w:cs="Arial" w:eastAsia="Arial" w:hAnsi="Arial"/>
          <w:sz w:val="16"/>
          <w:szCs w:val="16"/>
          <w:b w:val="1"/>
          <w:bCs w:val="1"/>
          <w:color w:val="auto"/>
        </w:rPr>
      </w:pPr>
    </w:p>
    <w:p>
      <w:pPr>
        <w:jc w:val="both"/>
        <w:ind w:left="580" w:right="100" w:hanging="572"/>
        <w:spacing w:after="0" w:line="262" w:lineRule="auto"/>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All decisions and interpretations made by the Committee with regard to any question arising hereunder 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shall be binding and conclusive upon the Company and the Director. If there is any inconsistency between the provisions of this Agreement and the Plan, the provisions of the Plan shall govern.</w:t>
      </w:r>
    </w:p>
    <w:p>
      <w:pPr>
        <w:spacing w:after="0" w:line="186" w:lineRule="exact"/>
        <w:rPr>
          <w:rFonts w:ascii="Arial" w:cs="Arial" w:eastAsia="Arial" w:hAnsi="Arial"/>
          <w:sz w:val="18"/>
          <w:szCs w:val="18"/>
          <w:b w:val="1"/>
          <w:bCs w:val="1"/>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in all respects on the heirs, representatives, successors and assigns of the Director.</w:t>
      </w:r>
    </w:p>
    <w:p>
      <w:pPr>
        <w:spacing w:after="0" w:line="157" w:lineRule="exact"/>
        <w:rPr>
          <w:rFonts w:ascii="Arial" w:cs="Arial" w:eastAsia="Arial" w:hAnsi="Arial"/>
          <w:sz w:val="18"/>
          <w:szCs w:val="18"/>
          <w:b w:val="1"/>
          <w:bCs w:val="1"/>
          <w:color w:val="auto"/>
        </w:rPr>
      </w:pPr>
    </w:p>
    <w:p>
      <w:pPr>
        <w:ind w:left="580" w:right="440" w:hanging="572"/>
        <w:spacing w:after="0" w:line="275" w:lineRule="auto"/>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entered into under the laws of the State of Minnesota and shall be construed and interpreted thereunder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conflict-of-law principles).</w:t>
      </w:r>
    </w:p>
    <w:p>
      <w:pPr>
        <w:spacing w:after="0" w:line="106" w:lineRule="exact"/>
        <w:rPr>
          <w:rFonts w:ascii="Arial" w:cs="Arial" w:eastAsia="Arial" w:hAnsi="Arial"/>
          <w:sz w:val="18"/>
          <w:szCs w:val="18"/>
          <w:b w:val="1"/>
          <w:bCs w:val="1"/>
          <w:color w:val="auto"/>
        </w:rPr>
      </w:pPr>
    </w:p>
    <w:p>
      <w:pPr>
        <w:jc w:val="both"/>
        <w:ind w:left="580" w:right="180" w:hanging="572"/>
        <w:spacing w:after="0" w:line="310" w:lineRule="auto"/>
        <w:tabs>
          <w:tab w:leader="none" w:pos="5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 Plan set forth the entire agreement and understanding of the parties hereto with respect to the issuance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the Restricted Shares and the administration of the Plan and supersede all prior agreements, arrangements, plans, and understandings relating to the issuance and sale of these Restricted Shares and the administration of the Plan.</w:t>
      </w:r>
    </w:p>
    <w:p>
      <w:pPr>
        <w:spacing w:after="0" w:line="83" w:lineRule="exact"/>
        <w:rPr>
          <w:rFonts w:ascii="Arial" w:cs="Arial" w:eastAsia="Arial" w:hAnsi="Arial"/>
          <w:sz w:val="16"/>
          <w:szCs w:val="16"/>
          <w:b w:val="1"/>
          <w:bCs w:val="1"/>
          <w:color w:val="auto"/>
        </w:rPr>
      </w:pPr>
    </w:p>
    <w:p>
      <w:pPr>
        <w:ind w:left="580" w:right="120" w:hanging="572"/>
        <w:spacing w:after="0" w:line="275" w:lineRule="auto"/>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Waiver.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the Plan, this Agreement may be amended, waived, modified, or canceled only by a written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the parties or, in the case of a waiver, by the party waiving compliance.</w:t>
      </w:r>
    </w:p>
    <w:p>
      <w:pPr>
        <w:spacing w:after="0" w:line="106" w:lineRule="exact"/>
        <w:rPr>
          <w:rFonts w:ascii="Arial" w:cs="Arial" w:eastAsia="Arial" w:hAnsi="Arial"/>
          <w:sz w:val="18"/>
          <w:szCs w:val="18"/>
          <w:b w:val="1"/>
          <w:bCs w:val="1"/>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 of Receipt of Copy.</w:t>
      </w:r>
      <w:r>
        <w:rPr>
          <w:rFonts w:ascii="Arial" w:cs="Arial" w:eastAsia="Arial" w:hAnsi="Arial"/>
          <w:sz w:val="18"/>
          <w:szCs w:val="18"/>
          <w:b w:val="1"/>
          <w:bCs w:val="1"/>
          <w:color w:val="auto"/>
        </w:rPr>
        <w:t xml:space="preserve"> </w:t>
      </w:r>
      <w:r>
        <w:rPr>
          <w:rFonts w:ascii="Arial" w:cs="Arial" w:eastAsia="Arial" w:hAnsi="Arial"/>
          <w:sz w:val="18"/>
          <w:szCs w:val="18"/>
          <w:color w:val="auto"/>
        </w:rPr>
        <w:t>By execution hereof, the Director acknowledges having received a copy of the Plan.</w:t>
      </w:r>
    </w:p>
    <w:p>
      <w:pPr>
        <w:spacing w:after="0" w:line="231" w:lineRule="exact"/>
        <w:rPr>
          <w:sz w:val="20"/>
          <w:szCs w:val="20"/>
          <w:color w:val="auto"/>
        </w:rPr>
      </w:pPr>
    </w:p>
    <w:p>
      <w:pPr>
        <w:ind w:right="560" w:firstLine="439"/>
        <w:spacing w:after="0" w:line="268" w:lineRule="auto"/>
        <w:rPr>
          <w:sz w:val="20"/>
          <w:szCs w:val="20"/>
          <w:color w:val="auto"/>
        </w:rPr>
      </w:pPr>
      <w:r>
        <w:rPr>
          <w:rFonts w:ascii="Arial" w:cs="Arial" w:eastAsia="Arial" w:hAnsi="Arial"/>
          <w:sz w:val="18"/>
          <w:szCs w:val="18"/>
          <w:color w:val="auto"/>
        </w:rPr>
        <w:t>IN WITNESS WHEREOF, the Director and the Company have executed this Agreement as of the date of issuance specified at the beginning of this Agreement.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0" w:name="page21"/>
    <w:bookmarkEnd w:id="20"/>
    <w:p>
      <w:pPr>
        <w:ind w:left="33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259715</wp:posOffset>
            </wp:positionV>
            <wp:extent cx="36277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259715</wp:posOffset>
            </wp:positionV>
            <wp:extent cx="3627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231775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5" w:right="1440" w:bottom="1440" w:gutter="0" w:footer="0" w:header="0"/>
        </w:sectPr>
      </w:pPr>
    </w:p>
    <w:bookmarkStart w:id="21" w:name="page22"/>
    <w:bookmarkEnd w:id="21"/>
    <w:p>
      <w:pPr>
        <w:ind w:left="10060"/>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158"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160" w:hanging="4"/>
        <w:spacing w:after="0" w:line="332" w:lineRule="auto"/>
        <w:tabs>
          <w:tab w:leader="none" w:pos="1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20" w:hanging="4"/>
        <w:spacing w:after="0" w:line="268" w:lineRule="auto"/>
        <w:tabs>
          <w:tab w:leader="none" w:pos="13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6985</wp:posOffset>
            </wp:positionV>
            <wp:extent cx="1191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7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ind w:left="10060"/>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158"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160" w:hanging="4"/>
        <w:spacing w:after="0" w:line="332" w:lineRule="auto"/>
        <w:tabs>
          <w:tab w:leader="none" w:pos="1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20" w:hanging="4"/>
        <w:spacing w:after="0" w:line="268" w:lineRule="auto"/>
        <w:tabs>
          <w:tab w:leader="none" w:pos="135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6985</wp:posOffset>
            </wp:positionV>
            <wp:extent cx="1346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7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2008 as filed with the Securities and Exchange Commission on the date hereof (the “Report”), I, John R. Hawkins, Chief Executive Officer of the Company, certify, pursuant to 18 U.S.C. § 1350, as adopted pursuant to § 906 of the Sarbanes-Oxley Act of 2002, that:</w:t>
      </w:r>
    </w:p>
    <w:p>
      <w:pPr>
        <w:spacing w:after="0" w:line="208" w:lineRule="exact"/>
        <w:rPr>
          <w:sz w:val="20"/>
          <w:szCs w:val="20"/>
          <w:color w:val="auto"/>
        </w:rPr>
      </w:pPr>
    </w:p>
    <w:p>
      <w:pPr>
        <w:ind w:left="700" w:hanging="25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00" w:hanging="253"/>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35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2008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208" w:lineRule="exact"/>
        <w:rPr>
          <w:sz w:val="20"/>
          <w:szCs w:val="20"/>
          <w:color w:val="auto"/>
        </w:rPr>
      </w:pPr>
    </w:p>
    <w:p>
      <w:pPr>
        <w:ind w:left="700" w:hanging="253"/>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00" w:hanging="253"/>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5"/>
    </w:lvl>
  </w:abstractNum>
  <w:abstractNum w:abstractNumId="2">
    <w:nsid w:val="216231B"/>
    <w:multiLevelType w:val="hybridMultilevel"/>
    <w:lvl w:ilvl="0">
      <w:lvlJc w:val="left"/>
      <w:lvlText w:val="%1."/>
      <w:numFmt w:val="decimal"/>
      <w:start w:val="7"/>
    </w:lvl>
  </w:abstractNum>
  <w:abstractNum w:abstractNumId="3">
    <w:nsid w:val="1F16E9E8"/>
    <w:multiLevelType w:val="hybridMultilevel"/>
    <w:lvl w:ilvl="0">
      <w:lvlJc w:val="left"/>
      <w:lvlText w:val="%1."/>
      <w:numFmt w:val="decimal"/>
      <w:start w:val="9"/>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1."/>
      <w:numFmt w:val="decimal"/>
      <w:start w:val="1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lvl w:ilvl="1">
      <w:lvlJc w:val="left"/>
      <w:lvlText w:val="(%2)"/>
      <w:numFmt w:val="lowerLetter"/>
      <w:start w:val="2"/>
    </w:lvl>
  </w:abstractNum>
  <w:abstractNum w:abstractNumId="11">
    <w:nsid w:val="1BEFD79F"/>
    <w:multiLevelType w:val="hybridMultilevel"/>
    <w:lvl w:ilvl="0">
      <w:lvlJc w:val="left"/>
      <w:lvlText w:val="%1."/>
      <w:numFmt w:val="decimal"/>
      <w:start w:val="3"/>
    </w:lvl>
    <w:lvl w:ilvl="1">
      <w:lvlJc w:val="left"/>
      <w:lvlText w:val="(%2)"/>
      <w:numFmt w:val="lowerLetter"/>
      <w:start w:val="1"/>
    </w:lvl>
  </w:abstractNum>
  <w:abstractNum w:abstractNumId="12">
    <w:nsid w:val="41A7C4C9"/>
    <w:multiLevelType w:val="hybridMultilevel"/>
    <w:lvl w:ilvl="0">
      <w:lvlJc w:val="left"/>
      <w:lvlText w:val="%1"/>
      <w:numFmt w:val="decimal"/>
      <w:start w:val="1"/>
    </w:lvl>
    <w:lvl w:ilvl="1">
      <w:lvlJc w:val="left"/>
      <w:lvlText w:val="(%2)"/>
      <w:numFmt w:val="lowerLetter"/>
      <w:start w:val="2"/>
    </w:lvl>
  </w:abstractNum>
  <w:abstractNum w:abstractNumId="13">
    <w:nsid w:val="6B68079A"/>
    <w:multiLevelType w:val="hybridMultilevel"/>
    <w:lvl w:ilvl="0">
      <w:lvlJc w:val="left"/>
      <w:lvlText w:val="%1."/>
      <w:numFmt w:val="decimal"/>
      <w:start w:val="7"/>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2019-12-11T12:28:25Z</dcterms:created>
  <dcterms:modified xsi:type="dcterms:W3CDTF">2019-12-11T12:28:25Z</dcterms:modified>
</cp:coreProperties>
</file>